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仿宋" w:hAnsi="华文仿宋" w:eastAsia="华文仿宋" w:cs="华文仿宋"/>
          <w:sz w:val="44"/>
          <w:szCs w:val="44"/>
        </w:rPr>
      </w:pPr>
      <w:r>
        <w:rPr>
          <w:rFonts w:hint="eastAsia" w:ascii="华文仿宋" w:hAnsi="华文仿宋" w:eastAsia="华文仿宋" w:cs="华文仿宋"/>
          <w:sz w:val="44"/>
          <w:szCs w:val="44"/>
        </w:rPr>
        <w:t>资源县涉农补贴领域基层政务公开标准目录</w:t>
      </w:r>
    </w:p>
    <w:tbl>
      <w:tblPr>
        <w:tblStyle w:val="5"/>
        <w:tblW w:w="14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7"/>
        <w:gridCol w:w="1119"/>
        <w:gridCol w:w="850"/>
        <w:gridCol w:w="2268"/>
        <w:gridCol w:w="851"/>
        <w:gridCol w:w="1842"/>
        <w:gridCol w:w="1701"/>
        <w:gridCol w:w="993"/>
        <w:gridCol w:w="708"/>
        <w:gridCol w:w="709"/>
        <w:gridCol w:w="851"/>
        <w:gridCol w:w="850"/>
        <w:gridCol w:w="851"/>
        <w:gridCol w:w="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97" w:type="dxa"/>
            <w:vMerge w:val="restart"/>
            <w:shd w:val="clear" w:color="auto" w:fill="auto"/>
            <w:vAlign w:val="center"/>
          </w:tcPr>
          <w:p>
            <w:pPr>
              <w:widowControl/>
              <w:jc w:val="center"/>
              <w:rPr>
                <w:rFonts w:ascii="仿宋_GB2312" w:hAnsi="Calibri" w:eastAsia="仿宋_GB2312" w:cs="Calibri"/>
                <w:b/>
                <w:bCs/>
                <w:color w:val="000000"/>
                <w:kern w:val="0"/>
                <w:sz w:val="18"/>
                <w:szCs w:val="18"/>
              </w:rPr>
            </w:pPr>
            <w:r>
              <w:rPr>
                <w:rFonts w:hint="eastAsia" w:ascii="仿宋_GB2312" w:hAnsi="Calibri" w:eastAsia="仿宋_GB2312" w:cs="Calibri"/>
                <w:b/>
                <w:bCs/>
                <w:color w:val="000000"/>
                <w:kern w:val="0"/>
                <w:sz w:val="18"/>
                <w:szCs w:val="18"/>
              </w:rPr>
              <w:t>序号</w:t>
            </w:r>
          </w:p>
        </w:tc>
        <w:tc>
          <w:tcPr>
            <w:tcW w:w="1969" w:type="dxa"/>
            <w:gridSpan w:val="2"/>
            <w:shd w:val="clear" w:color="auto" w:fill="auto"/>
            <w:vAlign w:val="center"/>
          </w:tcPr>
          <w:p>
            <w:pPr>
              <w:widowControl/>
              <w:jc w:val="center"/>
              <w:rPr>
                <w:rFonts w:ascii="仿宋_GB2312" w:hAnsi="Calibri" w:eastAsia="仿宋_GB2312" w:cs="Calibri"/>
                <w:b/>
                <w:bCs/>
                <w:color w:val="000000"/>
                <w:kern w:val="0"/>
                <w:sz w:val="18"/>
                <w:szCs w:val="18"/>
              </w:rPr>
            </w:pPr>
            <w:r>
              <w:rPr>
                <w:rFonts w:hint="eastAsia" w:ascii="仿宋_GB2312" w:hAnsi="Calibri" w:eastAsia="仿宋_GB2312" w:cs="Calibri"/>
                <w:b/>
                <w:bCs/>
                <w:color w:val="000000"/>
                <w:kern w:val="0"/>
                <w:sz w:val="18"/>
                <w:szCs w:val="18"/>
              </w:rPr>
              <w:t>公开事项</w:t>
            </w:r>
          </w:p>
        </w:tc>
        <w:tc>
          <w:tcPr>
            <w:tcW w:w="2268" w:type="dxa"/>
            <w:vMerge w:val="restart"/>
            <w:shd w:val="clear" w:color="auto" w:fill="auto"/>
            <w:vAlign w:val="center"/>
          </w:tcPr>
          <w:p>
            <w:pPr>
              <w:widowControl/>
              <w:jc w:val="center"/>
              <w:rPr>
                <w:rFonts w:ascii="仿宋_GB2312" w:hAnsi="Calibri" w:eastAsia="仿宋_GB2312" w:cs="Calibri"/>
                <w:b/>
                <w:bCs/>
                <w:color w:val="000000"/>
                <w:kern w:val="0"/>
                <w:sz w:val="18"/>
                <w:szCs w:val="18"/>
              </w:rPr>
            </w:pPr>
            <w:r>
              <w:rPr>
                <w:rFonts w:hint="eastAsia" w:ascii="仿宋_GB2312" w:hAnsi="Calibri" w:eastAsia="仿宋_GB2312" w:cs="Calibri"/>
                <w:b/>
                <w:bCs/>
                <w:color w:val="000000"/>
                <w:kern w:val="0"/>
                <w:sz w:val="18"/>
                <w:szCs w:val="18"/>
              </w:rPr>
              <w:t>公开内容（要素）</w:t>
            </w:r>
          </w:p>
        </w:tc>
        <w:tc>
          <w:tcPr>
            <w:tcW w:w="851" w:type="dxa"/>
            <w:vMerge w:val="restart"/>
            <w:shd w:val="clear" w:color="auto" w:fill="auto"/>
            <w:vAlign w:val="center"/>
          </w:tcPr>
          <w:p>
            <w:pPr>
              <w:widowControl/>
              <w:jc w:val="center"/>
              <w:rPr>
                <w:rFonts w:ascii="仿宋_GB2312" w:hAnsi="Calibri" w:eastAsia="仿宋_GB2312" w:cs="Calibri"/>
                <w:b/>
                <w:bCs/>
                <w:color w:val="000000"/>
                <w:kern w:val="0"/>
                <w:sz w:val="18"/>
                <w:szCs w:val="18"/>
              </w:rPr>
            </w:pPr>
            <w:r>
              <w:rPr>
                <w:rFonts w:hint="eastAsia" w:ascii="仿宋_GB2312" w:hAnsi="Calibri" w:eastAsia="仿宋_GB2312" w:cs="Calibri"/>
                <w:b/>
                <w:bCs/>
                <w:color w:val="000000"/>
                <w:kern w:val="0"/>
                <w:sz w:val="18"/>
                <w:szCs w:val="18"/>
              </w:rPr>
              <w:t>公开主体</w:t>
            </w:r>
          </w:p>
        </w:tc>
        <w:tc>
          <w:tcPr>
            <w:tcW w:w="1842" w:type="dxa"/>
            <w:vMerge w:val="restart"/>
            <w:shd w:val="clear" w:color="auto" w:fill="auto"/>
            <w:vAlign w:val="center"/>
          </w:tcPr>
          <w:p>
            <w:pPr>
              <w:widowControl/>
              <w:jc w:val="center"/>
              <w:rPr>
                <w:rFonts w:ascii="仿宋_GB2312" w:hAnsi="Calibri" w:eastAsia="仿宋_GB2312" w:cs="Calibri"/>
                <w:b/>
                <w:bCs/>
                <w:color w:val="000000"/>
                <w:kern w:val="0"/>
                <w:sz w:val="18"/>
                <w:szCs w:val="18"/>
              </w:rPr>
            </w:pPr>
            <w:r>
              <w:rPr>
                <w:rFonts w:hint="eastAsia" w:ascii="仿宋_GB2312" w:hAnsi="Calibri" w:eastAsia="仿宋_GB2312" w:cs="Calibri"/>
                <w:b/>
                <w:bCs/>
                <w:color w:val="000000"/>
                <w:kern w:val="0"/>
                <w:sz w:val="18"/>
                <w:szCs w:val="18"/>
              </w:rPr>
              <w:t>公开依据</w:t>
            </w:r>
          </w:p>
        </w:tc>
        <w:tc>
          <w:tcPr>
            <w:tcW w:w="1701" w:type="dxa"/>
            <w:vMerge w:val="restart"/>
            <w:shd w:val="clear" w:color="auto" w:fill="auto"/>
            <w:vAlign w:val="center"/>
          </w:tcPr>
          <w:p>
            <w:pPr>
              <w:widowControl/>
              <w:jc w:val="center"/>
              <w:rPr>
                <w:rFonts w:ascii="仿宋_GB2312" w:hAnsi="Calibri" w:eastAsia="仿宋_GB2312" w:cs="Calibri"/>
                <w:b/>
                <w:bCs/>
                <w:color w:val="000000"/>
                <w:kern w:val="0"/>
                <w:sz w:val="18"/>
                <w:szCs w:val="18"/>
              </w:rPr>
            </w:pPr>
            <w:r>
              <w:rPr>
                <w:rFonts w:hint="eastAsia" w:ascii="仿宋_GB2312" w:hAnsi="Calibri" w:eastAsia="仿宋_GB2312" w:cs="Calibri"/>
                <w:b/>
                <w:bCs/>
                <w:color w:val="000000"/>
                <w:kern w:val="0"/>
                <w:sz w:val="18"/>
                <w:szCs w:val="18"/>
              </w:rPr>
              <w:t>公开时限</w:t>
            </w:r>
          </w:p>
        </w:tc>
        <w:tc>
          <w:tcPr>
            <w:tcW w:w="993" w:type="dxa"/>
            <w:vMerge w:val="restart"/>
            <w:shd w:val="clear" w:color="auto" w:fill="auto"/>
            <w:vAlign w:val="center"/>
          </w:tcPr>
          <w:p>
            <w:pPr>
              <w:widowControl/>
              <w:jc w:val="center"/>
              <w:rPr>
                <w:rFonts w:ascii="仿宋_GB2312" w:hAnsi="Calibri" w:eastAsia="仿宋_GB2312" w:cs="Calibri"/>
                <w:b/>
                <w:bCs/>
                <w:color w:val="000000"/>
                <w:kern w:val="0"/>
                <w:sz w:val="18"/>
                <w:szCs w:val="18"/>
              </w:rPr>
            </w:pPr>
            <w:r>
              <w:rPr>
                <w:rFonts w:hint="eastAsia" w:ascii="仿宋_GB2312" w:hAnsi="Calibri" w:eastAsia="仿宋_GB2312" w:cs="Calibri"/>
                <w:b/>
                <w:bCs/>
                <w:color w:val="000000"/>
                <w:kern w:val="0"/>
                <w:sz w:val="18"/>
                <w:szCs w:val="18"/>
              </w:rPr>
              <w:t>公开渠道和载体</w:t>
            </w:r>
          </w:p>
        </w:tc>
        <w:tc>
          <w:tcPr>
            <w:tcW w:w="1417" w:type="dxa"/>
            <w:gridSpan w:val="2"/>
            <w:shd w:val="clear" w:color="auto" w:fill="auto"/>
            <w:vAlign w:val="center"/>
          </w:tcPr>
          <w:p>
            <w:pPr>
              <w:widowControl/>
              <w:jc w:val="center"/>
              <w:rPr>
                <w:rFonts w:ascii="仿宋_GB2312" w:hAnsi="Calibri" w:eastAsia="仿宋_GB2312" w:cs="Calibri"/>
                <w:b/>
                <w:bCs/>
                <w:color w:val="000000"/>
                <w:kern w:val="0"/>
                <w:sz w:val="18"/>
                <w:szCs w:val="18"/>
              </w:rPr>
            </w:pPr>
            <w:r>
              <w:rPr>
                <w:rFonts w:hint="eastAsia" w:ascii="仿宋_GB2312" w:hAnsi="Calibri" w:eastAsia="仿宋_GB2312" w:cs="Calibri"/>
                <w:b/>
                <w:bCs/>
                <w:color w:val="000000"/>
                <w:kern w:val="0"/>
                <w:sz w:val="18"/>
                <w:szCs w:val="18"/>
              </w:rPr>
              <w:t>公开对象</w:t>
            </w:r>
          </w:p>
        </w:tc>
        <w:tc>
          <w:tcPr>
            <w:tcW w:w="1701" w:type="dxa"/>
            <w:gridSpan w:val="2"/>
            <w:shd w:val="clear" w:color="auto" w:fill="auto"/>
            <w:vAlign w:val="center"/>
          </w:tcPr>
          <w:p>
            <w:pPr>
              <w:widowControl/>
              <w:jc w:val="center"/>
              <w:rPr>
                <w:rFonts w:ascii="仿宋_GB2312" w:hAnsi="Calibri" w:eastAsia="仿宋_GB2312" w:cs="Calibri"/>
                <w:b/>
                <w:bCs/>
                <w:color w:val="000000"/>
                <w:kern w:val="0"/>
                <w:sz w:val="18"/>
                <w:szCs w:val="18"/>
              </w:rPr>
            </w:pPr>
            <w:r>
              <w:rPr>
                <w:rFonts w:hint="eastAsia" w:ascii="仿宋_GB2312" w:hAnsi="Calibri" w:eastAsia="仿宋_GB2312" w:cs="Calibri"/>
                <w:b/>
                <w:bCs/>
                <w:color w:val="000000"/>
                <w:kern w:val="0"/>
                <w:sz w:val="18"/>
                <w:szCs w:val="18"/>
              </w:rPr>
              <w:t>公开方式</w:t>
            </w:r>
          </w:p>
        </w:tc>
        <w:tc>
          <w:tcPr>
            <w:tcW w:w="1726" w:type="dxa"/>
            <w:gridSpan w:val="2"/>
            <w:shd w:val="clear" w:color="auto" w:fill="auto"/>
            <w:vAlign w:val="center"/>
          </w:tcPr>
          <w:p>
            <w:pPr>
              <w:widowControl/>
              <w:jc w:val="center"/>
              <w:rPr>
                <w:rFonts w:ascii="仿宋_GB2312" w:hAnsi="Calibri" w:eastAsia="仿宋_GB2312" w:cs="Calibri"/>
                <w:b/>
                <w:bCs/>
                <w:color w:val="000000"/>
                <w:kern w:val="0"/>
                <w:sz w:val="18"/>
                <w:szCs w:val="18"/>
              </w:rPr>
            </w:pPr>
            <w:r>
              <w:rPr>
                <w:rFonts w:hint="eastAsia" w:ascii="仿宋_GB2312" w:hAnsi="Calibri" w:eastAsia="仿宋_GB2312" w:cs="Calibri"/>
                <w:b/>
                <w:bCs/>
                <w:color w:val="000000"/>
                <w:kern w:val="0"/>
                <w:sz w:val="18"/>
                <w:szCs w:val="18"/>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497" w:type="dxa"/>
            <w:vMerge w:val="continue"/>
            <w:vAlign w:val="center"/>
          </w:tcPr>
          <w:p>
            <w:pPr>
              <w:widowControl/>
              <w:jc w:val="left"/>
              <w:rPr>
                <w:rFonts w:ascii="仿宋_GB2312" w:hAnsi="Calibri" w:eastAsia="仿宋_GB2312" w:cs="Calibri"/>
                <w:b/>
                <w:bCs/>
                <w:color w:val="000000"/>
                <w:kern w:val="0"/>
                <w:sz w:val="18"/>
                <w:szCs w:val="18"/>
              </w:rPr>
            </w:pPr>
          </w:p>
        </w:tc>
        <w:tc>
          <w:tcPr>
            <w:tcW w:w="1119" w:type="dxa"/>
            <w:shd w:val="clear" w:color="auto" w:fill="auto"/>
            <w:vAlign w:val="center"/>
          </w:tcPr>
          <w:p>
            <w:pPr>
              <w:widowControl/>
              <w:jc w:val="center"/>
              <w:rPr>
                <w:rFonts w:ascii="仿宋_GB2312" w:hAnsi="Calibri" w:eastAsia="仿宋_GB2312" w:cs="Calibri"/>
                <w:b/>
                <w:bCs/>
                <w:color w:val="000000"/>
                <w:kern w:val="0"/>
                <w:sz w:val="18"/>
                <w:szCs w:val="18"/>
              </w:rPr>
            </w:pPr>
            <w:r>
              <w:rPr>
                <w:rFonts w:hint="eastAsia" w:ascii="仿宋_GB2312" w:hAnsi="Calibri" w:eastAsia="仿宋_GB2312" w:cs="Calibri"/>
                <w:b/>
                <w:bCs/>
                <w:color w:val="000000"/>
                <w:kern w:val="0"/>
                <w:sz w:val="18"/>
                <w:szCs w:val="18"/>
              </w:rPr>
              <w:t>一级事项</w:t>
            </w:r>
          </w:p>
        </w:tc>
        <w:tc>
          <w:tcPr>
            <w:tcW w:w="850" w:type="dxa"/>
            <w:shd w:val="clear" w:color="auto" w:fill="auto"/>
            <w:vAlign w:val="center"/>
          </w:tcPr>
          <w:p>
            <w:pPr>
              <w:widowControl/>
              <w:jc w:val="center"/>
              <w:rPr>
                <w:rFonts w:ascii="仿宋_GB2312" w:hAnsi="Calibri" w:eastAsia="仿宋_GB2312" w:cs="Calibri"/>
                <w:b/>
                <w:bCs/>
                <w:color w:val="000000"/>
                <w:kern w:val="0"/>
                <w:sz w:val="18"/>
                <w:szCs w:val="18"/>
              </w:rPr>
            </w:pPr>
            <w:r>
              <w:rPr>
                <w:rFonts w:hint="eastAsia" w:ascii="仿宋_GB2312" w:hAnsi="Calibri" w:eastAsia="仿宋_GB2312" w:cs="Calibri"/>
                <w:b/>
                <w:bCs/>
                <w:color w:val="000000"/>
                <w:kern w:val="0"/>
                <w:sz w:val="18"/>
                <w:szCs w:val="18"/>
              </w:rPr>
              <w:t>二级事项</w:t>
            </w:r>
          </w:p>
        </w:tc>
        <w:tc>
          <w:tcPr>
            <w:tcW w:w="2268" w:type="dxa"/>
            <w:vMerge w:val="continue"/>
            <w:vAlign w:val="center"/>
          </w:tcPr>
          <w:p>
            <w:pPr>
              <w:widowControl/>
              <w:jc w:val="left"/>
              <w:rPr>
                <w:rFonts w:ascii="仿宋_GB2312" w:hAnsi="Calibri" w:eastAsia="仿宋_GB2312" w:cs="Calibri"/>
                <w:b/>
                <w:bCs/>
                <w:color w:val="000000"/>
                <w:kern w:val="0"/>
                <w:sz w:val="18"/>
                <w:szCs w:val="18"/>
              </w:rPr>
            </w:pPr>
          </w:p>
        </w:tc>
        <w:tc>
          <w:tcPr>
            <w:tcW w:w="851" w:type="dxa"/>
            <w:vMerge w:val="continue"/>
            <w:vAlign w:val="center"/>
          </w:tcPr>
          <w:p>
            <w:pPr>
              <w:widowControl/>
              <w:jc w:val="left"/>
              <w:rPr>
                <w:rFonts w:ascii="仿宋_GB2312" w:hAnsi="Calibri" w:eastAsia="仿宋_GB2312" w:cs="Calibri"/>
                <w:b/>
                <w:bCs/>
                <w:color w:val="000000"/>
                <w:kern w:val="0"/>
                <w:sz w:val="18"/>
                <w:szCs w:val="18"/>
              </w:rPr>
            </w:pPr>
          </w:p>
        </w:tc>
        <w:tc>
          <w:tcPr>
            <w:tcW w:w="1842" w:type="dxa"/>
            <w:vMerge w:val="continue"/>
            <w:vAlign w:val="center"/>
          </w:tcPr>
          <w:p>
            <w:pPr>
              <w:widowControl/>
              <w:jc w:val="left"/>
              <w:rPr>
                <w:rFonts w:ascii="仿宋_GB2312" w:hAnsi="Calibri" w:eastAsia="仿宋_GB2312" w:cs="Calibri"/>
                <w:b/>
                <w:bCs/>
                <w:color w:val="000000"/>
                <w:kern w:val="0"/>
                <w:sz w:val="18"/>
                <w:szCs w:val="18"/>
              </w:rPr>
            </w:pPr>
          </w:p>
        </w:tc>
        <w:tc>
          <w:tcPr>
            <w:tcW w:w="1701" w:type="dxa"/>
            <w:vMerge w:val="continue"/>
            <w:vAlign w:val="center"/>
          </w:tcPr>
          <w:p>
            <w:pPr>
              <w:widowControl/>
              <w:jc w:val="left"/>
              <w:rPr>
                <w:rFonts w:ascii="仿宋_GB2312" w:hAnsi="Calibri" w:eastAsia="仿宋_GB2312" w:cs="Calibri"/>
                <w:b/>
                <w:bCs/>
                <w:color w:val="000000"/>
                <w:kern w:val="0"/>
                <w:sz w:val="18"/>
                <w:szCs w:val="18"/>
              </w:rPr>
            </w:pPr>
          </w:p>
        </w:tc>
        <w:tc>
          <w:tcPr>
            <w:tcW w:w="993" w:type="dxa"/>
            <w:vMerge w:val="continue"/>
            <w:vAlign w:val="center"/>
          </w:tcPr>
          <w:p>
            <w:pPr>
              <w:widowControl/>
              <w:jc w:val="left"/>
              <w:rPr>
                <w:rFonts w:ascii="仿宋_GB2312" w:hAnsi="Calibri" w:eastAsia="仿宋_GB2312" w:cs="Calibri"/>
                <w:b/>
                <w:bCs/>
                <w:color w:val="000000"/>
                <w:kern w:val="0"/>
                <w:sz w:val="18"/>
                <w:szCs w:val="18"/>
              </w:rPr>
            </w:pPr>
          </w:p>
        </w:tc>
        <w:tc>
          <w:tcPr>
            <w:tcW w:w="708" w:type="dxa"/>
            <w:shd w:val="clear" w:color="auto" w:fill="auto"/>
            <w:vAlign w:val="center"/>
          </w:tcPr>
          <w:p>
            <w:pPr>
              <w:widowControl/>
              <w:jc w:val="center"/>
              <w:rPr>
                <w:rFonts w:ascii="仿宋_GB2312" w:hAnsi="Calibri" w:eastAsia="仿宋_GB2312" w:cs="Calibri"/>
                <w:b/>
                <w:bCs/>
                <w:color w:val="000000"/>
                <w:kern w:val="0"/>
                <w:sz w:val="18"/>
                <w:szCs w:val="18"/>
              </w:rPr>
            </w:pPr>
            <w:r>
              <w:rPr>
                <w:rFonts w:hint="eastAsia" w:ascii="仿宋_GB2312" w:hAnsi="Calibri" w:eastAsia="仿宋_GB2312" w:cs="Calibri"/>
                <w:b/>
                <w:bCs/>
                <w:color w:val="000000"/>
                <w:kern w:val="0"/>
                <w:sz w:val="18"/>
                <w:szCs w:val="18"/>
              </w:rPr>
              <w:t>全社会</w:t>
            </w:r>
          </w:p>
        </w:tc>
        <w:tc>
          <w:tcPr>
            <w:tcW w:w="709" w:type="dxa"/>
            <w:shd w:val="clear" w:color="auto" w:fill="auto"/>
            <w:vAlign w:val="center"/>
          </w:tcPr>
          <w:p>
            <w:pPr>
              <w:widowControl/>
              <w:jc w:val="center"/>
              <w:rPr>
                <w:rFonts w:ascii="仿宋_GB2312" w:hAnsi="Calibri" w:eastAsia="仿宋_GB2312" w:cs="Calibri"/>
                <w:b/>
                <w:bCs/>
                <w:color w:val="000000"/>
                <w:kern w:val="0"/>
                <w:sz w:val="18"/>
                <w:szCs w:val="18"/>
              </w:rPr>
            </w:pPr>
            <w:r>
              <w:rPr>
                <w:rFonts w:hint="eastAsia" w:ascii="仿宋_GB2312" w:hAnsi="Calibri" w:eastAsia="仿宋_GB2312" w:cs="Calibri"/>
                <w:b/>
                <w:bCs/>
                <w:color w:val="000000"/>
                <w:kern w:val="0"/>
                <w:sz w:val="18"/>
                <w:szCs w:val="18"/>
              </w:rPr>
              <w:t>特定群众</w:t>
            </w:r>
          </w:p>
        </w:tc>
        <w:tc>
          <w:tcPr>
            <w:tcW w:w="851" w:type="dxa"/>
            <w:shd w:val="clear" w:color="auto" w:fill="auto"/>
            <w:vAlign w:val="center"/>
          </w:tcPr>
          <w:p>
            <w:pPr>
              <w:widowControl/>
              <w:jc w:val="center"/>
              <w:rPr>
                <w:rFonts w:ascii="仿宋_GB2312" w:hAnsi="Calibri" w:eastAsia="仿宋_GB2312" w:cs="Calibri"/>
                <w:b/>
                <w:bCs/>
                <w:color w:val="000000"/>
                <w:kern w:val="0"/>
                <w:sz w:val="18"/>
                <w:szCs w:val="18"/>
              </w:rPr>
            </w:pPr>
            <w:r>
              <w:rPr>
                <w:rFonts w:hint="eastAsia" w:ascii="仿宋_GB2312" w:hAnsi="Calibri" w:eastAsia="仿宋_GB2312" w:cs="Calibri"/>
                <w:b/>
                <w:bCs/>
                <w:color w:val="000000"/>
                <w:kern w:val="0"/>
                <w:sz w:val="18"/>
                <w:szCs w:val="18"/>
              </w:rPr>
              <w:t>主动</w:t>
            </w:r>
          </w:p>
        </w:tc>
        <w:tc>
          <w:tcPr>
            <w:tcW w:w="850" w:type="dxa"/>
            <w:shd w:val="clear" w:color="auto" w:fill="auto"/>
            <w:vAlign w:val="center"/>
          </w:tcPr>
          <w:p>
            <w:pPr>
              <w:widowControl/>
              <w:jc w:val="center"/>
              <w:rPr>
                <w:rFonts w:ascii="仿宋_GB2312" w:hAnsi="Calibri" w:eastAsia="仿宋_GB2312" w:cs="Calibri"/>
                <w:b/>
                <w:bCs/>
                <w:color w:val="000000"/>
                <w:kern w:val="0"/>
                <w:sz w:val="18"/>
                <w:szCs w:val="18"/>
              </w:rPr>
            </w:pPr>
            <w:r>
              <w:rPr>
                <w:rFonts w:hint="eastAsia" w:ascii="仿宋_GB2312" w:hAnsi="Calibri" w:eastAsia="仿宋_GB2312" w:cs="Calibri"/>
                <w:b/>
                <w:bCs/>
                <w:color w:val="000000"/>
                <w:kern w:val="0"/>
                <w:sz w:val="18"/>
                <w:szCs w:val="18"/>
              </w:rPr>
              <w:t>依申请公开</w:t>
            </w:r>
          </w:p>
        </w:tc>
        <w:tc>
          <w:tcPr>
            <w:tcW w:w="851" w:type="dxa"/>
            <w:shd w:val="clear" w:color="auto" w:fill="auto"/>
            <w:vAlign w:val="center"/>
          </w:tcPr>
          <w:p>
            <w:pPr>
              <w:widowControl/>
              <w:jc w:val="center"/>
              <w:rPr>
                <w:rFonts w:ascii="仿宋_GB2312" w:hAnsi="Calibri" w:eastAsia="仿宋_GB2312" w:cs="Calibri"/>
                <w:b/>
                <w:bCs/>
                <w:color w:val="000000"/>
                <w:kern w:val="0"/>
                <w:sz w:val="18"/>
                <w:szCs w:val="18"/>
              </w:rPr>
            </w:pPr>
            <w:r>
              <w:rPr>
                <w:rFonts w:hint="eastAsia" w:ascii="仿宋_GB2312" w:hAnsi="Calibri" w:eastAsia="仿宋_GB2312" w:cs="Calibri"/>
                <w:b/>
                <w:bCs/>
                <w:color w:val="000000"/>
                <w:kern w:val="0"/>
                <w:sz w:val="18"/>
                <w:szCs w:val="18"/>
              </w:rPr>
              <w:t>县级</w:t>
            </w:r>
          </w:p>
        </w:tc>
        <w:tc>
          <w:tcPr>
            <w:tcW w:w="875" w:type="dxa"/>
            <w:shd w:val="clear" w:color="auto" w:fill="auto"/>
            <w:vAlign w:val="center"/>
          </w:tcPr>
          <w:p>
            <w:pPr>
              <w:widowControl/>
              <w:jc w:val="center"/>
              <w:rPr>
                <w:rFonts w:ascii="仿宋_GB2312" w:hAnsi="Calibri" w:eastAsia="仿宋_GB2312" w:cs="Calibri"/>
                <w:b/>
                <w:bCs/>
                <w:color w:val="000000"/>
                <w:kern w:val="0"/>
                <w:sz w:val="18"/>
                <w:szCs w:val="18"/>
              </w:rPr>
            </w:pPr>
            <w:r>
              <w:rPr>
                <w:rFonts w:hint="eastAsia" w:ascii="仿宋_GB2312" w:hAnsi="Calibri" w:eastAsia="仿宋_GB2312" w:cs="Calibri"/>
                <w:b/>
                <w:bCs/>
                <w:color w:val="000000"/>
                <w:kern w:val="0"/>
                <w:sz w:val="18"/>
                <w:szCs w:val="18"/>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9" w:hRule="atLeast"/>
          <w:jc w:val="center"/>
        </w:trPr>
        <w:tc>
          <w:tcPr>
            <w:tcW w:w="497" w:type="dxa"/>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w:t>
            </w:r>
          </w:p>
        </w:tc>
        <w:tc>
          <w:tcPr>
            <w:tcW w:w="1119" w:type="dxa"/>
            <w:shd w:val="clear" w:color="auto" w:fill="auto"/>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农业生产发展资金</w:t>
            </w:r>
          </w:p>
        </w:tc>
        <w:tc>
          <w:tcPr>
            <w:tcW w:w="850" w:type="dxa"/>
            <w:shd w:val="clear" w:color="auto" w:fill="auto"/>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农机购置补贴</w:t>
            </w:r>
          </w:p>
        </w:tc>
        <w:tc>
          <w:tcPr>
            <w:tcW w:w="2268" w:type="dxa"/>
            <w:shd w:val="clear" w:color="auto" w:fill="auto"/>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1、政策依据:</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申请指南：包括补贴对象、补贴范围、补贴标准、申请程序、申请材料、咨询电话、受理单位、办理时限、联系方式等；</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2、补贴结果:</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监督渠道：包括举报电话、地址等。</w:t>
            </w:r>
          </w:p>
        </w:tc>
        <w:tc>
          <w:tcPr>
            <w:tcW w:w="851" w:type="dxa"/>
            <w:shd w:val="clear" w:color="auto" w:fill="auto"/>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县级农业农村部门</w:t>
            </w:r>
          </w:p>
        </w:tc>
        <w:tc>
          <w:tcPr>
            <w:tcW w:w="1842" w:type="dxa"/>
            <w:shd w:val="clear" w:color="auto" w:fill="auto"/>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《农业机械化促进法》、《农业生产发展资金管理办法》、《2018-2020年农机购置补贴实施指导意见》</w:t>
            </w:r>
          </w:p>
        </w:tc>
        <w:tc>
          <w:tcPr>
            <w:tcW w:w="1701" w:type="dxa"/>
            <w:shd w:val="clear" w:color="auto" w:fill="auto"/>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信息形成或者变更之日起20个工作日内。法律、法规对政府信息公开的期限另有规定的，从其规定。</w:t>
            </w:r>
          </w:p>
        </w:tc>
        <w:tc>
          <w:tcPr>
            <w:tcW w:w="993" w:type="dxa"/>
            <w:shd w:val="clear" w:color="auto" w:fill="auto"/>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政府网站</w:t>
            </w:r>
          </w:p>
        </w:tc>
        <w:tc>
          <w:tcPr>
            <w:tcW w:w="708" w:type="dxa"/>
            <w:shd w:val="clear" w:color="auto" w:fill="auto"/>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709" w:type="dxa"/>
            <w:shd w:val="clear" w:color="auto" w:fill="auto"/>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1" w:type="dxa"/>
            <w:shd w:val="clear" w:color="auto" w:fill="auto"/>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850" w:type="dxa"/>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1" w:type="dxa"/>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875" w:type="dxa"/>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9" w:hRule="atLeast"/>
          <w:jc w:val="center"/>
        </w:trPr>
        <w:tc>
          <w:tcPr>
            <w:tcW w:w="497" w:type="dxa"/>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w:t>
            </w:r>
          </w:p>
        </w:tc>
        <w:tc>
          <w:tcPr>
            <w:tcW w:w="1119" w:type="dxa"/>
            <w:shd w:val="clear" w:color="auto" w:fill="auto"/>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农业生产发展资金</w:t>
            </w:r>
          </w:p>
        </w:tc>
        <w:tc>
          <w:tcPr>
            <w:tcW w:w="850" w:type="dxa"/>
            <w:shd w:val="clear" w:color="auto" w:fill="auto"/>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耕地地力保护</w:t>
            </w:r>
          </w:p>
        </w:tc>
        <w:tc>
          <w:tcPr>
            <w:tcW w:w="2268" w:type="dxa"/>
            <w:shd w:val="clear" w:color="auto" w:fill="auto"/>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1、政策依据；</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申请指南：包括补贴对象、补贴范围、补贴标准、申请程序、申请材料、咨询电话、受理单位、办理时限、联系方式等；</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2、补贴结果；</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监督渠道：包括举报电话、地址等。</w:t>
            </w:r>
          </w:p>
        </w:tc>
        <w:tc>
          <w:tcPr>
            <w:tcW w:w="851" w:type="dxa"/>
            <w:shd w:val="clear" w:color="auto" w:fill="auto"/>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县级农业农村部门</w:t>
            </w:r>
          </w:p>
        </w:tc>
        <w:tc>
          <w:tcPr>
            <w:tcW w:w="1842" w:type="dxa"/>
            <w:shd w:val="clear" w:color="auto" w:fill="auto"/>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《农业生产发展资金管理办法》、《财政部 农业部关于全面推开农业“三项补贴”改革工作的通知》</w:t>
            </w:r>
          </w:p>
        </w:tc>
        <w:tc>
          <w:tcPr>
            <w:tcW w:w="1701" w:type="dxa"/>
            <w:shd w:val="clear" w:color="auto" w:fill="auto"/>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信息形成或者变更之日起20个工作日内。法律、法规对政府信息公开的期限另有规定的，从其规定。</w:t>
            </w:r>
          </w:p>
        </w:tc>
        <w:tc>
          <w:tcPr>
            <w:tcW w:w="993" w:type="dxa"/>
            <w:shd w:val="clear" w:color="auto" w:fill="auto"/>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政府网站</w:t>
            </w:r>
          </w:p>
        </w:tc>
        <w:tc>
          <w:tcPr>
            <w:tcW w:w="708" w:type="dxa"/>
            <w:shd w:val="clear" w:color="auto" w:fill="auto"/>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709" w:type="dxa"/>
            <w:shd w:val="clear" w:color="auto" w:fill="auto"/>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1" w:type="dxa"/>
            <w:shd w:val="clear" w:color="auto" w:fill="auto"/>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850" w:type="dxa"/>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1" w:type="dxa"/>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875" w:type="dxa"/>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1" w:hRule="atLeast"/>
          <w:jc w:val="center"/>
        </w:trPr>
        <w:tc>
          <w:tcPr>
            <w:tcW w:w="497" w:type="dxa"/>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119" w:type="dxa"/>
            <w:shd w:val="clear" w:color="auto" w:fill="auto"/>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农业生产发展资金</w:t>
            </w:r>
          </w:p>
        </w:tc>
        <w:tc>
          <w:tcPr>
            <w:tcW w:w="850" w:type="dxa"/>
            <w:shd w:val="clear" w:color="auto" w:fill="auto"/>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新型职业农民培育</w:t>
            </w:r>
          </w:p>
        </w:tc>
        <w:tc>
          <w:tcPr>
            <w:tcW w:w="2268" w:type="dxa"/>
            <w:shd w:val="clear" w:color="auto" w:fill="auto"/>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1、政策依据；</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申请指南：包括补贴对象、补贴范围、补贴标准、申请程序、申请材料、咨询电话、受理单位、办理时限、联系方式等；</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2、补贴结果；</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监督渠道：包括举报电话、地址等。</w:t>
            </w:r>
          </w:p>
        </w:tc>
        <w:tc>
          <w:tcPr>
            <w:tcW w:w="851" w:type="dxa"/>
            <w:shd w:val="clear" w:color="auto" w:fill="auto"/>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县级农业农村部门</w:t>
            </w:r>
          </w:p>
        </w:tc>
        <w:tc>
          <w:tcPr>
            <w:tcW w:w="1842" w:type="dxa"/>
            <w:shd w:val="clear" w:color="auto" w:fill="auto"/>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关于引导农村土地经营权有序流转发展农业适度规模经营的意见》、《关于支持返乡下乡人员创业创新促进农村一二三产业融合发展的意见》、《农业生产发展资金管理办法》、《“十三五”全国新型职业农民培育发展规划》</w:t>
            </w:r>
          </w:p>
        </w:tc>
        <w:tc>
          <w:tcPr>
            <w:tcW w:w="1701" w:type="dxa"/>
            <w:shd w:val="clear" w:color="auto" w:fill="auto"/>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信息形成或者变更之日起20个工作日内。法律、法规对政府信息公开的期限另有规定的，从其规定。</w:t>
            </w:r>
          </w:p>
        </w:tc>
        <w:tc>
          <w:tcPr>
            <w:tcW w:w="993" w:type="dxa"/>
            <w:shd w:val="clear" w:color="auto" w:fill="auto"/>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政府网站</w:t>
            </w:r>
          </w:p>
        </w:tc>
        <w:tc>
          <w:tcPr>
            <w:tcW w:w="708" w:type="dxa"/>
            <w:shd w:val="clear" w:color="auto" w:fill="auto"/>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709" w:type="dxa"/>
            <w:shd w:val="clear" w:color="auto" w:fill="auto"/>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1" w:type="dxa"/>
            <w:shd w:val="clear" w:color="auto" w:fill="auto"/>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850" w:type="dxa"/>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1" w:type="dxa"/>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875" w:type="dxa"/>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9" w:hRule="atLeast"/>
          <w:jc w:val="center"/>
        </w:trPr>
        <w:tc>
          <w:tcPr>
            <w:tcW w:w="497" w:type="dxa"/>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w:t>
            </w:r>
          </w:p>
        </w:tc>
        <w:tc>
          <w:tcPr>
            <w:tcW w:w="1119" w:type="dxa"/>
            <w:shd w:val="clear" w:color="auto" w:fill="auto"/>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农业生产发展资金</w:t>
            </w:r>
          </w:p>
        </w:tc>
        <w:tc>
          <w:tcPr>
            <w:tcW w:w="850" w:type="dxa"/>
            <w:shd w:val="clear" w:color="auto" w:fill="auto"/>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支持新型农业经营主体</w:t>
            </w:r>
          </w:p>
        </w:tc>
        <w:tc>
          <w:tcPr>
            <w:tcW w:w="2268" w:type="dxa"/>
            <w:shd w:val="clear" w:color="auto" w:fill="auto"/>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1、政策依据；</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申请指南：包括补贴对象、补贴范围、补贴标准、申请程序、申请材料、咨询电话、受理单位、办理时限、联系方式等；</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2、补贴结果；</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监督渠道：包括举报电话、地址等。</w:t>
            </w:r>
          </w:p>
        </w:tc>
        <w:tc>
          <w:tcPr>
            <w:tcW w:w="851" w:type="dxa"/>
            <w:shd w:val="clear" w:color="auto" w:fill="auto"/>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县级农业农村部门</w:t>
            </w:r>
          </w:p>
        </w:tc>
        <w:tc>
          <w:tcPr>
            <w:tcW w:w="1842" w:type="dxa"/>
            <w:shd w:val="clear" w:color="auto" w:fill="auto"/>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《农业生产发展资金管理办法》</w:t>
            </w:r>
          </w:p>
        </w:tc>
        <w:tc>
          <w:tcPr>
            <w:tcW w:w="1701" w:type="dxa"/>
            <w:shd w:val="clear" w:color="auto" w:fill="auto"/>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信息形成或者变更之日起20个工作日内。法律、法规对政府信息公开的期限另有规定的，从其规定。</w:t>
            </w:r>
          </w:p>
        </w:tc>
        <w:tc>
          <w:tcPr>
            <w:tcW w:w="993" w:type="dxa"/>
            <w:shd w:val="clear" w:color="auto" w:fill="auto"/>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政府网站</w:t>
            </w:r>
          </w:p>
        </w:tc>
        <w:tc>
          <w:tcPr>
            <w:tcW w:w="708" w:type="dxa"/>
            <w:shd w:val="clear" w:color="auto" w:fill="auto"/>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709" w:type="dxa"/>
            <w:shd w:val="clear" w:color="auto" w:fill="auto"/>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1" w:type="dxa"/>
            <w:shd w:val="clear" w:color="auto" w:fill="auto"/>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850" w:type="dxa"/>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1" w:type="dxa"/>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875" w:type="dxa"/>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9" w:hRule="atLeast"/>
          <w:jc w:val="center"/>
        </w:trPr>
        <w:tc>
          <w:tcPr>
            <w:tcW w:w="497" w:type="dxa"/>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119" w:type="dxa"/>
            <w:shd w:val="clear" w:color="auto" w:fill="auto"/>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动物防疫等补助经费</w:t>
            </w:r>
          </w:p>
        </w:tc>
        <w:tc>
          <w:tcPr>
            <w:tcW w:w="850" w:type="dxa"/>
            <w:shd w:val="clear" w:color="auto" w:fill="auto"/>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强制扑杀、强制免疫和养殖环节无害化处理补助</w:t>
            </w:r>
          </w:p>
        </w:tc>
        <w:tc>
          <w:tcPr>
            <w:tcW w:w="2268" w:type="dxa"/>
            <w:shd w:val="clear" w:color="auto" w:fill="auto"/>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1、政策依据；</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申请指南：包括补贴对象、补贴范围、补贴标准、申请程序、申请材料、咨询电话、受理单位、办理时限、联系方式等；</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2、补贴结果；</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监督渠道：包括举报电话、地址等。</w:t>
            </w:r>
          </w:p>
        </w:tc>
        <w:tc>
          <w:tcPr>
            <w:tcW w:w="851" w:type="dxa"/>
            <w:shd w:val="clear" w:color="auto" w:fill="auto"/>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县级农业农村部门</w:t>
            </w:r>
          </w:p>
        </w:tc>
        <w:tc>
          <w:tcPr>
            <w:tcW w:w="1842" w:type="dxa"/>
            <w:shd w:val="clear" w:color="auto" w:fill="auto"/>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《动物防疫法》、《动物防疫等补助经费管理办法》</w:t>
            </w:r>
          </w:p>
        </w:tc>
        <w:tc>
          <w:tcPr>
            <w:tcW w:w="1701" w:type="dxa"/>
            <w:shd w:val="clear" w:color="auto" w:fill="auto"/>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信息形成或者变更之日起20个工作日内。法律、法规对政府信息公开的期限另有规定的，从其规定。</w:t>
            </w:r>
          </w:p>
        </w:tc>
        <w:tc>
          <w:tcPr>
            <w:tcW w:w="993" w:type="dxa"/>
            <w:shd w:val="clear" w:color="auto" w:fill="auto"/>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政府网站</w:t>
            </w:r>
          </w:p>
        </w:tc>
        <w:tc>
          <w:tcPr>
            <w:tcW w:w="708" w:type="dxa"/>
            <w:shd w:val="clear" w:color="auto" w:fill="auto"/>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709" w:type="dxa"/>
            <w:shd w:val="clear" w:color="auto" w:fill="auto"/>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1" w:type="dxa"/>
            <w:shd w:val="clear" w:color="auto" w:fill="auto"/>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850" w:type="dxa"/>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1" w:type="dxa"/>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875" w:type="dxa"/>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bl>
    <w:p>
      <w:bookmarkStart w:id="0" w:name="_GoBack"/>
      <w:bookmarkEnd w:id="0"/>
    </w:p>
    <w:sectPr>
      <w:footerReference r:id="rId3" w:type="default"/>
      <w:pgSz w:w="16838" w:h="11906" w:orient="landscape"/>
      <w:pgMar w:top="567" w:right="850" w:bottom="56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0000600000000000000"/>
    <w:charset w:val="86"/>
    <w:family w:val="auto"/>
    <w:pitch w:val="default"/>
    <w:sig w:usb0="00000000" w:usb1="00000000" w:usb2="00000012" w:usb3="00000000" w:csb0="00160001"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ascii="宋体" w:hAnsi="宋体" w:eastAsia="宋体" w:cs="宋体"/>
                              <w:spacing w:val="-20"/>
                              <w:sz w:val="20"/>
                              <w:szCs w:val="20"/>
                            </w:rPr>
                          </w:pPr>
                          <w:r>
                            <w:rPr>
                              <w:rFonts w:hint="eastAsia" w:ascii="宋体" w:hAnsi="宋体" w:eastAsia="宋体" w:cs="宋体"/>
                              <w:spacing w:val="-20"/>
                              <w:sz w:val="20"/>
                              <w:szCs w:val="20"/>
                            </w:rPr>
                            <w:t xml:space="preserve">— </w:t>
                          </w:r>
                          <w:r>
                            <w:rPr>
                              <w:rFonts w:hint="eastAsia" w:ascii="宋体" w:hAnsi="宋体" w:eastAsia="宋体" w:cs="宋体"/>
                              <w:spacing w:val="-20"/>
                              <w:sz w:val="20"/>
                              <w:szCs w:val="20"/>
                            </w:rPr>
                            <w:fldChar w:fldCharType="begin"/>
                          </w:r>
                          <w:r>
                            <w:rPr>
                              <w:rFonts w:hint="eastAsia" w:ascii="宋体" w:hAnsi="宋体" w:eastAsia="宋体" w:cs="宋体"/>
                              <w:spacing w:val="-20"/>
                              <w:sz w:val="20"/>
                              <w:szCs w:val="20"/>
                            </w:rPr>
                            <w:instrText xml:space="preserve"> PAGE  \* MERGEFORMAT </w:instrText>
                          </w:r>
                          <w:r>
                            <w:rPr>
                              <w:rFonts w:hint="eastAsia" w:ascii="宋体" w:hAnsi="宋体" w:eastAsia="宋体" w:cs="宋体"/>
                              <w:spacing w:val="-20"/>
                              <w:sz w:val="20"/>
                              <w:szCs w:val="20"/>
                            </w:rPr>
                            <w:fldChar w:fldCharType="separate"/>
                          </w:r>
                          <w:r>
                            <w:rPr>
                              <w:rFonts w:ascii="宋体" w:hAnsi="宋体" w:eastAsia="宋体" w:cs="宋体"/>
                              <w:spacing w:val="-20"/>
                              <w:sz w:val="20"/>
                              <w:szCs w:val="20"/>
                            </w:rPr>
                            <w:t>1</w:t>
                          </w:r>
                          <w:r>
                            <w:rPr>
                              <w:rFonts w:hint="eastAsia" w:ascii="宋体" w:hAnsi="宋体" w:eastAsia="宋体" w:cs="宋体"/>
                              <w:spacing w:val="-20"/>
                              <w:sz w:val="20"/>
                              <w:szCs w:val="20"/>
                            </w:rPr>
                            <w:fldChar w:fldCharType="end"/>
                          </w:r>
                          <w:r>
                            <w:rPr>
                              <w:rFonts w:hint="eastAsia" w:ascii="宋体" w:hAnsi="宋体" w:eastAsia="宋体" w:cs="宋体"/>
                              <w:spacing w:val="-20"/>
                              <w:sz w:val="20"/>
                              <w:szCs w:val="20"/>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rPr>
                        <w:rFonts w:ascii="宋体" w:hAnsi="宋体" w:eastAsia="宋体" w:cs="宋体"/>
                        <w:spacing w:val="-20"/>
                        <w:sz w:val="20"/>
                        <w:szCs w:val="20"/>
                      </w:rPr>
                    </w:pPr>
                    <w:r>
                      <w:rPr>
                        <w:rFonts w:hint="eastAsia" w:ascii="宋体" w:hAnsi="宋体" w:eastAsia="宋体" w:cs="宋体"/>
                        <w:spacing w:val="-20"/>
                        <w:sz w:val="20"/>
                        <w:szCs w:val="20"/>
                      </w:rPr>
                      <w:t xml:space="preserve">— </w:t>
                    </w:r>
                    <w:r>
                      <w:rPr>
                        <w:rFonts w:hint="eastAsia" w:ascii="宋体" w:hAnsi="宋体" w:eastAsia="宋体" w:cs="宋体"/>
                        <w:spacing w:val="-20"/>
                        <w:sz w:val="20"/>
                        <w:szCs w:val="20"/>
                      </w:rPr>
                      <w:fldChar w:fldCharType="begin"/>
                    </w:r>
                    <w:r>
                      <w:rPr>
                        <w:rFonts w:hint="eastAsia" w:ascii="宋体" w:hAnsi="宋体" w:eastAsia="宋体" w:cs="宋体"/>
                        <w:spacing w:val="-20"/>
                        <w:sz w:val="20"/>
                        <w:szCs w:val="20"/>
                      </w:rPr>
                      <w:instrText xml:space="preserve"> PAGE  \* MERGEFORMAT </w:instrText>
                    </w:r>
                    <w:r>
                      <w:rPr>
                        <w:rFonts w:hint="eastAsia" w:ascii="宋体" w:hAnsi="宋体" w:eastAsia="宋体" w:cs="宋体"/>
                        <w:spacing w:val="-20"/>
                        <w:sz w:val="20"/>
                        <w:szCs w:val="20"/>
                      </w:rPr>
                      <w:fldChar w:fldCharType="separate"/>
                    </w:r>
                    <w:r>
                      <w:rPr>
                        <w:rFonts w:ascii="宋体" w:hAnsi="宋体" w:eastAsia="宋体" w:cs="宋体"/>
                        <w:spacing w:val="-20"/>
                        <w:sz w:val="20"/>
                        <w:szCs w:val="20"/>
                      </w:rPr>
                      <w:t>1</w:t>
                    </w:r>
                    <w:r>
                      <w:rPr>
                        <w:rFonts w:hint="eastAsia" w:ascii="宋体" w:hAnsi="宋体" w:eastAsia="宋体" w:cs="宋体"/>
                        <w:spacing w:val="-20"/>
                        <w:sz w:val="20"/>
                        <w:szCs w:val="20"/>
                      </w:rPr>
                      <w:fldChar w:fldCharType="end"/>
                    </w:r>
                    <w:r>
                      <w:rPr>
                        <w:rFonts w:hint="eastAsia" w:ascii="宋体" w:hAnsi="宋体" w:eastAsia="宋体" w:cs="宋体"/>
                        <w:spacing w:val="-20"/>
                        <w:sz w:val="20"/>
                        <w:szCs w:val="2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7755B2"/>
    <w:rsid w:val="00075663"/>
    <w:rsid w:val="0011797A"/>
    <w:rsid w:val="001A33DF"/>
    <w:rsid w:val="001E5400"/>
    <w:rsid w:val="002012A6"/>
    <w:rsid w:val="00220576"/>
    <w:rsid w:val="00273594"/>
    <w:rsid w:val="00274C6B"/>
    <w:rsid w:val="002D4DD1"/>
    <w:rsid w:val="003A3849"/>
    <w:rsid w:val="00402E76"/>
    <w:rsid w:val="004454C0"/>
    <w:rsid w:val="00467271"/>
    <w:rsid w:val="004D2552"/>
    <w:rsid w:val="0053692D"/>
    <w:rsid w:val="00562864"/>
    <w:rsid w:val="005A6134"/>
    <w:rsid w:val="00622CAC"/>
    <w:rsid w:val="00661570"/>
    <w:rsid w:val="00697C24"/>
    <w:rsid w:val="0071124F"/>
    <w:rsid w:val="007755B2"/>
    <w:rsid w:val="00786B92"/>
    <w:rsid w:val="00836C50"/>
    <w:rsid w:val="008629CC"/>
    <w:rsid w:val="00885619"/>
    <w:rsid w:val="008918A5"/>
    <w:rsid w:val="008D4627"/>
    <w:rsid w:val="00914905"/>
    <w:rsid w:val="00937594"/>
    <w:rsid w:val="00964BE0"/>
    <w:rsid w:val="00981D5B"/>
    <w:rsid w:val="00983817"/>
    <w:rsid w:val="009D0BAF"/>
    <w:rsid w:val="00A75377"/>
    <w:rsid w:val="00A862A4"/>
    <w:rsid w:val="00AD1A98"/>
    <w:rsid w:val="00AF3904"/>
    <w:rsid w:val="00B03BC0"/>
    <w:rsid w:val="00B87FE0"/>
    <w:rsid w:val="00BA305E"/>
    <w:rsid w:val="00BD3572"/>
    <w:rsid w:val="00C10F20"/>
    <w:rsid w:val="00C45186"/>
    <w:rsid w:val="00C91DF0"/>
    <w:rsid w:val="00CA544B"/>
    <w:rsid w:val="00CE553B"/>
    <w:rsid w:val="00D30DED"/>
    <w:rsid w:val="00D62666"/>
    <w:rsid w:val="00DB75CB"/>
    <w:rsid w:val="00DC5DC0"/>
    <w:rsid w:val="00DF1D33"/>
    <w:rsid w:val="00E2694E"/>
    <w:rsid w:val="00E432F7"/>
    <w:rsid w:val="00E84566"/>
    <w:rsid w:val="00EE0ED2"/>
    <w:rsid w:val="00EE613E"/>
    <w:rsid w:val="00F612D8"/>
    <w:rsid w:val="00F8218E"/>
    <w:rsid w:val="00FE669C"/>
    <w:rsid w:val="01386D16"/>
    <w:rsid w:val="02093E7F"/>
    <w:rsid w:val="02323356"/>
    <w:rsid w:val="028D1E64"/>
    <w:rsid w:val="03204692"/>
    <w:rsid w:val="03973199"/>
    <w:rsid w:val="04DA38C0"/>
    <w:rsid w:val="074213CD"/>
    <w:rsid w:val="0804017B"/>
    <w:rsid w:val="08D333D9"/>
    <w:rsid w:val="0B5424F9"/>
    <w:rsid w:val="0D430DF3"/>
    <w:rsid w:val="0DF8090E"/>
    <w:rsid w:val="0E0E2FBC"/>
    <w:rsid w:val="11412D66"/>
    <w:rsid w:val="12AE0C73"/>
    <w:rsid w:val="12FE7A7D"/>
    <w:rsid w:val="137F7EB8"/>
    <w:rsid w:val="13DE7189"/>
    <w:rsid w:val="14777C08"/>
    <w:rsid w:val="15071B9F"/>
    <w:rsid w:val="15C87817"/>
    <w:rsid w:val="15EA701D"/>
    <w:rsid w:val="16EE79E7"/>
    <w:rsid w:val="1A973CDA"/>
    <w:rsid w:val="1BAD2CC1"/>
    <w:rsid w:val="1BD21D08"/>
    <w:rsid w:val="1CB75CF0"/>
    <w:rsid w:val="1DBE2D9F"/>
    <w:rsid w:val="1F8211C9"/>
    <w:rsid w:val="1F844831"/>
    <w:rsid w:val="1FD1264E"/>
    <w:rsid w:val="220177EB"/>
    <w:rsid w:val="24322A7A"/>
    <w:rsid w:val="255C0CCC"/>
    <w:rsid w:val="266E7FC2"/>
    <w:rsid w:val="27943AD2"/>
    <w:rsid w:val="27E84345"/>
    <w:rsid w:val="288E3DF7"/>
    <w:rsid w:val="28A13208"/>
    <w:rsid w:val="2B9A3364"/>
    <w:rsid w:val="2C632A7D"/>
    <w:rsid w:val="30043717"/>
    <w:rsid w:val="33431112"/>
    <w:rsid w:val="34DA0397"/>
    <w:rsid w:val="363734F1"/>
    <w:rsid w:val="36672B91"/>
    <w:rsid w:val="36D5683E"/>
    <w:rsid w:val="38C06A61"/>
    <w:rsid w:val="3AE43004"/>
    <w:rsid w:val="3CBA2ACC"/>
    <w:rsid w:val="3CDA760E"/>
    <w:rsid w:val="3D7B4442"/>
    <w:rsid w:val="3DC44B28"/>
    <w:rsid w:val="3EBD0A78"/>
    <w:rsid w:val="3F452BC1"/>
    <w:rsid w:val="3F9309A7"/>
    <w:rsid w:val="4011246B"/>
    <w:rsid w:val="40A37BB2"/>
    <w:rsid w:val="40C5156F"/>
    <w:rsid w:val="41567F55"/>
    <w:rsid w:val="423F075B"/>
    <w:rsid w:val="42B65B70"/>
    <w:rsid w:val="43CD70B5"/>
    <w:rsid w:val="44882839"/>
    <w:rsid w:val="44C0129E"/>
    <w:rsid w:val="479F159F"/>
    <w:rsid w:val="487001B8"/>
    <w:rsid w:val="48860633"/>
    <w:rsid w:val="495F6CAF"/>
    <w:rsid w:val="4A62612C"/>
    <w:rsid w:val="4A6D16B5"/>
    <w:rsid w:val="4A9511D3"/>
    <w:rsid w:val="4A9A42ED"/>
    <w:rsid w:val="4AA22591"/>
    <w:rsid w:val="4BF0596C"/>
    <w:rsid w:val="4C1103DB"/>
    <w:rsid w:val="4D11001E"/>
    <w:rsid w:val="4E401764"/>
    <w:rsid w:val="4EC553B9"/>
    <w:rsid w:val="52380474"/>
    <w:rsid w:val="528B6F7B"/>
    <w:rsid w:val="529140CA"/>
    <w:rsid w:val="530711FA"/>
    <w:rsid w:val="5376061B"/>
    <w:rsid w:val="537E4202"/>
    <w:rsid w:val="555E5B18"/>
    <w:rsid w:val="560714EC"/>
    <w:rsid w:val="56955513"/>
    <w:rsid w:val="575A3E53"/>
    <w:rsid w:val="5778785A"/>
    <w:rsid w:val="58F17B41"/>
    <w:rsid w:val="58F73493"/>
    <w:rsid w:val="5A0D282F"/>
    <w:rsid w:val="5A750C84"/>
    <w:rsid w:val="5A9229DF"/>
    <w:rsid w:val="5B536ED5"/>
    <w:rsid w:val="5D651A2C"/>
    <w:rsid w:val="5FFB6875"/>
    <w:rsid w:val="62C94FA9"/>
    <w:rsid w:val="636067E6"/>
    <w:rsid w:val="63A91100"/>
    <w:rsid w:val="63AC43F4"/>
    <w:rsid w:val="63E203F9"/>
    <w:rsid w:val="64704E98"/>
    <w:rsid w:val="65A80EB2"/>
    <w:rsid w:val="673C6D79"/>
    <w:rsid w:val="67926620"/>
    <w:rsid w:val="67CC2B0A"/>
    <w:rsid w:val="685D039E"/>
    <w:rsid w:val="6A41299B"/>
    <w:rsid w:val="6ACF1138"/>
    <w:rsid w:val="6B6E4081"/>
    <w:rsid w:val="6C586D2E"/>
    <w:rsid w:val="6F4A768D"/>
    <w:rsid w:val="709A4271"/>
    <w:rsid w:val="70B3716F"/>
    <w:rsid w:val="71C30121"/>
    <w:rsid w:val="71E12D98"/>
    <w:rsid w:val="74C74219"/>
    <w:rsid w:val="76B119B8"/>
    <w:rsid w:val="77231E9C"/>
    <w:rsid w:val="77600289"/>
    <w:rsid w:val="78AD12EB"/>
    <w:rsid w:val="79BA347A"/>
    <w:rsid w:val="7BB209B5"/>
    <w:rsid w:val="7BE55756"/>
    <w:rsid w:val="7C777747"/>
    <w:rsid w:val="7DD95BEA"/>
    <w:rsid w:val="7EF20B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spacing w:beforeAutospacing="1" w:afterAutospacing="1"/>
      <w:jc w:val="left"/>
      <w:outlineLvl w:val="3"/>
    </w:pPr>
    <w:rPr>
      <w:rFonts w:hint="eastAsia" w:ascii="宋体" w:hAnsi="宋体" w:eastAsia="宋体"/>
      <w:b/>
      <w:kern w:val="0"/>
      <w:sz w:val="24"/>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Default"/>
    <w:qFormat/>
    <w:uiPriority w:val="0"/>
    <w:pPr>
      <w:widowControl w:val="0"/>
      <w:autoSpaceDE w:val="0"/>
      <w:autoSpaceDN w:val="0"/>
      <w:adjustRightInd w:val="0"/>
    </w:pPr>
    <w:rPr>
      <w:rFonts w:ascii="方正小标宋_GBK" w:hAnsi="Times New Roman" w:eastAsia="方正小标宋_GBK" w:cs="方正小标宋_GBK"/>
      <w:color w:val="000000"/>
      <w:sz w:val="24"/>
      <w:szCs w:val="24"/>
      <w:lang w:val="en-US" w:eastAsia="zh-CN" w:bidi="ar-SA"/>
    </w:rPr>
  </w:style>
  <w:style w:type="table" w:customStyle="1" w:styleId="9">
    <w:name w:val="TableGrid"/>
    <w:qFormat/>
    <w:uiPriority w:val="0"/>
    <w:rPr>
      <w:rFonts w:asciiTheme="minorHAnsi" w:hAnsiTheme="minorHAnsi" w:eastAsiaTheme="minorEastAsia" w:cstheme="minorBidi"/>
      <w:kern w:val="2"/>
      <w:sz w:val="21"/>
      <w:szCs w:val="22"/>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354</Words>
  <Characters>2019</Characters>
  <Lines>16</Lines>
  <Paragraphs>4</Paragraphs>
  <TotalTime>8</TotalTime>
  <ScaleCrop>false</ScaleCrop>
  <LinksUpToDate>false</LinksUpToDate>
  <CharactersWithSpaces>2369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2020-09-21T00:52:00Z</dcterms:created>
  <dc:creator>wsda</dc:creator>
  <cp:lastModifiedBy>summer</cp:lastModifiedBy>
  <cp:lastPrinted>2020-10-20T02:50:00Z</cp:lastPrinted>
  <dcterms:modified xsi:type="dcterms:W3CDTF">2022-11-18T07:21:46Z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C03E59226D864F8B9E89B9212EE1966C</vt:lpwstr>
  </property>
</Properties>
</file>