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66" w:rsidRDefault="008D4627">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资源县</w:t>
      </w:r>
      <w:r w:rsidR="004D2552" w:rsidRPr="004D2552">
        <w:rPr>
          <w:rFonts w:ascii="方正小标宋简体" w:eastAsia="方正小标宋简体" w:hAnsi="方正小标宋简体" w:hint="eastAsia"/>
          <w:sz w:val="44"/>
          <w:szCs w:val="44"/>
        </w:rPr>
        <w:t>涉农补贴领域基层政务公开标准目录</w:t>
      </w:r>
    </w:p>
    <w:tbl>
      <w:tblPr>
        <w:tblW w:w="14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1119"/>
        <w:gridCol w:w="850"/>
        <w:gridCol w:w="2268"/>
        <w:gridCol w:w="851"/>
        <w:gridCol w:w="1842"/>
        <w:gridCol w:w="1701"/>
        <w:gridCol w:w="993"/>
        <w:gridCol w:w="708"/>
        <w:gridCol w:w="709"/>
        <w:gridCol w:w="851"/>
        <w:gridCol w:w="850"/>
        <w:gridCol w:w="851"/>
        <w:gridCol w:w="875"/>
      </w:tblGrid>
      <w:tr w:rsidR="00B87FE0" w:rsidRPr="00B87FE0" w:rsidTr="00B87FE0">
        <w:trPr>
          <w:trHeight w:val="300"/>
          <w:jc w:val="center"/>
        </w:trPr>
        <w:tc>
          <w:tcPr>
            <w:tcW w:w="497" w:type="dxa"/>
            <w:vMerge w:val="restart"/>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序号</w:t>
            </w:r>
          </w:p>
        </w:tc>
        <w:tc>
          <w:tcPr>
            <w:tcW w:w="1969" w:type="dxa"/>
            <w:gridSpan w:val="2"/>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公开事项</w:t>
            </w:r>
          </w:p>
        </w:tc>
        <w:tc>
          <w:tcPr>
            <w:tcW w:w="2268" w:type="dxa"/>
            <w:vMerge w:val="restart"/>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公开内容（要素）</w:t>
            </w:r>
          </w:p>
        </w:tc>
        <w:tc>
          <w:tcPr>
            <w:tcW w:w="851" w:type="dxa"/>
            <w:vMerge w:val="restart"/>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公开主体</w:t>
            </w:r>
          </w:p>
        </w:tc>
        <w:tc>
          <w:tcPr>
            <w:tcW w:w="1842" w:type="dxa"/>
            <w:vMerge w:val="restart"/>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公开依据</w:t>
            </w:r>
          </w:p>
        </w:tc>
        <w:tc>
          <w:tcPr>
            <w:tcW w:w="1701" w:type="dxa"/>
            <w:vMerge w:val="restart"/>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公开时限</w:t>
            </w:r>
          </w:p>
        </w:tc>
        <w:tc>
          <w:tcPr>
            <w:tcW w:w="993" w:type="dxa"/>
            <w:vMerge w:val="restart"/>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公开渠道和载体</w:t>
            </w:r>
          </w:p>
        </w:tc>
        <w:tc>
          <w:tcPr>
            <w:tcW w:w="1417" w:type="dxa"/>
            <w:gridSpan w:val="2"/>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公开对象</w:t>
            </w:r>
          </w:p>
        </w:tc>
        <w:tc>
          <w:tcPr>
            <w:tcW w:w="1701" w:type="dxa"/>
            <w:gridSpan w:val="2"/>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公开方式</w:t>
            </w:r>
          </w:p>
        </w:tc>
        <w:tc>
          <w:tcPr>
            <w:tcW w:w="1726" w:type="dxa"/>
            <w:gridSpan w:val="2"/>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公开层级</w:t>
            </w:r>
          </w:p>
        </w:tc>
      </w:tr>
      <w:tr w:rsidR="00B87FE0" w:rsidRPr="00B87FE0" w:rsidTr="00B87FE0">
        <w:trPr>
          <w:trHeight w:val="286"/>
          <w:jc w:val="center"/>
        </w:trPr>
        <w:tc>
          <w:tcPr>
            <w:tcW w:w="497" w:type="dxa"/>
            <w:vMerge/>
            <w:vAlign w:val="center"/>
            <w:hideMark/>
          </w:tcPr>
          <w:p w:rsidR="00B87FE0" w:rsidRPr="00B87FE0" w:rsidRDefault="00B87FE0" w:rsidP="00B87FE0">
            <w:pPr>
              <w:widowControl/>
              <w:jc w:val="left"/>
              <w:rPr>
                <w:rFonts w:ascii="仿宋_GB2312" w:eastAsia="仿宋_GB2312" w:hAnsi="Calibri" w:cs="Calibri"/>
                <w:b/>
                <w:bCs/>
                <w:color w:val="000000"/>
                <w:kern w:val="0"/>
                <w:sz w:val="18"/>
                <w:szCs w:val="18"/>
              </w:rPr>
            </w:pPr>
          </w:p>
        </w:tc>
        <w:tc>
          <w:tcPr>
            <w:tcW w:w="1119"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一级事项</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二级事项</w:t>
            </w:r>
          </w:p>
        </w:tc>
        <w:tc>
          <w:tcPr>
            <w:tcW w:w="2268" w:type="dxa"/>
            <w:vMerge/>
            <w:vAlign w:val="center"/>
            <w:hideMark/>
          </w:tcPr>
          <w:p w:rsidR="00B87FE0" w:rsidRPr="00B87FE0" w:rsidRDefault="00B87FE0" w:rsidP="00B87FE0">
            <w:pPr>
              <w:widowControl/>
              <w:jc w:val="left"/>
              <w:rPr>
                <w:rFonts w:ascii="仿宋_GB2312" w:eastAsia="仿宋_GB2312" w:hAnsi="Calibri" w:cs="Calibri"/>
                <w:b/>
                <w:bCs/>
                <w:color w:val="000000"/>
                <w:kern w:val="0"/>
                <w:sz w:val="18"/>
                <w:szCs w:val="18"/>
              </w:rPr>
            </w:pPr>
          </w:p>
        </w:tc>
        <w:tc>
          <w:tcPr>
            <w:tcW w:w="851" w:type="dxa"/>
            <w:vMerge/>
            <w:vAlign w:val="center"/>
            <w:hideMark/>
          </w:tcPr>
          <w:p w:rsidR="00B87FE0" w:rsidRPr="00B87FE0" w:rsidRDefault="00B87FE0" w:rsidP="00B87FE0">
            <w:pPr>
              <w:widowControl/>
              <w:jc w:val="left"/>
              <w:rPr>
                <w:rFonts w:ascii="仿宋_GB2312" w:eastAsia="仿宋_GB2312" w:hAnsi="Calibri" w:cs="Calibri"/>
                <w:b/>
                <w:bCs/>
                <w:color w:val="000000"/>
                <w:kern w:val="0"/>
                <w:sz w:val="18"/>
                <w:szCs w:val="18"/>
              </w:rPr>
            </w:pPr>
          </w:p>
        </w:tc>
        <w:tc>
          <w:tcPr>
            <w:tcW w:w="1842" w:type="dxa"/>
            <w:vMerge/>
            <w:vAlign w:val="center"/>
            <w:hideMark/>
          </w:tcPr>
          <w:p w:rsidR="00B87FE0" w:rsidRPr="00B87FE0" w:rsidRDefault="00B87FE0" w:rsidP="00B87FE0">
            <w:pPr>
              <w:widowControl/>
              <w:jc w:val="left"/>
              <w:rPr>
                <w:rFonts w:ascii="仿宋_GB2312" w:eastAsia="仿宋_GB2312" w:hAnsi="Calibri" w:cs="Calibri"/>
                <w:b/>
                <w:bCs/>
                <w:color w:val="000000"/>
                <w:kern w:val="0"/>
                <w:sz w:val="18"/>
                <w:szCs w:val="18"/>
              </w:rPr>
            </w:pPr>
          </w:p>
        </w:tc>
        <w:tc>
          <w:tcPr>
            <w:tcW w:w="1701" w:type="dxa"/>
            <w:vMerge/>
            <w:vAlign w:val="center"/>
            <w:hideMark/>
          </w:tcPr>
          <w:p w:rsidR="00B87FE0" w:rsidRPr="00B87FE0" w:rsidRDefault="00B87FE0" w:rsidP="00B87FE0">
            <w:pPr>
              <w:widowControl/>
              <w:jc w:val="left"/>
              <w:rPr>
                <w:rFonts w:ascii="仿宋_GB2312" w:eastAsia="仿宋_GB2312" w:hAnsi="Calibri" w:cs="Calibri"/>
                <w:b/>
                <w:bCs/>
                <w:color w:val="000000"/>
                <w:kern w:val="0"/>
                <w:sz w:val="18"/>
                <w:szCs w:val="18"/>
              </w:rPr>
            </w:pPr>
          </w:p>
        </w:tc>
        <w:tc>
          <w:tcPr>
            <w:tcW w:w="993" w:type="dxa"/>
            <w:vMerge/>
            <w:vAlign w:val="center"/>
            <w:hideMark/>
          </w:tcPr>
          <w:p w:rsidR="00B87FE0" w:rsidRPr="00B87FE0" w:rsidRDefault="00B87FE0" w:rsidP="00B87FE0">
            <w:pPr>
              <w:widowControl/>
              <w:jc w:val="left"/>
              <w:rPr>
                <w:rFonts w:ascii="仿宋_GB2312" w:eastAsia="仿宋_GB2312" w:hAnsi="Calibri" w:cs="Calibri"/>
                <w:b/>
                <w:bCs/>
                <w:color w:val="000000"/>
                <w:kern w:val="0"/>
                <w:sz w:val="18"/>
                <w:szCs w:val="18"/>
              </w:rPr>
            </w:pPr>
          </w:p>
        </w:tc>
        <w:tc>
          <w:tcPr>
            <w:tcW w:w="708"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全社会</w:t>
            </w:r>
          </w:p>
        </w:tc>
        <w:tc>
          <w:tcPr>
            <w:tcW w:w="709"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特定群众</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主动</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依申请公开</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县级</w:t>
            </w:r>
          </w:p>
        </w:tc>
        <w:tc>
          <w:tcPr>
            <w:tcW w:w="875" w:type="dxa"/>
            <w:shd w:val="clear" w:color="auto" w:fill="auto"/>
            <w:vAlign w:val="center"/>
            <w:hideMark/>
          </w:tcPr>
          <w:p w:rsidR="00B87FE0" w:rsidRPr="00B87FE0" w:rsidRDefault="00B87FE0" w:rsidP="00B87FE0">
            <w:pPr>
              <w:widowControl/>
              <w:jc w:val="center"/>
              <w:rPr>
                <w:rFonts w:ascii="仿宋_GB2312" w:eastAsia="仿宋_GB2312" w:hAnsi="Calibri" w:cs="Calibri"/>
                <w:b/>
                <w:bCs/>
                <w:color w:val="000000"/>
                <w:kern w:val="0"/>
                <w:sz w:val="18"/>
                <w:szCs w:val="18"/>
              </w:rPr>
            </w:pPr>
            <w:r w:rsidRPr="00B87FE0">
              <w:rPr>
                <w:rFonts w:ascii="仿宋_GB2312" w:eastAsia="仿宋_GB2312" w:hAnsi="Calibri" w:cs="Calibri" w:hint="eastAsia"/>
                <w:b/>
                <w:bCs/>
                <w:color w:val="000000"/>
                <w:kern w:val="0"/>
                <w:sz w:val="18"/>
                <w:szCs w:val="18"/>
              </w:rPr>
              <w:t>乡、村级</w:t>
            </w:r>
          </w:p>
        </w:tc>
      </w:tr>
      <w:tr w:rsidR="00B87FE0" w:rsidRPr="00B87FE0" w:rsidTr="00B87FE0">
        <w:trPr>
          <w:trHeight w:val="3089"/>
          <w:jc w:val="center"/>
        </w:trPr>
        <w:tc>
          <w:tcPr>
            <w:tcW w:w="497"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1</w:t>
            </w:r>
          </w:p>
        </w:tc>
        <w:tc>
          <w:tcPr>
            <w:tcW w:w="111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农业生产发展资金</w:t>
            </w:r>
          </w:p>
        </w:tc>
        <w:tc>
          <w:tcPr>
            <w:tcW w:w="850"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农机购置补贴</w:t>
            </w:r>
          </w:p>
        </w:tc>
        <w:tc>
          <w:tcPr>
            <w:tcW w:w="226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1、政策依据:</w:t>
            </w:r>
            <w:r w:rsidRPr="00B87FE0">
              <w:rPr>
                <w:rFonts w:ascii="仿宋_GB2312" w:eastAsia="仿宋_GB2312" w:hAnsi="宋体" w:cs="宋体" w:hint="eastAsia"/>
                <w:color w:val="000000"/>
                <w:kern w:val="0"/>
                <w:sz w:val="18"/>
                <w:szCs w:val="18"/>
              </w:rPr>
              <w:br/>
              <w:t>申请指南：包括补贴对象、补贴范围、补贴标准、申请程序、申请材料、咨询电话、受理单位、办理时限、联系方式等；</w:t>
            </w:r>
            <w:r w:rsidRPr="00B87FE0">
              <w:rPr>
                <w:rFonts w:ascii="仿宋_GB2312" w:eastAsia="仿宋_GB2312" w:hAnsi="宋体" w:cs="宋体" w:hint="eastAsia"/>
                <w:color w:val="000000"/>
                <w:kern w:val="0"/>
                <w:sz w:val="18"/>
                <w:szCs w:val="18"/>
              </w:rPr>
              <w:br/>
              <w:t>2、补贴结果:</w:t>
            </w:r>
            <w:r w:rsidRPr="00B87FE0">
              <w:rPr>
                <w:rFonts w:ascii="仿宋_GB2312" w:eastAsia="仿宋_GB2312" w:hAnsi="宋体" w:cs="宋体" w:hint="eastAsia"/>
                <w:color w:val="000000"/>
                <w:kern w:val="0"/>
                <w:sz w:val="18"/>
                <w:szCs w:val="18"/>
              </w:rPr>
              <w:br/>
              <w:t>监督渠道：包括举报电话、地址等。</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县级农业农村部门</w:t>
            </w:r>
          </w:p>
        </w:tc>
        <w:tc>
          <w:tcPr>
            <w:tcW w:w="1842"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《农业机械化促进法》、《农业生产发展资金管理办法》、《2018-2020年农机购置补贴实施指导意见》</w:t>
            </w:r>
          </w:p>
        </w:tc>
        <w:tc>
          <w:tcPr>
            <w:tcW w:w="170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政府网站</w:t>
            </w:r>
          </w:p>
        </w:tc>
        <w:tc>
          <w:tcPr>
            <w:tcW w:w="70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70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75"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r>
      <w:tr w:rsidR="00B87FE0" w:rsidRPr="00B87FE0" w:rsidTr="00B87FE0">
        <w:trPr>
          <w:trHeight w:val="3089"/>
          <w:jc w:val="center"/>
        </w:trPr>
        <w:tc>
          <w:tcPr>
            <w:tcW w:w="497"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2</w:t>
            </w:r>
          </w:p>
        </w:tc>
        <w:tc>
          <w:tcPr>
            <w:tcW w:w="111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农业生产发展资金</w:t>
            </w:r>
          </w:p>
        </w:tc>
        <w:tc>
          <w:tcPr>
            <w:tcW w:w="850"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耕地地力保护</w:t>
            </w:r>
          </w:p>
        </w:tc>
        <w:tc>
          <w:tcPr>
            <w:tcW w:w="226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1、政策依据；</w:t>
            </w:r>
            <w:r w:rsidRPr="00B87FE0">
              <w:rPr>
                <w:rFonts w:ascii="仿宋_GB2312" w:eastAsia="仿宋_GB2312" w:hAnsi="宋体" w:cs="宋体" w:hint="eastAsia"/>
                <w:color w:val="000000"/>
                <w:kern w:val="0"/>
                <w:sz w:val="18"/>
                <w:szCs w:val="18"/>
              </w:rPr>
              <w:br/>
              <w:t>申请指南：包括补贴对象、补贴范围、补贴标准、申请程序、申请材料、咨询电话、受理单位、办理时限、联系方式等；</w:t>
            </w:r>
            <w:r w:rsidRPr="00B87FE0">
              <w:rPr>
                <w:rFonts w:ascii="仿宋_GB2312" w:eastAsia="仿宋_GB2312" w:hAnsi="宋体" w:cs="宋体" w:hint="eastAsia"/>
                <w:color w:val="000000"/>
                <w:kern w:val="0"/>
                <w:sz w:val="18"/>
                <w:szCs w:val="18"/>
              </w:rPr>
              <w:br/>
              <w:t>2、补贴结果；</w:t>
            </w:r>
            <w:r w:rsidRPr="00B87FE0">
              <w:rPr>
                <w:rFonts w:ascii="仿宋_GB2312" w:eastAsia="仿宋_GB2312" w:hAnsi="宋体" w:cs="宋体" w:hint="eastAsia"/>
                <w:color w:val="000000"/>
                <w:kern w:val="0"/>
                <w:sz w:val="18"/>
                <w:szCs w:val="18"/>
              </w:rPr>
              <w:br/>
              <w:t>监督渠道：包括举报电话、地址等。</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县级农业农村部门</w:t>
            </w:r>
          </w:p>
        </w:tc>
        <w:tc>
          <w:tcPr>
            <w:tcW w:w="1842"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《农业生产发展资金管理办法》、《财政部 农业部关于全面推开农业“三项补贴”改革工作的通知》</w:t>
            </w:r>
          </w:p>
        </w:tc>
        <w:tc>
          <w:tcPr>
            <w:tcW w:w="170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政府网站</w:t>
            </w:r>
          </w:p>
        </w:tc>
        <w:tc>
          <w:tcPr>
            <w:tcW w:w="70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70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75"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r>
      <w:tr w:rsidR="00B87FE0" w:rsidRPr="00B87FE0" w:rsidTr="00B87FE0">
        <w:trPr>
          <w:trHeight w:val="3251"/>
          <w:jc w:val="center"/>
        </w:trPr>
        <w:tc>
          <w:tcPr>
            <w:tcW w:w="497"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lastRenderedPageBreak/>
              <w:t>3</w:t>
            </w:r>
          </w:p>
        </w:tc>
        <w:tc>
          <w:tcPr>
            <w:tcW w:w="111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农业生产发展资金</w:t>
            </w:r>
          </w:p>
        </w:tc>
        <w:tc>
          <w:tcPr>
            <w:tcW w:w="850"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新型职业农民培育</w:t>
            </w:r>
          </w:p>
        </w:tc>
        <w:tc>
          <w:tcPr>
            <w:tcW w:w="226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1、政策依据；</w:t>
            </w:r>
            <w:r w:rsidRPr="00B87FE0">
              <w:rPr>
                <w:rFonts w:ascii="仿宋_GB2312" w:eastAsia="仿宋_GB2312" w:hAnsi="宋体" w:cs="宋体" w:hint="eastAsia"/>
                <w:color w:val="000000"/>
                <w:kern w:val="0"/>
                <w:sz w:val="18"/>
                <w:szCs w:val="18"/>
              </w:rPr>
              <w:br/>
              <w:t>申请指南：包括补贴对象、补贴范围、补贴标准、申请程序、申请材料、咨询电话、受理单位、办理时限、联系方式等；</w:t>
            </w:r>
            <w:r w:rsidRPr="00B87FE0">
              <w:rPr>
                <w:rFonts w:ascii="仿宋_GB2312" w:eastAsia="仿宋_GB2312" w:hAnsi="宋体" w:cs="宋体" w:hint="eastAsia"/>
                <w:color w:val="000000"/>
                <w:kern w:val="0"/>
                <w:sz w:val="18"/>
                <w:szCs w:val="18"/>
              </w:rPr>
              <w:br/>
              <w:t>2、补贴结果；</w:t>
            </w:r>
            <w:r w:rsidRPr="00B87FE0">
              <w:rPr>
                <w:rFonts w:ascii="仿宋_GB2312" w:eastAsia="仿宋_GB2312" w:hAnsi="宋体" w:cs="宋体" w:hint="eastAsia"/>
                <w:color w:val="000000"/>
                <w:kern w:val="0"/>
                <w:sz w:val="18"/>
                <w:szCs w:val="18"/>
              </w:rPr>
              <w:br/>
              <w:t>监督渠道：包括举报电话、地址等。</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县级农业农村部门</w:t>
            </w:r>
          </w:p>
        </w:tc>
        <w:tc>
          <w:tcPr>
            <w:tcW w:w="1842"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70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政府网站</w:t>
            </w:r>
          </w:p>
        </w:tc>
        <w:tc>
          <w:tcPr>
            <w:tcW w:w="70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70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75"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r>
      <w:tr w:rsidR="00B87FE0" w:rsidRPr="00B87FE0" w:rsidTr="00B87FE0">
        <w:trPr>
          <w:trHeight w:val="3089"/>
          <w:jc w:val="center"/>
        </w:trPr>
        <w:tc>
          <w:tcPr>
            <w:tcW w:w="497"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4</w:t>
            </w:r>
          </w:p>
        </w:tc>
        <w:tc>
          <w:tcPr>
            <w:tcW w:w="111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农业生产发展资金</w:t>
            </w:r>
          </w:p>
        </w:tc>
        <w:tc>
          <w:tcPr>
            <w:tcW w:w="850"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支持新型农业经营主体</w:t>
            </w:r>
          </w:p>
        </w:tc>
        <w:tc>
          <w:tcPr>
            <w:tcW w:w="226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1、政策依据；</w:t>
            </w:r>
            <w:r w:rsidRPr="00B87FE0">
              <w:rPr>
                <w:rFonts w:ascii="仿宋_GB2312" w:eastAsia="仿宋_GB2312" w:hAnsi="宋体" w:cs="宋体" w:hint="eastAsia"/>
                <w:color w:val="000000"/>
                <w:kern w:val="0"/>
                <w:sz w:val="18"/>
                <w:szCs w:val="18"/>
              </w:rPr>
              <w:br/>
              <w:t>申请指南：包括补贴对象、补贴范围、补贴标准、申请程序、申请材料、咨询电话、受理单位、办理时限、联系方式等；</w:t>
            </w:r>
            <w:r w:rsidRPr="00B87FE0">
              <w:rPr>
                <w:rFonts w:ascii="仿宋_GB2312" w:eastAsia="仿宋_GB2312" w:hAnsi="宋体" w:cs="宋体" w:hint="eastAsia"/>
                <w:color w:val="000000"/>
                <w:kern w:val="0"/>
                <w:sz w:val="18"/>
                <w:szCs w:val="18"/>
              </w:rPr>
              <w:br/>
              <w:t>2、补贴结果；</w:t>
            </w:r>
            <w:r w:rsidRPr="00B87FE0">
              <w:rPr>
                <w:rFonts w:ascii="仿宋_GB2312" w:eastAsia="仿宋_GB2312" w:hAnsi="宋体" w:cs="宋体" w:hint="eastAsia"/>
                <w:color w:val="000000"/>
                <w:kern w:val="0"/>
                <w:sz w:val="18"/>
                <w:szCs w:val="18"/>
              </w:rPr>
              <w:br/>
              <w:t>监督渠道：包括举报电话、地址等。</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县级农业农村部门</w:t>
            </w:r>
          </w:p>
        </w:tc>
        <w:tc>
          <w:tcPr>
            <w:tcW w:w="1842"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《农业生产发展资金管理办法》</w:t>
            </w:r>
          </w:p>
        </w:tc>
        <w:tc>
          <w:tcPr>
            <w:tcW w:w="170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政府网站</w:t>
            </w:r>
          </w:p>
        </w:tc>
        <w:tc>
          <w:tcPr>
            <w:tcW w:w="70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70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75"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r>
      <w:tr w:rsidR="00B87FE0" w:rsidRPr="00B87FE0" w:rsidTr="00B87FE0">
        <w:trPr>
          <w:trHeight w:val="3089"/>
          <w:jc w:val="center"/>
        </w:trPr>
        <w:tc>
          <w:tcPr>
            <w:tcW w:w="497"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5</w:t>
            </w:r>
          </w:p>
        </w:tc>
        <w:tc>
          <w:tcPr>
            <w:tcW w:w="111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动物防疫等补助经费</w:t>
            </w:r>
          </w:p>
        </w:tc>
        <w:tc>
          <w:tcPr>
            <w:tcW w:w="850"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强制扑杀、强制免疫和养殖环节无害化处理补助</w:t>
            </w:r>
          </w:p>
        </w:tc>
        <w:tc>
          <w:tcPr>
            <w:tcW w:w="226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1、政策依据；</w:t>
            </w:r>
            <w:r w:rsidRPr="00B87FE0">
              <w:rPr>
                <w:rFonts w:ascii="仿宋_GB2312" w:eastAsia="仿宋_GB2312" w:hAnsi="宋体" w:cs="宋体" w:hint="eastAsia"/>
                <w:color w:val="000000"/>
                <w:kern w:val="0"/>
                <w:sz w:val="18"/>
                <w:szCs w:val="18"/>
              </w:rPr>
              <w:br/>
              <w:t>申请指南：包括补贴对象、补贴范围、补贴标准、申请程序、申请材料、咨询电话、受理单位、办理时限、联系方式等；</w:t>
            </w:r>
            <w:r w:rsidRPr="00B87FE0">
              <w:rPr>
                <w:rFonts w:ascii="仿宋_GB2312" w:eastAsia="仿宋_GB2312" w:hAnsi="宋体" w:cs="宋体" w:hint="eastAsia"/>
                <w:color w:val="000000"/>
                <w:kern w:val="0"/>
                <w:sz w:val="18"/>
                <w:szCs w:val="18"/>
              </w:rPr>
              <w:br/>
              <w:t>2、补贴结果；</w:t>
            </w:r>
            <w:r w:rsidRPr="00B87FE0">
              <w:rPr>
                <w:rFonts w:ascii="仿宋_GB2312" w:eastAsia="仿宋_GB2312" w:hAnsi="宋体" w:cs="宋体" w:hint="eastAsia"/>
                <w:color w:val="000000"/>
                <w:kern w:val="0"/>
                <w:sz w:val="18"/>
                <w:szCs w:val="18"/>
              </w:rPr>
              <w:br/>
              <w:t>监督渠道：包括举报电话、地址等。</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县级农业农村部门</w:t>
            </w:r>
          </w:p>
        </w:tc>
        <w:tc>
          <w:tcPr>
            <w:tcW w:w="1842"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《动物防疫法》、《动物防疫等补助经费管理办法》</w:t>
            </w:r>
          </w:p>
        </w:tc>
        <w:tc>
          <w:tcPr>
            <w:tcW w:w="170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信息形成或者变更之日起20个工作日内。法律、法规对政府信息公开的期限另有规定的，从其规定。</w:t>
            </w:r>
          </w:p>
        </w:tc>
        <w:tc>
          <w:tcPr>
            <w:tcW w:w="993"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政府网站</w:t>
            </w:r>
          </w:p>
        </w:tc>
        <w:tc>
          <w:tcPr>
            <w:tcW w:w="708"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709"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left"/>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50"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c>
          <w:tcPr>
            <w:tcW w:w="851"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w:t>
            </w:r>
          </w:p>
        </w:tc>
        <w:tc>
          <w:tcPr>
            <w:tcW w:w="875" w:type="dxa"/>
            <w:shd w:val="clear" w:color="auto" w:fill="auto"/>
            <w:vAlign w:val="center"/>
            <w:hideMark/>
          </w:tcPr>
          <w:p w:rsidR="00B87FE0" w:rsidRPr="00B87FE0" w:rsidRDefault="00B87FE0" w:rsidP="00B87FE0">
            <w:pPr>
              <w:widowControl/>
              <w:jc w:val="center"/>
              <w:rPr>
                <w:rFonts w:ascii="仿宋_GB2312" w:eastAsia="仿宋_GB2312" w:hAnsi="宋体" w:cs="宋体"/>
                <w:color w:val="000000"/>
                <w:kern w:val="0"/>
                <w:sz w:val="18"/>
                <w:szCs w:val="18"/>
              </w:rPr>
            </w:pPr>
            <w:r w:rsidRPr="00B87FE0">
              <w:rPr>
                <w:rFonts w:ascii="仿宋_GB2312" w:eastAsia="仿宋_GB2312" w:hAnsi="宋体" w:cs="宋体" w:hint="eastAsia"/>
                <w:color w:val="000000"/>
                <w:kern w:val="0"/>
                <w:sz w:val="18"/>
                <w:szCs w:val="18"/>
              </w:rPr>
              <w:t xml:space="preserve">　</w:t>
            </w:r>
          </w:p>
        </w:tc>
      </w:tr>
      <w:tr w:rsidR="004454C0" w:rsidTr="004454C0">
        <w:trPr>
          <w:trHeight w:val="3089"/>
          <w:jc w:val="center"/>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lastRenderedPageBreak/>
              <w:t>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中央财政林业改革发展资金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天然林停伐管护补助</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政策依据、申请流程、补助面积、补助对象、补助标准、补助结果等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资源县林业局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《中华人民共和国政府信息公开条例》、《林业改革发展资金管理办法》、《广西壮族自治区林业改革发展资金管理办法》等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信息形成或变更之日起</w:t>
            </w:r>
            <w:r w:rsidRPr="004454C0">
              <w:rPr>
                <w:rFonts w:ascii="仿宋_GB2312" w:eastAsia="仿宋_GB2312" w:hAnsi="宋体" w:cs="宋体"/>
                <w:color w:val="000000"/>
                <w:kern w:val="0"/>
                <w:sz w:val="18"/>
                <w:szCs w:val="18"/>
              </w:rPr>
              <w:t>20</w:t>
            </w:r>
            <w:r w:rsidRPr="004454C0">
              <w:rPr>
                <w:rFonts w:ascii="仿宋_GB2312" w:eastAsia="仿宋_GB2312" w:hAnsi="宋体" w:cs="宋体" w:hint="eastAsia"/>
                <w:color w:val="000000"/>
                <w:kern w:val="0"/>
                <w:sz w:val="18"/>
                <w:szCs w:val="18"/>
              </w:rPr>
              <w:t>个工作日内（相关政策法规另有规定的应从其规定）</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color w:val="000000"/>
                <w:kern w:val="0"/>
                <w:sz w:val="18"/>
                <w:szCs w:val="18"/>
              </w:rPr>
              <w:fldChar w:fldCharType="begin"/>
            </w:r>
            <w:r w:rsidRPr="004454C0">
              <w:rPr>
                <w:rFonts w:ascii="仿宋_GB2312" w:eastAsia="仿宋_GB2312" w:hAnsi="宋体" w:cs="宋体"/>
                <w:color w:val="000000"/>
                <w:kern w:val="0"/>
                <w:sz w:val="18"/>
                <w:szCs w:val="18"/>
              </w:rPr>
              <w:instrText xml:space="preserve"> EQ \o\ac(</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color w:val="000000"/>
                <w:kern w:val="0"/>
                <w:sz w:val="18"/>
                <w:szCs w:val="18"/>
              </w:rPr>
              <w:fldChar w:fldCharType="end"/>
            </w:r>
            <w:r w:rsidRPr="004454C0">
              <w:rPr>
                <w:rFonts w:ascii="仿宋_GB2312" w:eastAsia="仿宋_GB2312" w:hAnsi="宋体" w:cs="宋体" w:hint="eastAsia"/>
                <w:color w:val="000000"/>
                <w:kern w:val="0"/>
                <w:sz w:val="18"/>
                <w:szCs w:val="18"/>
              </w:rPr>
              <w:t>政府网站</w:t>
            </w:r>
            <w:r w:rsidRPr="004454C0">
              <w:rPr>
                <w:rFonts w:ascii="仿宋_GB2312" w:eastAsia="仿宋_GB2312" w:hAnsi="宋体" w:cs="宋体"/>
                <w:color w:val="000000"/>
                <w:kern w:val="0"/>
                <w:sz w:val="18"/>
                <w:szCs w:val="18"/>
              </w:rPr>
              <w:t xml:space="preserve">                                                                                                                                                                                                       </w:t>
            </w:r>
            <w:r w:rsidRPr="004454C0">
              <w:rPr>
                <w:rFonts w:ascii="仿宋_GB2312" w:eastAsia="仿宋_GB2312" w:hAnsi="宋体" w:cs="宋体"/>
                <w:color w:val="000000"/>
                <w:kern w:val="0"/>
                <w:sz w:val="18"/>
                <w:szCs w:val="18"/>
              </w:rPr>
              <w:br/>
            </w:r>
            <w:r w:rsidRPr="004454C0">
              <w:rPr>
                <w:rFonts w:ascii="仿宋_GB2312" w:eastAsia="仿宋_GB2312" w:hAnsi="宋体" w:cs="宋体"/>
                <w:color w:val="000000"/>
                <w:kern w:val="0"/>
                <w:sz w:val="18"/>
                <w:szCs w:val="18"/>
              </w:rPr>
              <w:fldChar w:fldCharType="begin"/>
            </w:r>
            <w:r w:rsidRPr="004454C0">
              <w:rPr>
                <w:rFonts w:ascii="仿宋_GB2312" w:eastAsia="仿宋_GB2312" w:hAnsi="宋体" w:cs="宋体"/>
                <w:color w:val="000000"/>
                <w:kern w:val="0"/>
                <w:sz w:val="18"/>
                <w:szCs w:val="18"/>
              </w:rPr>
              <w:instrText xml:space="preserve"> EQ \o\ac(</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color w:val="000000"/>
                <w:kern w:val="0"/>
                <w:sz w:val="18"/>
                <w:szCs w:val="18"/>
              </w:rPr>
              <w:fldChar w:fldCharType="end"/>
            </w:r>
            <w:r w:rsidRPr="004454C0">
              <w:rPr>
                <w:rFonts w:ascii="仿宋_GB2312" w:eastAsia="仿宋_GB2312" w:hAnsi="宋体" w:cs="宋体" w:hint="eastAsia"/>
                <w:color w:val="000000"/>
                <w:kern w:val="0"/>
                <w:sz w:val="18"/>
                <w:szCs w:val="18"/>
              </w:rPr>
              <w:t>公开查阅点</w:t>
            </w:r>
            <w:r w:rsidRPr="004454C0">
              <w:rPr>
                <w:rFonts w:ascii="仿宋_GB2312" w:eastAsia="仿宋_GB2312" w:hAnsi="宋体" w:cs="宋体"/>
                <w:color w:val="000000"/>
                <w:kern w:val="0"/>
                <w:sz w:val="18"/>
                <w:szCs w:val="18"/>
              </w:rPr>
              <w:br/>
            </w:r>
            <w:r w:rsidRPr="004454C0">
              <w:rPr>
                <w:rFonts w:ascii="仿宋_GB2312" w:eastAsia="仿宋_GB2312" w:hAnsi="宋体" w:cs="宋体"/>
                <w:color w:val="000000"/>
                <w:kern w:val="0"/>
                <w:sz w:val="18"/>
                <w:szCs w:val="18"/>
              </w:rPr>
              <w:fldChar w:fldCharType="begin"/>
            </w:r>
            <w:r w:rsidRPr="004454C0">
              <w:rPr>
                <w:rFonts w:ascii="仿宋_GB2312" w:eastAsia="仿宋_GB2312" w:hAnsi="宋体" w:cs="宋体"/>
                <w:color w:val="000000"/>
                <w:kern w:val="0"/>
                <w:sz w:val="18"/>
                <w:szCs w:val="18"/>
              </w:rPr>
              <w:instrText xml:space="preserve"> EQ \o\ac(</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color w:val="000000"/>
                <w:kern w:val="0"/>
                <w:sz w:val="18"/>
                <w:szCs w:val="18"/>
              </w:rPr>
              <w:fldChar w:fldCharType="end"/>
            </w:r>
            <w:r w:rsidRPr="004454C0">
              <w:rPr>
                <w:rFonts w:ascii="仿宋_GB2312" w:eastAsia="仿宋_GB2312" w:hAnsi="宋体" w:cs="宋体" w:hint="eastAsia"/>
                <w:color w:val="000000"/>
                <w:kern w:val="0"/>
                <w:sz w:val="18"/>
                <w:szCs w:val="18"/>
              </w:rPr>
              <w:t>政务服务中心</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□公示栏</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□发布会</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□两微一端</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□其他</w:t>
            </w:r>
            <w:r w:rsidRPr="004454C0">
              <w:rPr>
                <w:rFonts w:ascii="仿宋_GB2312" w:eastAsia="仿宋_GB2312" w:hAnsi="宋体" w:cs="宋体"/>
                <w:color w:val="000000"/>
                <w:kern w:val="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 xml:space="preserve">　</w:t>
            </w:r>
          </w:p>
        </w:tc>
      </w:tr>
      <w:tr w:rsidR="004454C0" w:rsidTr="004454C0">
        <w:trPr>
          <w:trHeight w:val="3089"/>
          <w:jc w:val="center"/>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w:t>
            </w:r>
            <w:bookmarkStart w:id="0" w:name="_GoBack"/>
            <w:bookmarkEnd w:id="0"/>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中央财政林业改革发展资金</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森林生态效益补偿</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政策依据、申请流程、补偿面积、补偿对象、补偿标准、补偿结果等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资源县林业局</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《中华人民共和国政府信息公开条例》、《林业改革发展资金管理办法》、《广西壮族自治区林业改革发展资金管理办法》等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信息形成或变更之日起</w:t>
            </w:r>
            <w:r w:rsidRPr="004454C0">
              <w:rPr>
                <w:rFonts w:ascii="仿宋_GB2312" w:eastAsia="仿宋_GB2312" w:hAnsi="宋体" w:cs="宋体"/>
                <w:color w:val="000000"/>
                <w:kern w:val="0"/>
                <w:sz w:val="18"/>
                <w:szCs w:val="18"/>
              </w:rPr>
              <w:t>20</w:t>
            </w:r>
            <w:r w:rsidRPr="004454C0">
              <w:rPr>
                <w:rFonts w:ascii="仿宋_GB2312" w:eastAsia="仿宋_GB2312" w:hAnsi="宋体" w:cs="宋体" w:hint="eastAsia"/>
                <w:color w:val="000000"/>
                <w:kern w:val="0"/>
                <w:sz w:val="18"/>
                <w:szCs w:val="18"/>
              </w:rPr>
              <w:t>个工作日内（相关政策法规另有规定的应从其规定）</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color w:val="000000"/>
                <w:kern w:val="0"/>
                <w:sz w:val="18"/>
                <w:szCs w:val="18"/>
              </w:rPr>
              <w:fldChar w:fldCharType="begin"/>
            </w:r>
            <w:r w:rsidRPr="004454C0">
              <w:rPr>
                <w:rFonts w:ascii="仿宋_GB2312" w:eastAsia="仿宋_GB2312" w:hAnsi="宋体" w:cs="宋体"/>
                <w:color w:val="000000"/>
                <w:kern w:val="0"/>
                <w:sz w:val="18"/>
                <w:szCs w:val="18"/>
              </w:rPr>
              <w:instrText xml:space="preserve"> EQ \o\ac(</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color w:val="000000"/>
                <w:kern w:val="0"/>
                <w:sz w:val="18"/>
                <w:szCs w:val="18"/>
              </w:rPr>
              <w:fldChar w:fldCharType="end"/>
            </w:r>
            <w:r w:rsidRPr="004454C0">
              <w:rPr>
                <w:rFonts w:ascii="仿宋_GB2312" w:eastAsia="仿宋_GB2312" w:hAnsi="宋体" w:cs="宋体" w:hint="eastAsia"/>
                <w:color w:val="000000"/>
                <w:kern w:val="0"/>
                <w:sz w:val="18"/>
                <w:szCs w:val="18"/>
              </w:rPr>
              <w:t>政府网站</w:t>
            </w:r>
            <w:r w:rsidRPr="004454C0">
              <w:rPr>
                <w:rFonts w:ascii="仿宋_GB2312" w:eastAsia="仿宋_GB2312" w:hAnsi="宋体" w:cs="宋体"/>
                <w:color w:val="000000"/>
                <w:kern w:val="0"/>
                <w:sz w:val="18"/>
                <w:szCs w:val="18"/>
              </w:rPr>
              <w:t xml:space="preserve">                                                                                                                                                                                                       </w:t>
            </w:r>
            <w:r w:rsidRPr="004454C0">
              <w:rPr>
                <w:rFonts w:ascii="仿宋_GB2312" w:eastAsia="仿宋_GB2312" w:hAnsi="宋体" w:cs="宋体"/>
                <w:color w:val="000000"/>
                <w:kern w:val="0"/>
                <w:sz w:val="18"/>
                <w:szCs w:val="18"/>
              </w:rPr>
              <w:br/>
            </w:r>
            <w:r w:rsidRPr="004454C0">
              <w:rPr>
                <w:rFonts w:ascii="仿宋_GB2312" w:eastAsia="仿宋_GB2312" w:hAnsi="宋体" w:cs="宋体"/>
                <w:color w:val="000000"/>
                <w:kern w:val="0"/>
                <w:sz w:val="18"/>
                <w:szCs w:val="18"/>
              </w:rPr>
              <w:fldChar w:fldCharType="begin"/>
            </w:r>
            <w:r w:rsidRPr="004454C0">
              <w:rPr>
                <w:rFonts w:ascii="仿宋_GB2312" w:eastAsia="仿宋_GB2312" w:hAnsi="宋体" w:cs="宋体"/>
                <w:color w:val="000000"/>
                <w:kern w:val="0"/>
                <w:sz w:val="18"/>
                <w:szCs w:val="18"/>
              </w:rPr>
              <w:instrText xml:space="preserve"> EQ \o\ac(</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color w:val="000000"/>
                <w:kern w:val="0"/>
                <w:sz w:val="18"/>
                <w:szCs w:val="18"/>
              </w:rPr>
              <w:fldChar w:fldCharType="end"/>
            </w:r>
            <w:r w:rsidRPr="004454C0">
              <w:rPr>
                <w:rFonts w:ascii="仿宋_GB2312" w:eastAsia="仿宋_GB2312" w:hAnsi="宋体" w:cs="宋体" w:hint="eastAsia"/>
                <w:color w:val="000000"/>
                <w:kern w:val="0"/>
                <w:sz w:val="18"/>
                <w:szCs w:val="18"/>
              </w:rPr>
              <w:t>公开查阅点</w:t>
            </w:r>
            <w:r w:rsidRPr="004454C0">
              <w:rPr>
                <w:rFonts w:ascii="仿宋_GB2312" w:eastAsia="仿宋_GB2312" w:hAnsi="宋体" w:cs="宋体"/>
                <w:color w:val="000000"/>
                <w:kern w:val="0"/>
                <w:sz w:val="18"/>
                <w:szCs w:val="18"/>
              </w:rPr>
              <w:br/>
            </w:r>
            <w:r w:rsidRPr="004454C0">
              <w:rPr>
                <w:rFonts w:ascii="仿宋_GB2312" w:eastAsia="仿宋_GB2312" w:hAnsi="宋体" w:cs="宋体"/>
                <w:color w:val="000000"/>
                <w:kern w:val="0"/>
                <w:sz w:val="18"/>
                <w:szCs w:val="18"/>
              </w:rPr>
              <w:fldChar w:fldCharType="begin"/>
            </w:r>
            <w:r w:rsidRPr="004454C0">
              <w:rPr>
                <w:rFonts w:ascii="仿宋_GB2312" w:eastAsia="仿宋_GB2312" w:hAnsi="宋体" w:cs="宋体"/>
                <w:color w:val="000000"/>
                <w:kern w:val="0"/>
                <w:sz w:val="18"/>
                <w:szCs w:val="18"/>
              </w:rPr>
              <w:instrText xml:space="preserve"> EQ \o\ac(</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hint="eastAsia"/>
                <w:color w:val="000000"/>
                <w:kern w:val="0"/>
                <w:sz w:val="18"/>
                <w:szCs w:val="18"/>
              </w:rPr>
              <w:instrText>√</w:instrText>
            </w:r>
            <w:r w:rsidRPr="004454C0">
              <w:rPr>
                <w:rFonts w:ascii="仿宋_GB2312" w:eastAsia="仿宋_GB2312" w:hAnsi="宋体" w:cs="宋体"/>
                <w:color w:val="000000"/>
                <w:kern w:val="0"/>
                <w:sz w:val="18"/>
                <w:szCs w:val="18"/>
              </w:rPr>
              <w:instrText>)</w:instrText>
            </w:r>
            <w:r w:rsidRPr="004454C0">
              <w:rPr>
                <w:rFonts w:ascii="仿宋_GB2312" w:eastAsia="仿宋_GB2312" w:hAnsi="宋体" w:cs="宋体"/>
                <w:color w:val="000000"/>
                <w:kern w:val="0"/>
                <w:sz w:val="18"/>
                <w:szCs w:val="18"/>
              </w:rPr>
              <w:fldChar w:fldCharType="end"/>
            </w:r>
            <w:r w:rsidRPr="004454C0">
              <w:rPr>
                <w:rFonts w:ascii="仿宋_GB2312" w:eastAsia="仿宋_GB2312" w:hAnsi="宋体" w:cs="宋体" w:hint="eastAsia"/>
                <w:color w:val="000000"/>
                <w:kern w:val="0"/>
                <w:sz w:val="18"/>
                <w:szCs w:val="18"/>
              </w:rPr>
              <w:t>政务服务中心</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□公示栏</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□发布会</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□两微一端</w:t>
            </w:r>
          </w:p>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□其他</w:t>
            </w:r>
            <w:r w:rsidRPr="004454C0">
              <w:rPr>
                <w:rFonts w:ascii="仿宋_GB2312" w:eastAsia="仿宋_GB2312" w:hAnsi="宋体" w:cs="宋体"/>
                <w:color w:val="000000"/>
                <w:kern w:val="0"/>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left"/>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54C0" w:rsidRPr="004454C0" w:rsidRDefault="004454C0" w:rsidP="004454C0">
            <w:pPr>
              <w:widowControl/>
              <w:jc w:val="center"/>
              <w:rPr>
                <w:rFonts w:ascii="仿宋_GB2312" w:eastAsia="仿宋_GB2312" w:hAnsi="宋体" w:cs="宋体"/>
                <w:color w:val="000000"/>
                <w:kern w:val="0"/>
                <w:sz w:val="18"/>
                <w:szCs w:val="18"/>
              </w:rPr>
            </w:pPr>
            <w:r w:rsidRPr="004454C0">
              <w:rPr>
                <w:rFonts w:ascii="仿宋_GB2312" w:eastAsia="仿宋_GB2312" w:hAnsi="宋体" w:cs="宋体" w:hint="eastAsia"/>
                <w:color w:val="000000"/>
                <w:kern w:val="0"/>
                <w:sz w:val="18"/>
                <w:szCs w:val="18"/>
              </w:rPr>
              <w:t xml:space="preserve">　</w:t>
            </w:r>
          </w:p>
        </w:tc>
      </w:tr>
    </w:tbl>
    <w:p w:rsidR="00D62666" w:rsidRPr="00B87FE0" w:rsidRDefault="00D62666"/>
    <w:sectPr w:rsidR="00D62666" w:rsidRPr="00B87FE0">
      <w:footerReference w:type="default" r:id="rId7"/>
      <w:pgSz w:w="16838" w:h="11906" w:orient="landscape"/>
      <w:pgMar w:top="567" w:right="850"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DED" w:rsidRDefault="00D30DED">
      <w:r>
        <w:separator/>
      </w:r>
    </w:p>
  </w:endnote>
  <w:endnote w:type="continuationSeparator" w:id="0">
    <w:p w:rsidR="00D30DED" w:rsidRDefault="00D3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666" w:rsidRDefault="00DB75C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62666" w:rsidRDefault="00DB75CB">
                          <w:pPr>
                            <w:pStyle w:val="a3"/>
                            <w:rPr>
                              <w:rFonts w:ascii="宋体" w:eastAsia="宋体" w:hAnsi="宋体" w:cs="宋体"/>
                              <w:spacing w:val="-20"/>
                              <w:sz w:val="20"/>
                              <w:szCs w:val="20"/>
                            </w:rPr>
                          </w:pPr>
                          <w:r>
                            <w:rPr>
                              <w:rFonts w:ascii="宋体" w:eastAsia="宋体" w:hAnsi="宋体" w:cs="宋体" w:hint="eastAsia"/>
                              <w:spacing w:val="-20"/>
                              <w:sz w:val="20"/>
                              <w:szCs w:val="20"/>
                            </w:rPr>
                            <w:t xml:space="preserve">— </w:t>
                          </w:r>
                          <w:r>
                            <w:rPr>
                              <w:rFonts w:ascii="宋体" w:eastAsia="宋体" w:hAnsi="宋体" w:cs="宋体" w:hint="eastAsia"/>
                              <w:spacing w:val="-20"/>
                              <w:sz w:val="20"/>
                              <w:szCs w:val="20"/>
                            </w:rPr>
                            <w:fldChar w:fldCharType="begin"/>
                          </w:r>
                          <w:r>
                            <w:rPr>
                              <w:rFonts w:ascii="宋体" w:eastAsia="宋体" w:hAnsi="宋体" w:cs="宋体" w:hint="eastAsia"/>
                              <w:spacing w:val="-20"/>
                              <w:sz w:val="20"/>
                              <w:szCs w:val="20"/>
                            </w:rPr>
                            <w:instrText xml:space="preserve"> PAGE  \* MERGEFORMAT </w:instrText>
                          </w:r>
                          <w:r>
                            <w:rPr>
                              <w:rFonts w:ascii="宋体" w:eastAsia="宋体" w:hAnsi="宋体" w:cs="宋体" w:hint="eastAsia"/>
                              <w:spacing w:val="-20"/>
                              <w:sz w:val="20"/>
                              <w:szCs w:val="20"/>
                            </w:rPr>
                            <w:fldChar w:fldCharType="separate"/>
                          </w:r>
                          <w:r w:rsidR="004454C0">
                            <w:rPr>
                              <w:rFonts w:ascii="宋体" w:eastAsia="宋体" w:hAnsi="宋体" w:cs="宋体"/>
                              <w:noProof/>
                              <w:spacing w:val="-20"/>
                              <w:sz w:val="20"/>
                              <w:szCs w:val="20"/>
                            </w:rPr>
                            <w:t>1</w:t>
                          </w:r>
                          <w:r>
                            <w:rPr>
                              <w:rFonts w:ascii="宋体" w:eastAsia="宋体" w:hAnsi="宋体" w:cs="宋体" w:hint="eastAsia"/>
                              <w:spacing w:val="-20"/>
                              <w:sz w:val="20"/>
                              <w:szCs w:val="20"/>
                            </w:rPr>
                            <w:fldChar w:fldCharType="end"/>
                          </w:r>
                          <w:r>
                            <w:rPr>
                              <w:rFonts w:ascii="宋体" w:eastAsia="宋体" w:hAnsi="宋体" w:cs="宋体" w:hint="eastAsia"/>
                              <w:spacing w:val="-20"/>
                              <w:sz w:val="20"/>
                              <w:szCs w:val="2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62666" w:rsidRDefault="00DB75CB">
                    <w:pPr>
                      <w:pStyle w:val="a3"/>
                      <w:rPr>
                        <w:rFonts w:ascii="宋体" w:eastAsia="宋体" w:hAnsi="宋体" w:cs="宋体"/>
                        <w:spacing w:val="-20"/>
                        <w:sz w:val="20"/>
                        <w:szCs w:val="20"/>
                      </w:rPr>
                    </w:pPr>
                    <w:r>
                      <w:rPr>
                        <w:rFonts w:ascii="宋体" w:eastAsia="宋体" w:hAnsi="宋体" w:cs="宋体" w:hint="eastAsia"/>
                        <w:spacing w:val="-20"/>
                        <w:sz w:val="20"/>
                        <w:szCs w:val="20"/>
                      </w:rPr>
                      <w:t xml:space="preserve">— </w:t>
                    </w:r>
                    <w:r>
                      <w:rPr>
                        <w:rFonts w:ascii="宋体" w:eastAsia="宋体" w:hAnsi="宋体" w:cs="宋体" w:hint="eastAsia"/>
                        <w:spacing w:val="-20"/>
                        <w:sz w:val="20"/>
                        <w:szCs w:val="20"/>
                      </w:rPr>
                      <w:fldChar w:fldCharType="begin"/>
                    </w:r>
                    <w:r>
                      <w:rPr>
                        <w:rFonts w:ascii="宋体" w:eastAsia="宋体" w:hAnsi="宋体" w:cs="宋体" w:hint="eastAsia"/>
                        <w:spacing w:val="-20"/>
                        <w:sz w:val="20"/>
                        <w:szCs w:val="20"/>
                      </w:rPr>
                      <w:instrText xml:space="preserve"> PAGE  \* MERGEFORMAT </w:instrText>
                    </w:r>
                    <w:r>
                      <w:rPr>
                        <w:rFonts w:ascii="宋体" w:eastAsia="宋体" w:hAnsi="宋体" w:cs="宋体" w:hint="eastAsia"/>
                        <w:spacing w:val="-20"/>
                        <w:sz w:val="20"/>
                        <w:szCs w:val="20"/>
                      </w:rPr>
                      <w:fldChar w:fldCharType="separate"/>
                    </w:r>
                    <w:r w:rsidR="004454C0">
                      <w:rPr>
                        <w:rFonts w:ascii="宋体" w:eastAsia="宋体" w:hAnsi="宋体" w:cs="宋体"/>
                        <w:noProof/>
                        <w:spacing w:val="-20"/>
                        <w:sz w:val="20"/>
                        <w:szCs w:val="20"/>
                      </w:rPr>
                      <w:t>1</w:t>
                    </w:r>
                    <w:r>
                      <w:rPr>
                        <w:rFonts w:ascii="宋体" w:eastAsia="宋体" w:hAnsi="宋体" w:cs="宋体" w:hint="eastAsia"/>
                        <w:spacing w:val="-20"/>
                        <w:sz w:val="20"/>
                        <w:szCs w:val="20"/>
                      </w:rPr>
                      <w:fldChar w:fldCharType="end"/>
                    </w:r>
                    <w:r>
                      <w:rPr>
                        <w:rFonts w:ascii="宋体" w:eastAsia="宋体" w:hAnsi="宋体" w:cs="宋体" w:hint="eastAsia"/>
                        <w:spacing w:val="-20"/>
                        <w:sz w:val="20"/>
                        <w:szCs w:val="20"/>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DED" w:rsidRDefault="00D30DED">
      <w:r>
        <w:separator/>
      </w:r>
    </w:p>
  </w:footnote>
  <w:footnote w:type="continuationSeparator" w:id="0">
    <w:p w:rsidR="00D30DED" w:rsidRDefault="00D30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B2"/>
    <w:rsid w:val="00075663"/>
    <w:rsid w:val="0011797A"/>
    <w:rsid w:val="001A33DF"/>
    <w:rsid w:val="001E5400"/>
    <w:rsid w:val="002012A6"/>
    <w:rsid w:val="00220576"/>
    <w:rsid w:val="00273594"/>
    <w:rsid w:val="00274C6B"/>
    <w:rsid w:val="002D4DD1"/>
    <w:rsid w:val="003A3849"/>
    <w:rsid w:val="00402E76"/>
    <w:rsid w:val="004454C0"/>
    <w:rsid w:val="00467271"/>
    <w:rsid w:val="004D2552"/>
    <w:rsid w:val="0053692D"/>
    <w:rsid w:val="00562864"/>
    <w:rsid w:val="005A6134"/>
    <w:rsid w:val="00622CAC"/>
    <w:rsid w:val="00661570"/>
    <w:rsid w:val="00697C24"/>
    <w:rsid w:val="0071124F"/>
    <w:rsid w:val="007755B2"/>
    <w:rsid w:val="00786B92"/>
    <w:rsid w:val="00836C50"/>
    <w:rsid w:val="008629CC"/>
    <w:rsid w:val="00885619"/>
    <w:rsid w:val="008918A5"/>
    <w:rsid w:val="008D4627"/>
    <w:rsid w:val="00914905"/>
    <w:rsid w:val="00937594"/>
    <w:rsid w:val="00964BE0"/>
    <w:rsid w:val="00981D5B"/>
    <w:rsid w:val="00983817"/>
    <w:rsid w:val="009D0BAF"/>
    <w:rsid w:val="00A75377"/>
    <w:rsid w:val="00A862A4"/>
    <w:rsid w:val="00AD1A98"/>
    <w:rsid w:val="00AF3904"/>
    <w:rsid w:val="00B03BC0"/>
    <w:rsid w:val="00B87FE0"/>
    <w:rsid w:val="00BA305E"/>
    <w:rsid w:val="00BD3572"/>
    <w:rsid w:val="00C10F20"/>
    <w:rsid w:val="00C45186"/>
    <w:rsid w:val="00C91DF0"/>
    <w:rsid w:val="00CA544B"/>
    <w:rsid w:val="00CE553B"/>
    <w:rsid w:val="00D30DED"/>
    <w:rsid w:val="00D62666"/>
    <w:rsid w:val="00DB75CB"/>
    <w:rsid w:val="00DC5DC0"/>
    <w:rsid w:val="00DF1D33"/>
    <w:rsid w:val="00E2694E"/>
    <w:rsid w:val="00E432F7"/>
    <w:rsid w:val="00E84566"/>
    <w:rsid w:val="00EE0ED2"/>
    <w:rsid w:val="00EE613E"/>
    <w:rsid w:val="00F612D8"/>
    <w:rsid w:val="00F8218E"/>
    <w:rsid w:val="00FE669C"/>
    <w:rsid w:val="01386D16"/>
    <w:rsid w:val="02093E7F"/>
    <w:rsid w:val="02323356"/>
    <w:rsid w:val="028D1E64"/>
    <w:rsid w:val="03204692"/>
    <w:rsid w:val="03973199"/>
    <w:rsid w:val="04DA38C0"/>
    <w:rsid w:val="074213CD"/>
    <w:rsid w:val="0804017B"/>
    <w:rsid w:val="08D333D9"/>
    <w:rsid w:val="0B5424F9"/>
    <w:rsid w:val="0D430DF3"/>
    <w:rsid w:val="0DF8090E"/>
    <w:rsid w:val="0E0E2FBC"/>
    <w:rsid w:val="11412D66"/>
    <w:rsid w:val="12AE0C73"/>
    <w:rsid w:val="12FE7A7D"/>
    <w:rsid w:val="137F7EB8"/>
    <w:rsid w:val="13DE7189"/>
    <w:rsid w:val="14777C08"/>
    <w:rsid w:val="15071B9F"/>
    <w:rsid w:val="15C87817"/>
    <w:rsid w:val="15EA701D"/>
    <w:rsid w:val="16EE79E7"/>
    <w:rsid w:val="1A973CDA"/>
    <w:rsid w:val="1BAD2CC1"/>
    <w:rsid w:val="1CB75CF0"/>
    <w:rsid w:val="1DBE2D9F"/>
    <w:rsid w:val="1F8211C9"/>
    <w:rsid w:val="1F844831"/>
    <w:rsid w:val="1FD1264E"/>
    <w:rsid w:val="220177EB"/>
    <w:rsid w:val="24322A7A"/>
    <w:rsid w:val="255C0CCC"/>
    <w:rsid w:val="266E7FC2"/>
    <w:rsid w:val="27943AD2"/>
    <w:rsid w:val="27E84345"/>
    <w:rsid w:val="288E3DF7"/>
    <w:rsid w:val="28A13208"/>
    <w:rsid w:val="2B9A3364"/>
    <w:rsid w:val="2C632A7D"/>
    <w:rsid w:val="30043717"/>
    <w:rsid w:val="33431112"/>
    <w:rsid w:val="34DA0397"/>
    <w:rsid w:val="363734F1"/>
    <w:rsid w:val="36672B91"/>
    <w:rsid w:val="36D5683E"/>
    <w:rsid w:val="38C06A61"/>
    <w:rsid w:val="3AE43004"/>
    <w:rsid w:val="3CBA2ACC"/>
    <w:rsid w:val="3CDA760E"/>
    <w:rsid w:val="3D7B4442"/>
    <w:rsid w:val="3DC44B28"/>
    <w:rsid w:val="3EBD0A78"/>
    <w:rsid w:val="3F452BC1"/>
    <w:rsid w:val="3F9309A7"/>
    <w:rsid w:val="4011246B"/>
    <w:rsid w:val="40A37BB2"/>
    <w:rsid w:val="40C5156F"/>
    <w:rsid w:val="41567F55"/>
    <w:rsid w:val="423F075B"/>
    <w:rsid w:val="42B65B70"/>
    <w:rsid w:val="43CD70B5"/>
    <w:rsid w:val="44882839"/>
    <w:rsid w:val="44C0129E"/>
    <w:rsid w:val="479F159F"/>
    <w:rsid w:val="487001B8"/>
    <w:rsid w:val="48860633"/>
    <w:rsid w:val="495F6CAF"/>
    <w:rsid w:val="4A62612C"/>
    <w:rsid w:val="4A6D16B5"/>
    <w:rsid w:val="4A9511D3"/>
    <w:rsid w:val="4A9A42ED"/>
    <w:rsid w:val="4AA22591"/>
    <w:rsid w:val="4BF0596C"/>
    <w:rsid w:val="4C1103DB"/>
    <w:rsid w:val="4D11001E"/>
    <w:rsid w:val="4E401764"/>
    <w:rsid w:val="4EC553B9"/>
    <w:rsid w:val="52380474"/>
    <w:rsid w:val="528B6F7B"/>
    <w:rsid w:val="529140CA"/>
    <w:rsid w:val="530711FA"/>
    <w:rsid w:val="5376061B"/>
    <w:rsid w:val="537E4202"/>
    <w:rsid w:val="555E5B18"/>
    <w:rsid w:val="560714EC"/>
    <w:rsid w:val="56955513"/>
    <w:rsid w:val="575A3E53"/>
    <w:rsid w:val="5778785A"/>
    <w:rsid w:val="58F17B41"/>
    <w:rsid w:val="58F73493"/>
    <w:rsid w:val="5A0D282F"/>
    <w:rsid w:val="5A750C84"/>
    <w:rsid w:val="5A9229DF"/>
    <w:rsid w:val="5B536ED5"/>
    <w:rsid w:val="5D651A2C"/>
    <w:rsid w:val="5FFB6875"/>
    <w:rsid w:val="62C94FA9"/>
    <w:rsid w:val="636067E6"/>
    <w:rsid w:val="63A91100"/>
    <w:rsid w:val="63AC43F4"/>
    <w:rsid w:val="63E203F9"/>
    <w:rsid w:val="64704E98"/>
    <w:rsid w:val="65A80EB2"/>
    <w:rsid w:val="673C6D79"/>
    <w:rsid w:val="67926620"/>
    <w:rsid w:val="67CC2B0A"/>
    <w:rsid w:val="685D039E"/>
    <w:rsid w:val="6A41299B"/>
    <w:rsid w:val="6ACF1138"/>
    <w:rsid w:val="6B6E4081"/>
    <w:rsid w:val="6C586D2E"/>
    <w:rsid w:val="6F4A768D"/>
    <w:rsid w:val="709A4271"/>
    <w:rsid w:val="70B3716F"/>
    <w:rsid w:val="71C30121"/>
    <w:rsid w:val="71E12D98"/>
    <w:rsid w:val="74C74219"/>
    <w:rsid w:val="76B119B8"/>
    <w:rsid w:val="77231E9C"/>
    <w:rsid w:val="77600289"/>
    <w:rsid w:val="78AD12EB"/>
    <w:rsid w:val="79BA347A"/>
    <w:rsid w:val="7BB209B5"/>
    <w:rsid w:val="7BE55756"/>
    <w:rsid w:val="7C777747"/>
    <w:rsid w:val="7DD95BEA"/>
    <w:rsid w:val="7EF2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2EE082-3F1F-497A-927C-AD45870D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spacing w:beforeAutospacing="1" w:afterAutospacing="1"/>
      <w:jc w:val="left"/>
      <w:outlineLvl w:val="3"/>
    </w:pPr>
    <w:rPr>
      <w:rFonts w:ascii="宋体" w:eastAsia="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方正小标宋_GBK" w:eastAsia="方正小标宋_GBK" w:cs="方正小标宋_GBK"/>
      <w:color w:val="000000"/>
      <w:sz w:val="24"/>
      <w:szCs w:val="24"/>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354</Words>
  <Characters>2019</Characters>
  <Application>Microsoft Office Word</Application>
  <DocSecurity>0</DocSecurity>
  <Lines>16</Lines>
  <Paragraphs>4</Paragraphs>
  <ScaleCrop>false</ScaleCrop>
  <Company>Microsoft</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wsda</dc:creator>
  <cp:lastModifiedBy>daohangxitong.com</cp:lastModifiedBy>
  <cp:revision>8</cp:revision>
  <cp:lastPrinted>2020-10-20T02:50:00Z</cp:lastPrinted>
  <dcterms:created xsi:type="dcterms:W3CDTF">2020-09-21T00:52:00Z</dcterms:created>
  <dcterms:modified xsi:type="dcterms:W3CDTF">2020-12-09T09:38:00Z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