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560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jc w:val="center"/>
        <w:textAlignment w:val="auto"/>
        <w:rPr>
          <w:rFonts w:hint="eastAsia" w:ascii="方正小标宋_GBK" w:hAnsi="方正小标宋_GBK" w:eastAsia="方正小标宋_GBK" w:cs="方正小标宋_GBK"/>
          <w:color w:val="393939"/>
          <w:sz w:val="44"/>
          <w:szCs w:val="44"/>
          <w:shd w:val="clear" w:color="auto" w:fill="FFFFFF"/>
        </w:rPr>
      </w:pPr>
      <w:bookmarkStart w:id="0" w:name="OLE_LINK2"/>
      <w:r>
        <w:rPr>
          <w:rFonts w:hint="eastAsia" w:ascii="方正小标宋_GBK" w:hAnsi="方正小标宋_GBK" w:eastAsia="方正小标宋_GBK" w:cs="方正小标宋_GBK"/>
          <w:color w:val="393939"/>
          <w:sz w:val="44"/>
          <w:szCs w:val="44"/>
          <w:shd w:val="clear" w:color="auto" w:fill="FFFFFF"/>
        </w:rPr>
        <w:t>关于《资源县乡村地区“通则式”规划管理规定（试行）》</w:t>
      </w:r>
      <w:bookmarkEnd w:id="0"/>
      <w:r>
        <w:rPr>
          <w:rFonts w:hint="eastAsia" w:ascii="方正小标宋_GBK" w:hAnsi="方正小标宋_GBK" w:eastAsia="方正小标宋_GBK" w:cs="方正小标宋_GBK"/>
          <w:color w:val="393939"/>
          <w:sz w:val="44"/>
          <w:szCs w:val="44"/>
          <w:shd w:val="clear" w:color="auto" w:fill="FFFFFF"/>
        </w:rPr>
        <w:t>的起草说明</w:t>
      </w:r>
    </w:p>
    <w:p w14:paraId="344E5C54">
      <w:pPr>
        <w:pStyle w:val="9"/>
        <w:widowControl/>
        <w:shd w:val="clear" w:color="auto" w:fill="FFFFFF"/>
        <w:spacing w:beforeAutospacing="0" w:afterAutospacing="0" w:line="600" w:lineRule="atLeast"/>
        <w:jc w:val="both"/>
        <w:rPr>
          <w:rFonts w:ascii="仿宋_GB2312" w:eastAsia="仿宋_GB2312" w:cs="仿宋_GB2312"/>
          <w:color w:val="393939"/>
          <w:sz w:val="21"/>
          <w:szCs w:val="21"/>
        </w:rPr>
      </w:pPr>
      <w:r>
        <w:rPr>
          <w:rFonts w:hint="eastAsia" w:ascii="仿宋_GB2312" w:eastAsia="仿宋_GB2312" w:cs="仿宋_GB2312"/>
          <w:color w:val="393939"/>
          <w:sz w:val="21"/>
          <w:szCs w:val="21"/>
          <w:shd w:val="clear" w:color="auto" w:fill="FFFFFF"/>
        </w:rPr>
        <w:t> </w:t>
      </w:r>
    </w:p>
    <w:p w14:paraId="0DB25307">
      <w:pPr>
        <w:widowControl/>
        <w:spacing w:line="560" w:lineRule="exact"/>
        <w:ind w:firstLine="640" w:firstLineChars="200"/>
        <w:rPr>
          <w:rFonts w:hint="eastAsia" w:ascii="仿宋_GB2312" w:hAnsi="宋体" w:eastAsia="仿宋_GB2312" w:cs="黑体"/>
          <w:kern w:val="0"/>
          <w:sz w:val="32"/>
          <w:szCs w:val="32"/>
          <w:shd w:val="clear" w:color="auto" w:fill="FFFFFF"/>
          <w:lang w:bidi="ar"/>
        </w:rPr>
      </w:pPr>
      <w:r>
        <w:rPr>
          <w:rFonts w:hint="eastAsia" w:ascii="仿宋_GB2312" w:hAnsi="宋体" w:eastAsia="仿宋_GB2312" w:cs="黑体"/>
          <w:kern w:val="0"/>
          <w:sz w:val="32"/>
          <w:szCs w:val="32"/>
          <w:shd w:val="clear" w:color="auto" w:fill="FFFFFF"/>
          <w:lang w:bidi="ar"/>
        </w:rPr>
        <w:t>为规范资源县城镇开发边界外乡村地区规划建设管理，实现空间规划管控全覆盖，保障乡村全面振兴战略落地见效，依据相关法律法规和政策要求，结合我县实际，制定《资源县乡村地区“通则式”规划管理规定（试行）》（以下简称《规定》）。现将起草情况说明如下：</w:t>
      </w:r>
    </w:p>
    <w:p w14:paraId="69908326">
      <w:pPr>
        <w:widowControl/>
        <w:spacing w:line="560" w:lineRule="exact"/>
        <w:ind w:firstLine="640" w:firstLineChars="20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一、制定背景</w:t>
      </w:r>
    </w:p>
    <w:p w14:paraId="00C63886">
      <w:pPr>
        <w:widowControl/>
        <w:spacing w:line="58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深入贯彻习近平总书记关于“三农”工作的重要论述，全面落实《乡村全面振兴规划（2024—2027年）》部署要求，学习运用“千万工程”经验，破解我县部分村庄无规划可依、规划管控不精准、建设无序等突出问题。针对城镇开发边界外村庄规划覆盖率不足、差异化管控缺失等现状，通过制定普适性与针对性相结合的“通则式”管理规定，统筹乡村生产、生活、生态空间布局，规范村民住宅、基础设施、产业项目等建设行为，推动宜居宜业和美乡村建设。</w:t>
      </w:r>
    </w:p>
    <w:p w14:paraId="274E9B1E">
      <w:pPr>
        <w:widowControl/>
        <w:spacing w:line="560" w:lineRule="exact"/>
        <w:ind w:firstLine="640" w:firstLineChars="20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二、起草依据</w:t>
      </w:r>
    </w:p>
    <w:p w14:paraId="483CE02E">
      <w:pPr>
        <w:widowControl/>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1.法律法规：《中华人民共和国土地管理法》《中华人民共和国城乡规划法》《村庄和集镇规划建设管理条例》（国务院令第116号）；</w:t>
      </w:r>
    </w:p>
    <w:p w14:paraId="0AE03C83">
      <w:pPr>
        <w:widowControl/>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2.国家政策文件：《乡村全面振兴规划（2024—2027年）》《自然资源部中央农村工作领导小组办公室关于学习运用“千万工程”经验提高村庄规划编制质量和实效的通知》；</w:t>
      </w:r>
    </w:p>
    <w:p w14:paraId="44646BE9">
      <w:pPr>
        <w:widowControl/>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3.自治区政策文件：《广西壮族自治区乡村规划建设管理条例》《广西壮族自治区自然资源厅中共广西壮族自治区委员会农村工作领导小组办公室关于学习运用“千万工程”经验做好2024年村庄规划编制实施工作的通知》；</w:t>
      </w:r>
    </w:p>
    <w:p w14:paraId="1589B46C">
      <w:pPr>
        <w:widowControl/>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4.市级政策文件：《桂林市郊区村庄规划与农房管控实施办法》；</w:t>
      </w:r>
    </w:p>
    <w:p w14:paraId="2157970F">
      <w:pPr>
        <w:widowControl/>
        <w:spacing w:line="56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5.技术标准与上位规划：《社区生活圈规划技术指南》《广西壮族自治区农村房屋特色风貌管控导则》《资源县国土空间总体规划（2021</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2035年）》《资源县国民经济和社会发展第十四个五年规划和2035年远景目标纲要》。</w:t>
      </w:r>
    </w:p>
    <w:p w14:paraId="737CCFD5">
      <w:pPr>
        <w:widowControl/>
        <w:spacing w:line="560" w:lineRule="exact"/>
        <w:ind w:firstLine="640" w:firstLineChars="20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三、起草过程</w:t>
      </w:r>
    </w:p>
    <w:p w14:paraId="0C4D1391">
      <w:pPr>
        <w:widowControl/>
        <w:spacing w:line="56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根据有关法律法规和自治区相关要求，参照广西壮族自治区乡村地区“通则式”规划管理规定编制指引（试行）</w:t>
      </w:r>
      <w:r>
        <w:rPr>
          <w:rFonts w:hint="eastAsia" w:ascii="仿宋_GB2312" w:eastAsia="仿宋_GB2312" w:cs="仿宋_GB2312"/>
          <w:w w:val="98"/>
          <w:sz w:val="32"/>
          <w:szCs w:val="32"/>
          <w:shd w:val="clear" w:color="auto" w:fill="FFFFFF"/>
        </w:rPr>
        <w:t>的做法，结合我县实际情况，我局起草形成了本《规定》初稿。</w:t>
      </w:r>
    </w:p>
    <w:p w14:paraId="189828ED">
      <w:pPr>
        <w:widowControl/>
        <w:spacing w:line="560" w:lineRule="exact"/>
        <w:ind w:firstLine="640" w:firstLineChars="20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 xml:space="preserve">四、主要内容 </w:t>
      </w:r>
    </w:p>
    <w:p w14:paraId="3642C96C">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《规定》共六章二十八条、六个附录，核心框架如下：</w:t>
      </w:r>
    </w:p>
    <w:p w14:paraId="523BF04D">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（一）总则</w:t>
      </w:r>
    </w:p>
    <w:p w14:paraId="1EEBAB62">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明确《规定》制定目的、依据、适用范围，覆盖城镇开发边界外未编制村庄规划、规划不满足管理需求的区域，界定村民住宅、公共服务设施、产业项目等规划许可适用对象，明确小型公用公服设施免于规划许可的具体情形。</w:t>
      </w:r>
    </w:p>
    <w:p w14:paraId="00992697">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（二）村庄分类与发展指引</w:t>
      </w:r>
    </w:p>
    <w:p w14:paraId="1AA06D77">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结合资源县乡镇分布、交通水系及资源禀赋，将村庄划分为城郊融合类、集聚提升类、特色保护类、暂不分类四类，针对性制定空间布局、产业发展、设施配套等引导策略。</w:t>
      </w:r>
    </w:p>
    <w:p w14:paraId="473BEED2">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（三）全域管控要求</w:t>
      </w:r>
    </w:p>
    <w:p w14:paraId="1F78A6D8">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构建“底线管控—用地布局—建设控制—专项管控”四位一体管控体系：底线管控明确耕地（2035年保护目标不低于17.30万亩）、生态保护红线（2035年不低于721.23平方千米）等刚性约束；用地布局规范各类用地选址及负面清单；建设控制明确农房用地面积、建筑高度（不超过15米）、桂北民居风貌（坡屋顶、地方材质）等标准；同步强化历史文化遗产保护、生态修复及灾害风险防控要求。</w:t>
      </w:r>
    </w:p>
    <w:p w14:paraId="31C33643">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（四）重点地块图则</w:t>
      </w:r>
    </w:p>
    <w:p w14:paraId="706644AE">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明确图则管控内容、制图标准及编制审批程序，为地块精细化管控提供技术支撑，实现“通则+图则”的精准管理模式。</w:t>
      </w:r>
    </w:p>
    <w:p w14:paraId="5D32E06C">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（五）实施管理与附录</w:t>
      </w:r>
    </w:p>
    <w:p w14:paraId="072D3F24">
      <w:pPr>
        <w:widowControl/>
        <w:spacing w:line="560" w:lineRule="exact"/>
        <w:ind w:firstLine="640" w:firstLineChars="200"/>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建立“政府统筹、部门协同、乡镇落实、村民参与”的实施机制，明确各部门职责分工；约定《规定》有效期为两年，建立动态修订机制，根据法律法规修订、发展需求变化等及时调整完善。</w:t>
      </w:r>
    </w:p>
    <w:p w14:paraId="194A5F77">
      <w:pPr>
        <w:spacing w:line="560" w:lineRule="exact"/>
        <w:ind w:firstLine="640" w:firstLineChars="200"/>
        <w:rPr>
          <w:rFonts w:ascii="黑体" w:hAnsi="黑体" w:eastAsia="黑体"/>
          <w:sz w:val="32"/>
          <w:szCs w:val="32"/>
          <w:shd w:val="clear" w:color="auto" w:fill="FFFFFF"/>
        </w:rPr>
      </w:pPr>
      <w:r>
        <w:rPr>
          <w:rFonts w:ascii="黑体" w:hAnsi="宋体" w:eastAsia="黑体" w:cs="黑体"/>
          <w:kern w:val="0"/>
          <w:sz w:val="32"/>
          <w:szCs w:val="32"/>
          <w:shd w:val="clear" w:color="auto" w:fill="FFFFFF"/>
          <w:lang w:bidi="ar"/>
        </w:rPr>
        <w:t>五、</w:t>
      </w:r>
      <w:r>
        <w:rPr>
          <w:rFonts w:hint="eastAsia" w:ascii="黑体" w:hAnsi="黑体" w:eastAsia="黑体"/>
          <w:sz w:val="32"/>
          <w:szCs w:val="32"/>
          <w:shd w:val="clear" w:color="auto" w:fill="FFFFFF"/>
        </w:rPr>
        <w:t>特色亮点</w:t>
      </w:r>
    </w:p>
    <w:p w14:paraId="7D0BFE6A">
      <w:pPr>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（一）</w:t>
      </w:r>
      <w:r>
        <w:rPr>
          <w:rFonts w:ascii="Times New Roman" w:hAnsi="Times New Roman" w:eastAsia="仿宋_GB2312"/>
          <w:sz w:val="32"/>
          <w:szCs w:val="32"/>
          <w:shd w:val="clear" w:color="auto" w:fill="FFFFFF"/>
        </w:rPr>
        <w:t>实现管控全覆盖，针对未编制村庄规划区域制定统一管控标准，填补规划管理空白；</w:t>
      </w:r>
    </w:p>
    <w:p w14:paraId="117B8CE6">
      <w:pPr>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（二）</w:t>
      </w:r>
      <w:r>
        <w:rPr>
          <w:rFonts w:ascii="Times New Roman" w:hAnsi="Times New Roman" w:eastAsia="仿宋_GB2312"/>
          <w:sz w:val="32"/>
          <w:szCs w:val="32"/>
          <w:shd w:val="clear" w:color="auto" w:fill="FFFFFF"/>
        </w:rPr>
        <w:t>突出差异化引导，结合村庄类型制定适配性管控要求，避免 “一刀切”；</w:t>
      </w:r>
    </w:p>
    <w:p w14:paraId="45B37DA3">
      <w:pPr>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（三）</w:t>
      </w:r>
      <w:r>
        <w:rPr>
          <w:rFonts w:ascii="Times New Roman" w:hAnsi="Times New Roman" w:eastAsia="仿宋_GB2312"/>
          <w:sz w:val="32"/>
          <w:szCs w:val="32"/>
          <w:shd w:val="clear" w:color="auto" w:fill="FFFFFF"/>
        </w:rPr>
        <w:t>强化实操性，明确建设指标、风貌要求等具体标准，便于基层审批和群众理解执行；</w:t>
      </w:r>
    </w:p>
    <w:p w14:paraId="5A439B1F">
      <w:pPr>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（四）</w:t>
      </w:r>
      <w:r>
        <w:rPr>
          <w:rFonts w:ascii="Times New Roman" w:hAnsi="Times New Roman" w:eastAsia="仿宋_GB2312"/>
          <w:sz w:val="32"/>
          <w:szCs w:val="32"/>
          <w:shd w:val="clear" w:color="auto" w:fill="FFFFFF"/>
        </w:rPr>
        <w:t>预留弹性空间，支持乡村旅游、现代设施农业等产业发展，服务乡村产业振兴</w:t>
      </w:r>
      <w:r>
        <w:rPr>
          <w:rFonts w:hint="eastAsia" w:ascii="Times New Roman" w:hAnsi="Times New Roman" w:eastAsia="仿宋_GB2312"/>
          <w:sz w:val="32"/>
          <w:szCs w:val="32"/>
          <w:shd w:val="clear" w:color="auto" w:fill="FFFFFF"/>
        </w:rPr>
        <w:t>。</w:t>
      </w:r>
    </w:p>
    <w:p w14:paraId="64F51968">
      <w:pPr>
        <w:spacing w:line="560" w:lineRule="exact"/>
        <w:ind w:firstLine="640" w:firstLineChars="200"/>
        <w:rPr>
          <w:rFonts w:hint="eastAsia" w:ascii="Times New Roman" w:hAnsi="Times New Roman" w:eastAsia="仿宋_GB2312"/>
          <w:sz w:val="32"/>
          <w:szCs w:val="32"/>
          <w:shd w:val="clear" w:color="auto" w:fill="FFFFFF"/>
        </w:rPr>
      </w:pPr>
    </w:p>
    <w:p w14:paraId="503CCC91">
      <w:pPr>
        <w:spacing w:line="560" w:lineRule="exact"/>
        <w:ind w:firstLine="4480" w:firstLineChars="1400"/>
        <w:jc w:val="righ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资源县自然资源局</w:t>
      </w:r>
    </w:p>
    <w:p w14:paraId="31572ACE">
      <w:pPr>
        <w:spacing w:line="560" w:lineRule="exact"/>
        <w:ind w:firstLine="4480" w:firstLineChars="1400"/>
        <w:jc w:val="righ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2025年</w:t>
      </w:r>
      <w:r>
        <w:rPr>
          <w:rFonts w:hint="eastAsia" w:ascii="Times New Roman" w:hAnsi="Times New Roman" w:eastAsia="仿宋_GB2312"/>
          <w:sz w:val="32"/>
          <w:szCs w:val="32"/>
          <w:shd w:val="clear" w:color="auto" w:fill="FFFFFF"/>
        </w:rPr>
        <w:t>11</w:t>
      </w:r>
      <w:r>
        <w:rPr>
          <w:rFonts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13</w:t>
      </w:r>
      <w:bookmarkStart w:id="1" w:name="_GoBack"/>
      <w:bookmarkEnd w:id="1"/>
      <w:r>
        <w:rPr>
          <w:rFonts w:ascii="Times New Roman" w:hAnsi="Times New Roman" w:eastAsia="仿宋_GB2312"/>
          <w:sz w:val="32"/>
          <w:szCs w:val="32"/>
          <w:shd w:val="clear" w:color="auto" w:fill="FFFFFF"/>
        </w:rPr>
        <w:t>日</w:t>
      </w:r>
    </w:p>
    <w:p w14:paraId="77783BC5">
      <w:pPr>
        <w:widowControl/>
        <w:spacing w:line="560" w:lineRule="exact"/>
        <w:jc w:val="left"/>
        <w:rPr>
          <w:rFonts w:ascii="仿宋_GB2312" w:eastAsia="仿宋_GB2312" w:cs="仿宋_GB2312"/>
          <w:color w:val="393939"/>
          <w:sz w:val="32"/>
          <w:szCs w:val="32"/>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414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A45A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BA45A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wOGZhNmVhMmZiMDBkNjYyNDgwOTQyMDkwMmU1OTQifQ=="/>
  </w:docVars>
  <w:rsids>
    <w:rsidRoot w:val="00420D38"/>
    <w:rsid w:val="00054F2D"/>
    <w:rsid w:val="00066350"/>
    <w:rsid w:val="00086C5E"/>
    <w:rsid w:val="000D26E1"/>
    <w:rsid w:val="00117F88"/>
    <w:rsid w:val="00130DCE"/>
    <w:rsid w:val="0019742F"/>
    <w:rsid w:val="001C44C4"/>
    <w:rsid w:val="00260DCC"/>
    <w:rsid w:val="00280EF3"/>
    <w:rsid w:val="002E1A0C"/>
    <w:rsid w:val="00322567"/>
    <w:rsid w:val="003358A8"/>
    <w:rsid w:val="003B71A1"/>
    <w:rsid w:val="003E3D02"/>
    <w:rsid w:val="00420D38"/>
    <w:rsid w:val="004378A8"/>
    <w:rsid w:val="00464EEE"/>
    <w:rsid w:val="00495DC5"/>
    <w:rsid w:val="004A36A3"/>
    <w:rsid w:val="00503543"/>
    <w:rsid w:val="00535550"/>
    <w:rsid w:val="00591D7A"/>
    <w:rsid w:val="00664405"/>
    <w:rsid w:val="00692AC7"/>
    <w:rsid w:val="006A19CA"/>
    <w:rsid w:val="006C33DC"/>
    <w:rsid w:val="006F6EF1"/>
    <w:rsid w:val="00780D42"/>
    <w:rsid w:val="007A0B25"/>
    <w:rsid w:val="007A73E4"/>
    <w:rsid w:val="007A79A2"/>
    <w:rsid w:val="00824782"/>
    <w:rsid w:val="0089069E"/>
    <w:rsid w:val="008C6AE7"/>
    <w:rsid w:val="009173F1"/>
    <w:rsid w:val="00947262"/>
    <w:rsid w:val="00952050"/>
    <w:rsid w:val="00957DA9"/>
    <w:rsid w:val="009641A3"/>
    <w:rsid w:val="009915CC"/>
    <w:rsid w:val="00996601"/>
    <w:rsid w:val="009A179B"/>
    <w:rsid w:val="009B52ED"/>
    <w:rsid w:val="009F6EAD"/>
    <w:rsid w:val="00A21129"/>
    <w:rsid w:val="00AC0F57"/>
    <w:rsid w:val="00B0358D"/>
    <w:rsid w:val="00B103CA"/>
    <w:rsid w:val="00B80545"/>
    <w:rsid w:val="00B976E6"/>
    <w:rsid w:val="00BA548A"/>
    <w:rsid w:val="00BB2615"/>
    <w:rsid w:val="00C038A1"/>
    <w:rsid w:val="00C06F19"/>
    <w:rsid w:val="00C765EE"/>
    <w:rsid w:val="00CE5502"/>
    <w:rsid w:val="00D01DD9"/>
    <w:rsid w:val="00D13DC8"/>
    <w:rsid w:val="00D759D0"/>
    <w:rsid w:val="00DB6BB3"/>
    <w:rsid w:val="00EB4EB1"/>
    <w:rsid w:val="00EC67E1"/>
    <w:rsid w:val="00F07EA8"/>
    <w:rsid w:val="00F65C9D"/>
    <w:rsid w:val="00F73869"/>
    <w:rsid w:val="00F90277"/>
    <w:rsid w:val="00FA1009"/>
    <w:rsid w:val="00FD03AA"/>
    <w:rsid w:val="00FD4E8B"/>
    <w:rsid w:val="018F2493"/>
    <w:rsid w:val="01EA2E81"/>
    <w:rsid w:val="02331ABF"/>
    <w:rsid w:val="02C31095"/>
    <w:rsid w:val="03234A6A"/>
    <w:rsid w:val="03DC71E4"/>
    <w:rsid w:val="0400377F"/>
    <w:rsid w:val="042F6D13"/>
    <w:rsid w:val="04A11B3A"/>
    <w:rsid w:val="053D2D2D"/>
    <w:rsid w:val="05761D31"/>
    <w:rsid w:val="05B66A15"/>
    <w:rsid w:val="064F7E9F"/>
    <w:rsid w:val="06757B8D"/>
    <w:rsid w:val="068678D2"/>
    <w:rsid w:val="072D7CD2"/>
    <w:rsid w:val="076105E8"/>
    <w:rsid w:val="07A6667E"/>
    <w:rsid w:val="07F923A1"/>
    <w:rsid w:val="0857664A"/>
    <w:rsid w:val="08DE66C8"/>
    <w:rsid w:val="090B10A0"/>
    <w:rsid w:val="094B1DE4"/>
    <w:rsid w:val="0A05742A"/>
    <w:rsid w:val="0B082959"/>
    <w:rsid w:val="0B1C7015"/>
    <w:rsid w:val="0B48482D"/>
    <w:rsid w:val="0B963FC8"/>
    <w:rsid w:val="0BFA56BE"/>
    <w:rsid w:val="0CBD153F"/>
    <w:rsid w:val="0D585E47"/>
    <w:rsid w:val="0F405B1D"/>
    <w:rsid w:val="10402E20"/>
    <w:rsid w:val="105C6685"/>
    <w:rsid w:val="110C1CA7"/>
    <w:rsid w:val="11B03394"/>
    <w:rsid w:val="123F1DBA"/>
    <w:rsid w:val="125724B9"/>
    <w:rsid w:val="12710D6F"/>
    <w:rsid w:val="127216BA"/>
    <w:rsid w:val="14E82BDD"/>
    <w:rsid w:val="157D4738"/>
    <w:rsid w:val="15D5735F"/>
    <w:rsid w:val="160159D8"/>
    <w:rsid w:val="16A568FA"/>
    <w:rsid w:val="16E80C03"/>
    <w:rsid w:val="1A33484B"/>
    <w:rsid w:val="1A3F329F"/>
    <w:rsid w:val="1A4F4819"/>
    <w:rsid w:val="1B4A2C53"/>
    <w:rsid w:val="1BC65DBF"/>
    <w:rsid w:val="1C9C4172"/>
    <w:rsid w:val="1CB52865"/>
    <w:rsid w:val="1FF908DD"/>
    <w:rsid w:val="210762BC"/>
    <w:rsid w:val="215F1B0A"/>
    <w:rsid w:val="218A7B2C"/>
    <w:rsid w:val="23D83B87"/>
    <w:rsid w:val="23E34EFA"/>
    <w:rsid w:val="25E91977"/>
    <w:rsid w:val="25FF4027"/>
    <w:rsid w:val="264F6F26"/>
    <w:rsid w:val="26832765"/>
    <w:rsid w:val="26D06FD5"/>
    <w:rsid w:val="27180860"/>
    <w:rsid w:val="273852FE"/>
    <w:rsid w:val="28DE1ED5"/>
    <w:rsid w:val="29A80DCF"/>
    <w:rsid w:val="2B6520A9"/>
    <w:rsid w:val="2BB043A5"/>
    <w:rsid w:val="2BEF520C"/>
    <w:rsid w:val="2CFE36D1"/>
    <w:rsid w:val="2D8F2C62"/>
    <w:rsid w:val="2F4B42ED"/>
    <w:rsid w:val="2FB90FA6"/>
    <w:rsid w:val="307B2529"/>
    <w:rsid w:val="314F38F2"/>
    <w:rsid w:val="31CD297B"/>
    <w:rsid w:val="334400AA"/>
    <w:rsid w:val="334B0623"/>
    <w:rsid w:val="33757342"/>
    <w:rsid w:val="3378369C"/>
    <w:rsid w:val="34300D71"/>
    <w:rsid w:val="34F632D5"/>
    <w:rsid w:val="35422171"/>
    <w:rsid w:val="35527395"/>
    <w:rsid w:val="35742342"/>
    <w:rsid w:val="35CA758B"/>
    <w:rsid w:val="370E6780"/>
    <w:rsid w:val="37A75B88"/>
    <w:rsid w:val="37FC4126"/>
    <w:rsid w:val="38F37E9C"/>
    <w:rsid w:val="39F479AE"/>
    <w:rsid w:val="3A263B2F"/>
    <w:rsid w:val="3A94460B"/>
    <w:rsid w:val="3AB35735"/>
    <w:rsid w:val="3B9B96FA"/>
    <w:rsid w:val="3CB11983"/>
    <w:rsid w:val="3D203927"/>
    <w:rsid w:val="3D87287F"/>
    <w:rsid w:val="3E2717D1"/>
    <w:rsid w:val="3E3676C3"/>
    <w:rsid w:val="3F092605"/>
    <w:rsid w:val="3F2F4DE1"/>
    <w:rsid w:val="3FC31EB1"/>
    <w:rsid w:val="40CE4185"/>
    <w:rsid w:val="415A3828"/>
    <w:rsid w:val="41C061C4"/>
    <w:rsid w:val="41CA46C5"/>
    <w:rsid w:val="42176A6B"/>
    <w:rsid w:val="427A669E"/>
    <w:rsid w:val="42CA2995"/>
    <w:rsid w:val="44AD45C6"/>
    <w:rsid w:val="44E22A3F"/>
    <w:rsid w:val="45C14DA2"/>
    <w:rsid w:val="46103126"/>
    <w:rsid w:val="479417B9"/>
    <w:rsid w:val="47B61D67"/>
    <w:rsid w:val="48A028AB"/>
    <w:rsid w:val="48BE0AAA"/>
    <w:rsid w:val="49CC2EDA"/>
    <w:rsid w:val="49CF51F6"/>
    <w:rsid w:val="4AB87215"/>
    <w:rsid w:val="4BAB7C31"/>
    <w:rsid w:val="4C046644"/>
    <w:rsid w:val="4C433FAB"/>
    <w:rsid w:val="4D6D7D8E"/>
    <w:rsid w:val="4D8F5E58"/>
    <w:rsid w:val="4E180A29"/>
    <w:rsid w:val="4EE80B08"/>
    <w:rsid w:val="4F9C55BF"/>
    <w:rsid w:val="5143615D"/>
    <w:rsid w:val="514752AC"/>
    <w:rsid w:val="515B2DD4"/>
    <w:rsid w:val="51AD5DDD"/>
    <w:rsid w:val="51DF241A"/>
    <w:rsid w:val="51EB5CB7"/>
    <w:rsid w:val="52120376"/>
    <w:rsid w:val="541D3E47"/>
    <w:rsid w:val="54701694"/>
    <w:rsid w:val="55083F33"/>
    <w:rsid w:val="561641AD"/>
    <w:rsid w:val="562B5EAA"/>
    <w:rsid w:val="56777341"/>
    <w:rsid w:val="57641A3C"/>
    <w:rsid w:val="57F02AEA"/>
    <w:rsid w:val="59223A0D"/>
    <w:rsid w:val="5A5D25F6"/>
    <w:rsid w:val="5A92052D"/>
    <w:rsid w:val="5B264E92"/>
    <w:rsid w:val="5B393DB6"/>
    <w:rsid w:val="5BF1724E"/>
    <w:rsid w:val="5C930305"/>
    <w:rsid w:val="5CCF336E"/>
    <w:rsid w:val="5CD94CAE"/>
    <w:rsid w:val="5CDA7564"/>
    <w:rsid w:val="5D0E5BDE"/>
    <w:rsid w:val="5E284C1F"/>
    <w:rsid w:val="5F063511"/>
    <w:rsid w:val="604A1607"/>
    <w:rsid w:val="60D64064"/>
    <w:rsid w:val="61251748"/>
    <w:rsid w:val="61447E20"/>
    <w:rsid w:val="617702B1"/>
    <w:rsid w:val="625C18DF"/>
    <w:rsid w:val="63633821"/>
    <w:rsid w:val="6378546F"/>
    <w:rsid w:val="638766EA"/>
    <w:rsid w:val="64160F5F"/>
    <w:rsid w:val="65387C35"/>
    <w:rsid w:val="663754B0"/>
    <w:rsid w:val="677D19D1"/>
    <w:rsid w:val="67F4185D"/>
    <w:rsid w:val="68F1600C"/>
    <w:rsid w:val="6AB20070"/>
    <w:rsid w:val="6B8346DC"/>
    <w:rsid w:val="6BD20E8D"/>
    <w:rsid w:val="6BFD522C"/>
    <w:rsid w:val="6E1F7C4B"/>
    <w:rsid w:val="6E3C3D75"/>
    <w:rsid w:val="6E906FF7"/>
    <w:rsid w:val="6EA445F4"/>
    <w:rsid w:val="6FBC6F9D"/>
    <w:rsid w:val="70B85531"/>
    <w:rsid w:val="712255F7"/>
    <w:rsid w:val="715A497E"/>
    <w:rsid w:val="71855982"/>
    <w:rsid w:val="73E96D83"/>
    <w:rsid w:val="74AD6EFB"/>
    <w:rsid w:val="75026668"/>
    <w:rsid w:val="75AF6EEB"/>
    <w:rsid w:val="76504B3D"/>
    <w:rsid w:val="76911902"/>
    <w:rsid w:val="77297DD0"/>
    <w:rsid w:val="77CF1D1D"/>
    <w:rsid w:val="78960445"/>
    <w:rsid w:val="78BE7EFC"/>
    <w:rsid w:val="78C961F4"/>
    <w:rsid w:val="79C000C7"/>
    <w:rsid w:val="7A454ABD"/>
    <w:rsid w:val="7AEA57BD"/>
    <w:rsid w:val="7B3A0E25"/>
    <w:rsid w:val="7BF5003C"/>
    <w:rsid w:val="7D903A12"/>
    <w:rsid w:val="7DA0348C"/>
    <w:rsid w:val="7DA56D21"/>
    <w:rsid w:val="7DC899C7"/>
    <w:rsid w:val="7EFD073C"/>
    <w:rsid w:val="7FCF4777"/>
    <w:rsid w:val="7FFF70B9"/>
    <w:rsid w:val="DFFD9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0"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9"/>
    <w:pPr>
      <w:spacing w:beforeAutospacing="1" w:after="0" w:afterAutospacing="1"/>
      <w:jc w:val="left"/>
      <w:outlineLvl w:val="1"/>
    </w:pPr>
    <w:rPr>
      <w:rFonts w:hint="eastAsia" w:ascii="宋体" w:hAnsi="宋体"/>
      <w:b/>
      <w:bCs/>
      <w:kern w:val="0"/>
      <w:sz w:val="36"/>
      <w:szCs w:val="36"/>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30"/>
    <w:semiHidden/>
    <w:unhideWhenUsed/>
    <w:qFormat/>
    <w:uiPriority w:val="99"/>
    <w:pPr>
      <w:spacing w:after="120"/>
    </w:pPr>
  </w:style>
  <w:style w:type="paragraph" w:styleId="6">
    <w:name w:val="Balloon Text"/>
    <w:basedOn w:val="1"/>
    <w:link w:val="29"/>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0" w:afterAutospacing="1"/>
      <w:jc w:val="left"/>
    </w:pPr>
    <w:rPr>
      <w:kern w:val="0"/>
      <w:sz w:val="24"/>
    </w:rPr>
  </w:style>
  <w:style w:type="paragraph" w:styleId="10">
    <w:name w:val="Body Text First Indent"/>
    <w:basedOn w:val="5"/>
    <w:link w:val="31"/>
    <w:unhideWhenUsed/>
    <w:qFormat/>
    <w:uiPriority w:val="99"/>
    <w:pPr>
      <w:ind w:firstLine="420" w:firstLineChars="100"/>
    </w:pPr>
    <w:rPr>
      <w:rFonts w:eastAsia="仿宋_GB2312" w:asciiTheme="minorHAnsi" w:hAnsiTheme="minorHAnsi" w:cstheme="minorBidi"/>
      <w:sz w:val="32"/>
      <w:szCs w:val="24"/>
    </w:rPr>
  </w:style>
  <w:style w:type="table" w:styleId="12">
    <w:name w:val="Table Grid"/>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paragraph" w:customStyle="1" w:styleId="15">
    <w:name w:val="称呼1"/>
    <w:basedOn w:val="1"/>
    <w:next w:val="1"/>
    <w:qFormat/>
    <w:uiPriority w:val="0"/>
  </w:style>
  <w:style w:type="paragraph" w:customStyle="1" w:styleId="16">
    <w:name w:val="正文标题"/>
    <w:basedOn w:val="1"/>
    <w:link w:val="17"/>
    <w:qFormat/>
    <w:uiPriority w:val="0"/>
    <w:pPr>
      <w:spacing w:line="560" w:lineRule="exact"/>
      <w:jc w:val="center"/>
    </w:pPr>
    <w:rPr>
      <w:rFonts w:ascii="方正小标宋简体" w:eastAsia="方正小标宋简体"/>
      <w:sz w:val="44"/>
      <w:szCs w:val="44"/>
    </w:rPr>
  </w:style>
  <w:style w:type="character" w:customStyle="1" w:styleId="17">
    <w:name w:val="正文标题 字符"/>
    <w:link w:val="16"/>
    <w:qFormat/>
    <w:uiPriority w:val="0"/>
    <w:rPr>
      <w:rFonts w:ascii="方正小标宋简体" w:eastAsia="方正小标宋简体"/>
      <w:sz w:val="44"/>
      <w:szCs w:val="44"/>
    </w:rPr>
  </w:style>
  <w:style w:type="paragraph" w:customStyle="1" w:styleId="18">
    <w:name w:val="标准正文"/>
    <w:basedOn w:val="1"/>
    <w:link w:val="19"/>
    <w:qFormat/>
    <w:uiPriority w:val="0"/>
    <w:pPr>
      <w:spacing w:line="560" w:lineRule="exact"/>
      <w:ind w:firstLine="640" w:firstLineChars="200"/>
    </w:pPr>
    <w:rPr>
      <w:rFonts w:ascii="仿宋_GB2312" w:eastAsia="仿宋_GB2312"/>
      <w:sz w:val="32"/>
      <w:szCs w:val="32"/>
    </w:rPr>
  </w:style>
  <w:style w:type="character" w:customStyle="1" w:styleId="19">
    <w:name w:val="标准正文 字符"/>
    <w:link w:val="18"/>
    <w:qFormat/>
    <w:uiPriority w:val="0"/>
    <w:rPr>
      <w:rFonts w:ascii="仿宋_GB2312" w:eastAsia="仿宋_GB2312"/>
      <w:sz w:val="32"/>
      <w:szCs w:val="32"/>
    </w:rPr>
  </w:style>
  <w:style w:type="paragraph" w:customStyle="1" w:styleId="20">
    <w:name w:val="一级标题"/>
    <w:basedOn w:val="1"/>
    <w:link w:val="21"/>
    <w:qFormat/>
    <w:uiPriority w:val="0"/>
    <w:pPr>
      <w:spacing w:line="560" w:lineRule="exact"/>
      <w:ind w:firstLine="640" w:firstLineChars="200"/>
    </w:pPr>
    <w:rPr>
      <w:rFonts w:ascii="黑体" w:hAnsi="黑体" w:eastAsia="黑体"/>
      <w:sz w:val="32"/>
      <w:szCs w:val="32"/>
    </w:rPr>
  </w:style>
  <w:style w:type="character" w:customStyle="1" w:styleId="21">
    <w:name w:val="一级标题 字符"/>
    <w:link w:val="20"/>
    <w:qFormat/>
    <w:uiPriority w:val="0"/>
    <w:rPr>
      <w:rFonts w:ascii="黑体" w:hAnsi="黑体" w:eastAsia="黑体"/>
      <w:sz w:val="32"/>
      <w:szCs w:val="32"/>
    </w:rPr>
  </w:style>
  <w:style w:type="paragraph" w:customStyle="1" w:styleId="22">
    <w:name w:val="二级标题"/>
    <w:basedOn w:val="1"/>
    <w:link w:val="23"/>
    <w:qFormat/>
    <w:uiPriority w:val="0"/>
    <w:pPr>
      <w:spacing w:line="560" w:lineRule="exact"/>
      <w:ind w:firstLine="643" w:firstLineChars="200"/>
    </w:pPr>
    <w:rPr>
      <w:rFonts w:ascii="楷体_GB2312" w:eastAsia="楷体_GB2312"/>
      <w:b/>
      <w:sz w:val="32"/>
      <w:szCs w:val="32"/>
    </w:rPr>
  </w:style>
  <w:style w:type="character" w:customStyle="1" w:styleId="23">
    <w:name w:val="二级标题 字符"/>
    <w:link w:val="22"/>
    <w:qFormat/>
    <w:uiPriority w:val="0"/>
    <w:rPr>
      <w:rFonts w:ascii="楷体_GB2312" w:eastAsia="楷体_GB2312"/>
      <w:b/>
      <w:sz w:val="32"/>
      <w:szCs w:val="32"/>
    </w:rPr>
  </w:style>
  <w:style w:type="character" w:customStyle="1" w:styleId="24">
    <w:name w:val="页眉 字符"/>
    <w:basedOn w:val="13"/>
    <w:semiHidden/>
    <w:qFormat/>
    <w:uiPriority w:val="99"/>
    <w:rPr>
      <w:sz w:val="18"/>
      <w:szCs w:val="18"/>
    </w:rPr>
  </w:style>
  <w:style w:type="character" w:customStyle="1" w:styleId="25">
    <w:name w:val="页眉 字符1"/>
    <w:link w:val="8"/>
    <w:qFormat/>
    <w:uiPriority w:val="99"/>
    <w:rPr>
      <w:sz w:val="18"/>
      <w:szCs w:val="18"/>
    </w:rPr>
  </w:style>
  <w:style w:type="character" w:customStyle="1" w:styleId="26">
    <w:name w:val="页脚 字符"/>
    <w:basedOn w:val="13"/>
    <w:semiHidden/>
    <w:qFormat/>
    <w:uiPriority w:val="99"/>
    <w:rPr>
      <w:sz w:val="18"/>
      <w:szCs w:val="18"/>
    </w:rPr>
  </w:style>
  <w:style w:type="character" w:customStyle="1" w:styleId="27">
    <w:name w:val="页脚 字符1"/>
    <w:link w:val="7"/>
    <w:qFormat/>
    <w:uiPriority w:val="99"/>
    <w:rPr>
      <w:sz w:val="18"/>
      <w:szCs w:val="18"/>
    </w:rPr>
  </w:style>
  <w:style w:type="character" w:customStyle="1" w:styleId="28">
    <w:name w:val="批注框文本 字符"/>
    <w:basedOn w:val="13"/>
    <w:semiHidden/>
    <w:qFormat/>
    <w:uiPriority w:val="99"/>
    <w:rPr>
      <w:sz w:val="18"/>
      <w:szCs w:val="18"/>
    </w:rPr>
  </w:style>
  <w:style w:type="character" w:customStyle="1" w:styleId="29">
    <w:name w:val="批注框文本 字符1"/>
    <w:link w:val="6"/>
    <w:semiHidden/>
    <w:qFormat/>
    <w:uiPriority w:val="99"/>
    <w:rPr>
      <w:sz w:val="18"/>
      <w:szCs w:val="18"/>
    </w:rPr>
  </w:style>
  <w:style w:type="character" w:customStyle="1" w:styleId="30">
    <w:name w:val="正文文本 字符"/>
    <w:basedOn w:val="13"/>
    <w:link w:val="5"/>
    <w:semiHidden/>
    <w:qFormat/>
    <w:uiPriority w:val="99"/>
    <w:rPr>
      <w:sz w:val="21"/>
      <w:szCs w:val="22"/>
    </w:rPr>
  </w:style>
  <w:style w:type="character" w:customStyle="1" w:styleId="31">
    <w:name w:val="正文文本首行缩进 字符"/>
    <w:basedOn w:val="30"/>
    <w:link w:val="10"/>
    <w:qFormat/>
    <w:uiPriority w:val="99"/>
    <w:rPr>
      <w:rFonts w:eastAsia="仿宋_GB2312" w:asciiTheme="minorHAnsi" w:hAnsiTheme="minorHAnsi" w:cstheme="minorBidi"/>
      <w:sz w:val="32"/>
      <w:szCs w:val="24"/>
    </w:rPr>
  </w:style>
  <w:style w:type="paragraph" w:customStyle="1" w:styleId="32">
    <w:name w:val="Revision"/>
    <w:hidden/>
    <w:unhideWhenUsed/>
    <w:qFormat/>
    <w:uiPriority w:val="99"/>
    <w:pPr>
      <w:spacing w:after="0" w:line="240"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1532</Words>
  <Characters>1584</Characters>
  <Lines>12</Lines>
  <Paragraphs>3</Paragraphs>
  <TotalTime>34</TotalTime>
  <ScaleCrop>false</ScaleCrop>
  <LinksUpToDate>false</LinksUpToDate>
  <CharactersWithSpaces>1587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2025-11-25T07:57:00Z</dcterms:created>
  <dc:creator>d xr</dc:creator>
  <cp:lastModifiedBy>m6</cp:lastModifiedBy>
  <cp:lastPrinted>2024-11-13T04:40:00Z</cp:lastPrinted>
  <dcterms:modified xsi:type="dcterms:W3CDTF">2025-12-23T01:38:55Z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86C6ABDC67219ACE66E32D675494EEE4</vt:lpwstr>
  </property>
  <property fmtid="{D5CDD505-2E9C-101B-9397-08002B2CF9AE}" pid="4" name="KSOTemplateDocerSaveRecord">
    <vt:lpwstr>eyJoZGlkIjoiNGI2MjcxNDE3ZTg4YjAyZGE2NTdhMWVkMDM3NDM1OWMifQ==</vt:lpwstr>
  </property>
</Properties>
</file>