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67B8B">
      <w:pPr>
        <w:spacing w:line="360" w:lineRule="auto"/>
        <w:ind w:firstLine="0" w:firstLineChars="0"/>
        <w:jc w:val="center"/>
        <w:rPr>
          <w:rFonts w:hint="default" w:ascii="仿宋" w:hAnsi="仿宋" w:eastAsia="仿宋" w:cs="仿宋"/>
          <w:b/>
          <w:bCs/>
          <w:color w:val="auto"/>
          <w:sz w:val="52"/>
          <w:szCs w:val="52"/>
          <w:highlight w:val="none"/>
          <w:lang w:val="en-US" w:eastAsia="zh-CN"/>
        </w:rPr>
      </w:pPr>
      <w:bookmarkStart w:id="0" w:name="_Toc1969"/>
      <w:bookmarkStart w:id="1" w:name="_Toc22433"/>
      <w:bookmarkStart w:id="2" w:name="_Toc22408"/>
    </w:p>
    <w:p w14:paraId="51E7FB78">
      <w:pPr>
        <w:spacing w:line="360" w:lineRule="auto"/>
        <w:ind w:firstLine="0" w:firstLineChars="0"/>
        <w:jc w:val="both"/>
        <w:rPr>
          <w:rFonts w:hint="default" w:ascii="仿宋" w:hAnsi="仿宋" w:eastAsia="仿宋" w:cs="仿宋"/>
          <w:b/>
          <w:bCs/>
          <w:color w:val="auto"/>
          <w:sz w:val="52"/>
          <w:szCs w:val="52"/>
          <w:highlight w:val="none"/>
          <w:lang w:val="en-US" w:eastAsia="zh-CN"/>
        </w:rPr>
      </w:pPr>
    </w:p>
    <w:p w14:paraId="4125B5B6">
      <w:pPr>
        <w:shd w:val="clear"/>
        <w:spacing w:line="360" w:lineRule="auto"/>
        <w:ind w:firstLine="0" w:firstLineChars="0"/>
        <w:jc w:val="center"/>
        <w:rPr>
          <w:rFonts w:hint="eastAsia" w:ascii="Times New Roman" w:hAnsi="Times New Roman" w:eastAsia="方正小标宋_GBK" w:cs="Times New Roman"/>
          <w:b/>
          <w:color w:val="auto"/>
          <w:kern w:val="0"/>
          <w:sz w:val="44"/>
          <w:szCs w:val="44"/>
          <w:highlight w:val="none"/>
          <w:lang w:val="en-US" w:eastAsia="zh-CN"/>
        </w:rPr>
      </w:pPr>
      <w:r>
        <w:rPr>
          <w:rFonts w:hint="eastAsia" w:ascii="Times New Roman" w:hAnsi="Times New Roman" w:eastAsia="方正小标宋_GBK" w:cs="Times New Roman"/>
          <w:b/>
          <w:color w:val="auto"/>
          <w:kern w:val="0"/>
          <w:sz w:val="44"/>
          <w:szCs w:val="44"/>
          <w:highlight w:val="none"/>
          <w:lang w:val="en-US" w:eastAsia="zh-CN"/>
        </w:rPr>
        <w:t>资源县乡村地区“通则式”规划</w:t>
      </w:r>
      <w:bookmarkEnd w:id="0"/>
      <w:r>
        <w:rPr>
          <w:rFonts w:hint="eastAsia" w:ascii="Times New Roman" w:hAnsi="Times New Roman" w:eastAsia="方正小标宋_GBK" w:cs="Times New Roman"/>
          <w:b/>
          <w:color w:val="auto"/>
          <w:kern w:val="0"/>
          <w:sz w:val="44"/>
          <w:szCs w:val="44"/>
          <w:highlight w:val="none"/>
          <w:lang w:val="en-US" w:eastAsia="zh-CN"/>
        </w:rPr>
        <w:t>管理规定</w:t>
      </w:r>
      <w:bookmarkEnd w:id="1"/>
      <w:bookmarkEnd w:id="2"/>
    </w:p>
    <w:p w14:paraId="298DF618">
      <w:pPr>
        <w:shd w:val="clear"/>
        <w:spacing w:line="360" w:lineRule="auto"/>
        <w:ind w:firstLine="0" w:firstLineChars="0"/>
        <w:jc w:val="center"/>
        <w:rPr>
          <w:rFonts w:hint="eastAsia" w:ascii="Times New Roman" w:hAnsi="Times New Roman" w:eastAsia="方正小标宋_GBK" w:cs="Times New Roman"/>
          <w:b/>
          <w:color w:val="auto"/>
          <w:kern w:val="0"/>
          <w:sz w:val="44"/>
          <w:szCs w:val="44"/>
          <w:highlight w:val="none"/>
          <w:lang w:val="en-US" w:eastAsia="zh-CN"/>
        </w:rPr>
      </w:pPr>
      <w:r>
        <w:rPr>
          <w:rFonts w:hint="eastAsia" w:ascii="Times New Roman" w:hAnsi="Times New Roman" w:eastAsia="方正小标宋_GBK" w:cs="Times New Roman"/>
          <w:b/>
          <w:color w:val="auto"/>
          <w:kern w:val="0"/>
          <w:sz w:val="44"/>
          <w:szCs w:val="44"/>
          <w:highlight w:val="none"/>
          <w:lang w:val="en-US" w:eastAsia="zh-CN"/>
        </w:rPr>
        <w:t>（试行）</w:t>
      </w:r>
    </w:p>
    <w:p w14:paraId="0C5BF8F6">
      <w:pPr>
        <w:ind w:firstLine="420"/>
        <w:rPr>
          <w:rFonts w:ascii="Times New Roman" w:hAnsi="Times New Roman" w:eastAsia="宋体" w:cs="Times New Roman"/>
          <w:color w:val="auto"/>
          <w:highlight w:val="none"/>
        </w:rPr>
      </w:pPr>
    </w:p>
    <w:p w14:paraId="25D6ABFB">
      <w:pPr>
        <w:ind w:firstLine="420"/>
        <w:rPr>
          <w:rFonts w:ascii="Times New Roman" w:hAnsi="Times New Roman" w:eastAsia="宋体" w:cs="Times New Roman"/>
          <w:color w:val="auto"/>
          <w:highlight w:val="none"/>
        </w:rPr>
      </w:pPr>
    </w:p>
    <w:p w14:paraId="32458A54">
      <w:pPr>
        <w:ind w:firstLine="420"/>
        <w:rPr>
          <w:rFonts w:ascii="Times New Roman" w:hAnsi="Times New Roman" w:eastAsia="宋体" w:cs="Times New Roman"/>
          <w:color w:val="auto"/>
          <w:highlight w:val="none"/>
        </w:rPr>
      </w:pPr>
    </w:p>
    <w:p w14:paraId="72B0CC62">
      <w:pPr>
        <w:ind w:firstLine="420"/>
        <w:rPr>
          <w:rFonts w:ascii="Times New Roman" w:hAnsi="Times New Roman" w:eastAsia="宋体" w:cs="Times New Roman"/>
          <w:color w:val="auto"/>
          <w:highlight w:val="none"/>
        </w:rPr>
      </w:pPr>
    </w:p>
    <w:p w14:paraId="592A4F8C">
      <w:pPr>
        <w:ind w:firstLine="420"/>
        <w:rPr>
          <w:rFonts w:ascii="Times New Roman" w:hAnsi="Times New Roman" w:eastAsia="宋体" w:cs="Times New Roman"/>
          <w:color w:val="auto"/>
          <w:highlight w:val="none"/>
        </w:rPr>
      </w:pPr>
    </w:p>
    <w:p w14:paraId="4B5B7680">
      <w:pPr>
        <w:ind w:firstLine="420"/>
        <w:rPr>
          <w:rFonts w:ascii="Times New Roman" w:hAnsi="Times New Roman" w:eastAsia="宋体" w:cs="Times New Roman"/>
          <w:color w:val="auto"/>
          <w:highlight w:val="none"/>
        </w:rPr>
      </w:pPr>
    </w:p>
    <w:p w14:paraId="60F80A19">
      <w:pPr>
        <w:ind w:firstLine="420"/>
        <w:rPr>
          <w:rFonts w:ascii="Times New Roman" w:hAnsi="Times New Roman" w:eastAsia="宋体" w:cs="Times New Roman"/>
          <w:color w:val="auto"/>
          <w:highlight w:val="none"/>
        </w:rPr>
      </w:pPr>
    </w:p>
    <w:p w14:paraId="02AA562C">
      <w:pPr>
        <w:ind w:firstLine="420"/>
        <w:rPr>
          <w:rFonts w:ascii="Times New Roman" w:hAnsi="Times New Roman" w:eastAsia="宋体" w:cs="Times New Roman"/>
          <w:color w:val="auto"/>
          <w:highlight w:val="none"/>
        </w:rPr>
      </w:pPr>
    </w:p>
    <w:p w14:paraId="52506084">
      <w:pPr>
        <w:ind w:firstLine="420"/>
        <w:rPr>
          <w:rFonts w:ascii="Times New Roman" w:hAnsi="Times New Roman" w:eastAsia="宋体" w:cs="Times New Roman"/>
          <w:color w:val="auto"/>
          <w:highlight w:val="none"/>
        </w:rPr>
      </w:pPr>
    </w:p>
    <w:p w14:paraId="7DF42F6D">
      <w:pPr>
        <w:ind w:firstLine="420"/>
        <w:rPr>
          <w:rFonts w:ascii="Times New Roman" w:hAnsi="Times New Roman" w:eastAsia="宋体" w:cs="Times New Roman"/>
          <w:color w:val="auto"/>
          <w:highlight w:val="none"/>
        </w:rPr>
      </w:pPr>
    </w:p>
    <w:p w14:paraId="686BF277">
      <w:pPr>
        <w:ind w:firstLine="420"/>
        <w:rPr>
          <w:rFonts w:ascii="Times New Roman" w:hAnsi="Times New Roman" w:eastAsia="宋体" w:cs="Times New Roman"/>
          <w:color w:val="auto"/>
          <w:highlight w:val="none"/>
        </w:rPr>
      </w:pPr>
    </w:p>
    <w:p w14:paraId="2156D140">
      <w:pPr>
        <w:ind w:firstLine="420"/>
        <w:rPr>
          <w:rFonts w:ascii="Times New Roman" w:hAnsi="Times New Roman" w:eastAsia="宋体" w:cs="Times New Roman"/>
          <w:color w:val="auto"/>
          <w:highlight w:val="none"/>
        </w:rPr>
      </w:pPr>
    </w:p>
    <w:p w14:paraId="357DC1EC">
      <w:pPr>
        <w:ind w:left="0" w:leftChars="0" w:firstLine="0" w:firstLineChars="0"/>
        <w:rPr>
          <w:rFonts w:ascii="Times New Roman" w:hAnsi="Times New Roman" w:eastAsia="宋体" w:cs="Times New Roman"/>
          <w:color w:val="auto"/>
          <w:highlight w:val="none"/>
        </w:rPr>
      </w:pPr>
    </w:p>
    <w:p w14:paraId="5DE54E6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仿宋" w:hAnsi="仿宋" w:eastAsia="仿宋" w:cs="仿宋"/>
          <w:b/>
          <w:color w:val="auto"/>
          <w:sz w:val="32"/>
          <w:szCs w:val="32"/>
          <w:highlight w:val="none"/>
          <w:lang w:val="en-US" w:eastAsia="zh-CN"/>
        </w:rPr>
      </w:pPr>
    </w:p>
    <w:p w14:paraId="15C9242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_GB2312" w:cs="Times New Roman"/>
          <w:b w:val="0"/>
          <w:bCs/>
          <w:color w:val="auto"/>
          <w:sz w:val="30"/>
          <w:szCs w:val="30"/>
          <w:highlight w:val="none"/>
          <w:lang w:val="en-US" w:eastAsia="zh-CN"/>
        </w:rPr>
      </w:pPr>
      <w:r>
        <w:rPr>
          <w:rFonts w:hint="eastAsia" w:ascii="Times New Roman" w:hAnsi="Times New Roman" w:eastAsia="楷体_GB2312" w:cs="Times New Roman"/>
          <w:b w:val="0"/>
          <w:bCs/>
          <w:color w:val="auto"/>
          <w:sz w:val="30"/>
          <w:szCs w:val="30"/>
          <w:highlight w:val="none"/>
          <w:lang w:val="en-US" w:eastAsia="zh-CN"/>
        </w:rPr>
        <w:t>资源县人民政府</w:t>
      </w:r>
    </w:p>
    <w:p w14:paraId="5B47466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楷体_GB2312" w:cs="Times New Roman"/>
          <w:b w:val="0"/>
          <w:bCs/>
          <w:color w:val="auto"/>
          <w:sz w:val="30"/>
          <w:szCs w:val="30"/>
          <w:highlight w:val="none"/>
          <w:lang w:eastAsia="zh-CN"/>
        </w:rPr>
      </w:pPr>
      <w:r>
        <w:rPr>
          <w:rFonts w:hint="eastAsia" w:ascii="Times New Roman" w:hAnsi="Times New Roman" w:eastAsia="楷体_GB2312" w:cs="Times New Roman"/>
          <w:b w:val="0"/>
          <w:bCs/>
          <w:color w:val="auto"/>
          <w:sz w:val="30"/>
          <w:szCs w:val="30"/>
          <w:highlight w:val="none"/>
          <w:lang w:val="en-US" w:eastAsia="zh-CN"/>
        </w:rPr>
        <w:t>二〇二五</w:t>
      </w:r>
      <w:r>
        <w:rPr>
          <w:rFonts w:hint="eastAsia" w:ascii="Times New Roman" w:hAnsi="Times New Roman" w:eastAsia="楷体_GB2312" w:cs="Times New Roman"/>
          <w:b w:val="0"/>
          <w:bCs/>
          <w:color w:val="auto"/>
          <w:sz w:val="30"/>
          <w:szCs w:val="30"/>
          <w:highlight w:val="none"/>
          <w:lang w:eastAsia="zh-CN"/>
        </w:rPr>
        <w:t>年</w:t>
      </w:r>
      <w:r>
        <w:rPr>
          <w:rFonts w:hint="eastAsia" w:ascii="Times New Roman" w:hAnsi="Times New Roman" w:eastAsia="楷体_GB2312" w:cs="Times New Roman"/>
          <w:b w:val="0"/>
          <w:bCs/>
          <w:color w:val="auto"/>
          <w:sz w:val="30"/>
          <w:szCs w:val="30"/>
          <w:highlight w:val="none"/>
          <w:lang w:val="en-US" w:eastAsia="zh-CN"/>
        </w:rPr>
        <w:t>十一</w:t>
      </w:r>
      <w:r>
        <w:rPr>
          <w:rFonts w:hint="eastAsia" w:ascii="Times New Roman" w:hAnsi="Times New Roman" w:eastAsia="楷体_GB2312" w:cs="Times New Roman"/>
          <w:b w:val="0"/>
          <w:bCs/>
          <w:color w:val="auto"/>
          <w:sz w:val="30"/>
          <w:szCs w:val="30"/>
          <w:highlight w:val="none"/>
          <w:lang w:eastAsia="zh-CN"/>
        </w:rPr>
        <w:t>月</w:t>
      </w:r>
    </w:p>
    <w:p w14:paraId="33A72B56">
      <w:pPr>
        <w:spacing w:line="360" w:lineRule="auto"/>
        <w:ind w:firstLine="0" w:firstLineChars="0"/>
        <w:jc w:val="center"/>
        <w:rPr>
          <w:rFonts w:hint="eastAsia" w:ascii="仿宋_GB2312" w:hAnsi="仿宋_GB2312" w:eastAsia="仿宋_GB2312" w:cs="仿宋_GB2312"/>
          <w:b/>
          <w:bCs/>
          <w:color w:val="auto"/>
          <w:sz w:val="32"/>
          <w:szCs w:val="40"/>
          <w:highlight w:val="none"/>
          <w:lang w:val="en-US" w:eastAsia="zh-CN"/>
        </w:rPr>
      </w:pPr>
    </w:p>
    <w:p w14:paraId="7BB025D4">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sz w:val="30"/>
          <w:szCs w:val="30"/>
        </w:rPr>
        <w:t>项目名称：</w:t>
      </w:r>
      <w:r>
        <w:rPr>
          <w:rFonts w:hint="eastAsia" w:ascii="仿宋_GB2312" w:hAnsi="仿宋_GB2312" w:eastAsia="仿宋_GB2312" w:cs="仿宋_GB2312"/>
          <w:sz w:val="30"/>
          <w:szCs w:val="30"/>
          <w:lang w:val="en-US" w:eastAsia="zh-CN"/>
        </w:rPr>
        <w:t>资源县</w:t>
      </w:r>
      <w:r>
        <w:rPr>
          <w:rFonts w:hint="eastAsia" w:ascii="仿宋_GB2312" w:hAnsi="仿宋_GB2312" w:eastAsia="仿宋_GB2312" w:cs="仿宋_GB2312"/>
          <w:bCs/>
          <w:sz w:val="30"/>
          <w:szCs w:val="30"/>
        </w:rPr>
        <w:t>乡村地区“通则式”规划管理规定（试行）</w:t>
      </w:r>
    </w:p>
    <w:p w14:paraId="62D22DDF">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sz w:val="30"/>
          <w:szCs w:val="30"/>
          <w:lang w:val="en-US" w:eastAsia="zh-CN"/>
        </w:rPr>
        <w:t>组织</w:t>
      </w:r>
      <w:r>
        <w:rPr>
          <w:rFonts w:hint="eastAsia" w:ascii="仿宋_GB2312" w:hAnsi="仿宋_GB2312" w:eastAsia="仿宋_GB2312" w:cs="仿宋_GB2312"/>
          <w:b/>
          <w:sz w:val="30"/>
          <w:szCs w:val="30"/>
        </w:rPr>
        <w:t>单位：</w:t>
      </w:r>
      <w:r>
        <w:rPr>
          <w:rFonts w:hint="eastAsia" w:ascii="仿宋_GB2312" w:hAnsi="仿宋_GB2312" w:eastAsia="仿宋_GB2312" w:cs="仿宋_GB2312"/>
          <w:b w:val="0"/>
          <w:bCs/>
          <w:sz w:val="30"/>
          <w:szCs w:val="30"/>
          <w:lang w:val="en-US" w:eastAsia="zh-CN"/>
        </w:rPr>
        <w:t>资源县</w:t>
      </w:r>
      <w:r>
        <w:rPr>
          <w:rFonts w:hint="eastAsia" w:ascii="仿宋_GB2312" w:hAnsi="仿宋_GB2312" w:eastAsia="仿宋_GB2312" w:cs="仿宋_GB2312"/>
          <w:bCs/>
          <w:sz w:val="30"/>
          <w:szCs w:val="30"/>
        </w:rPr>
        <w:t>自然资源局</w:t>
      </w:r>
    </w:p>
    <w:p w14:paraId="067F7471">
      <w:pPr>
        <w:spacing w:line="600" w:lineRule="exact"/>
        <w:jc w:val="left"/>
        <w:rPr>
          <w:rFonts w:hint="eastAsia" w:ascii="仿宋_GB2312" w:hAnsi="仿宋_GB2312" w:eastAsia="仿宋_GB2312" w:cs="仿宋_GB2312"/>
          <w:bCs/>
          <w:sz w:val="30"/>
          <w:szCs w:val="30"/>
        </w:rPr>
      </w:pPr>
    </w:p>
    <w:p w14:paraId="36F9DB32">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编制单位：</w:t>
      </w:r>
      <w:r>
        <w:rPr>
          <w:rFonts w:hint="eastAsia" w:ascii="仿宋_GB2312" w:hAnsi="仿宋_GB2312" w:eastAsia="仿宋_GB2312" w:cs="仿宋_GB2312"/>
          <w:sz w:val="30"/>
          <w:szCs w:val="30"/>
        </w:rPr>
        <w:t>广西国土资源规划设计集团有限公司</w:t>
      </w:r>
    </w:p>
    <w:p w14:paraId="4C41CE27">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机构法定代表人：</w:t>
      </w:r>
      <w:r>
        <w:rPr>
          <w:rFonts w:hint="eastAsia" w:ascii="仿宋_GB2312" w:hAnsi="仿宋_GB2312" w:eastAsia="仿宋_GB2312" w:cs="仿宋_GB2312"/>
          <w:b w:val="0"/>
          <w:bCs w:val="0"/>
          <w:sz w:val="30"/>
          <w:szCs w:val="30"/>
        </w:rPr>
        <w:t>余述琼</w:t>
      </w:r>
    </w:p>
    <w:p w14:paraId="29953807">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sz w:val="30"/>
          <w:szCs w:val="30"/>
        </w:rPr>
      </w:pPr>
    </w:p>
    <w:p w14:paraId="69BDB842">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机构技术负责人：农宵宵（总工程师/正高级经济师）</w:t>
      </w:r>
    </w:p>
    <w:p w14:paraId="4A09626A">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部 门 负 责 人：杨惠楠（正高级经济师/注册城乡规划师）</w:t>
      </w:r>
    </w:p>
    <w:p w14:paraId="2AA7F918">
      <w:pPr>
        <w:keepNext w:val="0"/>
        <w:keepLines w:val="0"/>
        <w:pageBreakBefore w:val="0"/>
        <w:widowControl w:val="0"/>
        <w:kinsoku/>
        <w:wordWrap/>
        <w:overflowPunct/>
        <w:topLinePunct w:val="0"/>
        <w:autoSpaceDE/>
        <w:autoSpaceDN/>
        <w:bidi w:val="0"/>
        <w:adjustRightInd/>
        <w:snapToGrid/>
        <w:spacing w:line="600" w:lineRule="exact"/>
        <w:ind w:left="0" w:leftChars="0"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pacing w:val="20"/>
          <w:kern w:val="0"/>
          <w:sz w:val="30"/>
          <w:szCs w:val="30"/>
          <w:fitText w:val="2340" w:id="1084584584"/>
        </w:rPr>
        <w:t>项目总负责人</w:t>
      </w:r>
      <w:r>
        <w:rPr>
          <w:rFonts w:hint="eastAsia" w:ascii="仿宋_GB2312" w:hAnsi="仿宋_GB2312" w:eastAsia="仿宋_GB2312" w:cs="仿宋_GB2312"/>
          <w:b w:val="0"/>
          <w:bCs w:val="0"/>
          <w:spacing w:val="0"/>
          <w:kern w:val="0"/>
          <w:sz w:val="30"/>
          <w:szCs w:val="30"/>
          <w:fitText w:val="2340" w:id="1084584584"/>
        </w:rPr>
        <w:t>：</w:t>
      </w:r>
      <w:r>
        <w:rPr>
          <w:rFonts w:hint="eastAsia" w:ascii="仿宋_GB2312" w:hAnsi="仿宋_GB2312" w:eastAsia="仿宋_GB2312" w:cs="仿宋_GB2312"/>
          <w:b w:val="0"/>
          <w:bCs w:val="0"/>
          <w:kern w:val="0"/>
          <w:sz w:val="16"/>
          <w:szCs w:val="16"/>
          <w:lang w:val="en-US" w:eastAsia="zh-CN"/>
        </w:rPr>
        <w:t xml:space="preserve"> </w:t>
      </w:r>
      <w:r>
        <w:rPr>
          <w:rFonts w:hint="eastAsia" w:ascii="仿宋_GB2312" w:hAnsi="仿宋_GB2312" w:eastAsia="仿宋_GB2312" w:cs="仿宋_GB2312"/>
          <w:b w:val="0"/>
          <w:bCs w:val="0"/>
          <w:sz w:val="30"/>
          <w:szCs w:val="30"/>
        </w:rPr>
        <w:t xml:space="preserve">郭一凡（工程师） </w:t>
      </w:r>
    </w:p>
    <w:p w14:paraId="58C19C83">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val="0"/>
          <w:bCs w:val="0"/>
          <w:spacing w:val="20"/>
          <w:kern w:val="0"/>
          <w:sz w:val="30"/>
          <w:szCs w:val="30"/>
          <w:fitText w:val="2340" w:id="1881099371"/>
        </w:rPr>
        <w:t>主要编制人员</w:t>
      </w:r>
      <w:r>
        <w:rPr>
          <w:rFonts w:hint="eastAsia" w:ascii="仿宋_GB2312" w:hAnsi="仿宋_GB2312" w:eastAsia="仿宋_GB2312" w:cs="仿宋_GB2312"/>
          <w:b w:val="0"/>
          <w:bCs w:val="0"/>
          <w:spacing w:val="0"/>
          <w:kern w:val="0"/>
          <w:sz w:val="30"/>
          <w:szCs w:val="30"/>
          <w:fitText w:val="2340" w:id="1881099371"/>
        </w:rPr>
        <w:t>：</w:t>
      </w:r>
      <w:r>
        <w:rPr>
          <w:rFonts w:hint="eastAsia" w:ascii="仿宋_GB2312" w:hAnsi="仿宋_GB2312" w:eastAsia="仿宋_GB2312" w:cs="仿宋_GB2312"/>
          <w:b w:val="0"/>
          <w:bCs w:val="0"/>
          <w:kern w:val="0"/>
          <w:sz w:val="16"/>
          <w:szCs w:val="16"/>
          <w:lang w:val="en-US" w:eastAsia="zh-CN"/>
        </w:rPr>
        <w:t xml:space="preserve"> </w:t>
      </w:r>
      <w:r>
        <w:rPr>
          <w:rFonts w:hint="eastAsia" w:ascii="仿宋_GB2312" w:hAnsi="仿宋_GB2312" w:eastAsia="仿宋_GB2312" w:cs="仿宋_GB2312"/>
          <w:b w:val="0"/>
          <w:bCs w:val="0"/>
          <w:sz w:val="30"/>
          <w:szCs w:val="30"/>
        </w:rPr>
        <w:t>郭一凡（工程师）</w:t>
      </w:r>
      <w:r>
        <w:rPr>
          <w:rFonts w:hint="eastAsia" w:ascii="仿宋_GB2312" w:hAnsi="仿宋_GB2312" w:eastAsia="仿宋_GB2312" w:cs="仿宋_GB2312"/>
          <w:b/>
          <w:bCs/>
          <w:sz w:val="30"/>
          <w:szCs w:val="30"/>
        </w:rPr>
        <w:t xml:space="preserve"> </w:t>
      </w:r>
    </w:p>
    <w:p w14:paraId="26059EF4">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lang w:val="en-US" w:eastAsia="zh-CN"/>
        </w:rPr>
        <w:t>周婉玲</w:t>
      </w:r>
      <w:r>
        <w:rPr>
          <w:rFonts w:hint="eastAsia" w:ascii="仿宋_GB2312" w:hAnsi="仿宋_GB2312" w:eastAsia="仿宋_GB2312" w:cs="仿宋_GB2312"/>
          <w:b w:val="0"/>
          <w:bCs w:val="0"/>
          <w:sz w:val="30"/>
          <w:szCs w:val="30"/>
        </w:rPr>
        <w:t>（</w:t>
      </w:r>
      <w:r>
        <w:rPr>
          <w:rFonts w:hint="eastAsia" w:ascii="仿宋_GB2312" w:hAnsi="仿宋_GB2312" w:eastAsia="仿宋_GB2312" w:cs="仿宋_GB2312"/>
          <w:b w:val="0"/>
          <w:bCs w:val="0"/>
          <w:sz w:val="30"/>
          <w:szCs w:val="30"/>
          <w:lang w:val="en-US" w:eastAsia="zh-CN"/>
        </w:rPr>
        <w:t>高级</w:t>
      </w:r>
      <w:r>
        <w:rPr>
          <w:rFonts w:hint="eastAsia" w:ascii="仿宋_GB2312" w:hAnsi="仿宋_GB2312" w:eastAsia="仿宋_GB2312" w:cs="仿宋_GB2312"/>
          <w:b w:val="0"/>
          <w:bCs w:val="0"/>
          <w:sz w:val="30"/>
          <w:szCs w:val="30"/>
        </w:rPr>
        <w:t>工程师）</w:t>
      </w:r>
    </w:p>
    <w:p w14:paraId="7B041F1B">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李  悦  （工程师）</w:t>
      </w:r>
    </w:p>
    <w:p w14:paraId="7D4059D4">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邱桂莹  （高级工程师）</w:t>
      </w:r>
    </w:p>
    <w:p w14:paraId="788EE2CE">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杜艺玮  （工程师）</w:t>
      </w:r>
    </w:p>
    <w:p w14:paraId="0E7E5701">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 </w:t>
      </w:r>
    </w:p>
    <w:p w14:paraId="369948A4">
      <w:pPr>
        <w:keepNext w:val="0"/>
        <w:keepLines w:val="0"/>
        <w:pageBreakBefore w:val="0"/>
        <w:widowControl w:val="0"/>
        <w:kinsoku/>
        <w:wordWrap/>
        <w:overflowPunct/>
        <w:topLinePunct w:val="0"/>
        <w:autoSpaceDE/>
        <w:autoSpaceDN/>
        <w:bidi w:val="0"/>
        <w:adjustRightInd/>
        <w:snapToGrid/>
        <w:spacing w:line="600" w:lineRule="exact"/>
        <w:ind w:right="-240" w:rightChars="-75" w:firstLine="2400" w:firstLineChars="800"/>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 xml:space="preserve">杜艺玮（工程师） </w:t>
      </w:r>
    </w:p>
    <w:p w14:paraId="55E49899">
      <w:pPr>
        <w:spacing w:line="600" w:lineRule="exact"/>
        <w:ind w:right="-240" w:rightChars="-75"/>
        <w:rPr>
          <w:rFonts w:hint="eastAsia" w:ascii="仿宋_GB2312" w:hAnsi="仿宋_GB2312" w:eastAsia="仿宋_GB2312" w:cs="仿宋_GB2312"/>
          <w:b/>
          <w:bCs/>
          <w:sz w:val="30"/>
          <w:szCs w:val="30"/>
          <w:lang w:eastAsia="zh-CN"/>
        </w:rPr>
      </w:pPr>
    </w:p>
    <w:p w14:paraId="2915E03A">
      <w:pPr>
        <w:spacing w:line="600" w:lineRule="exact"/>
        <w:ind w:right="-240" w:rightChars="-75"/>
        <w:rPr>
          <w:rFonts w:hint="eastAsia" w:ascii="仿宋_GB2312" w:hAnsi="仿宋_GB2312" w:eastAsia="仿宋_GB2312" w:cs="仿宋_GB2312"/>
          <w:b/>
          <w:bCs/>
          <w:sz w:val="30"/>
          <w:szCs w:val="30"/>
          <w:lang w:eastAsia="zh-CN"/>
        </w:rPr>
      </w:pPr>
    </w:p>
    <w:p w14:paraId="6F0C1587">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 xml:space="preserve">校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 对：</w:t>
      </w:r>
      <w:r>
        <w:rPr>
          <w:rFonts w:hint="eastAsia" w:ascii="仿宋_GB2312" w:hAnsi="仿宋_GB2312" w:eastAsia="仿宋_GB2312" w:cs="仿宋_GB2312"/>
          <w:b w:val="0"/>
          <w:bCs w:val="0"/>
          <w:sz w:val="30"/>
          <w:szCs w:val="30"/>
          <w:lang w:val="en-US" w:eastAsia="zh-CN"/>
        </w:rPr>
        <w:t>胡清海</w:t>
      </w:r>
      <w:r>
        <w:rPr>
          <w:rFonts w:hint="eastAsia" w:ascii="仿宋_GB2312" w:hAnsi="仿宋_GB2312" w:eastAsia="仿宋_GB2312" w:cs="仿宋_GB2312"/>
          <w:b w:val="0"/>
          <w:bCs w:val="0"/>
          <w:sz w:val="30"/>
          <w:szCs w:val="30"/>
        </w:rPr>
        <w:t>（工程师）</w:t>
      </w:r>
    </w:p>
    <w:p w14:paraId="729F349C">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 xml:space="preserve">审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  核：</w:t>
      </w:r>
      <w:r>
        <w:rPr>
          <w:rFonts w:hint="eastAsia" w:ascii="仿宋_GB2312" w:hAnsi="仿宋_GB2312" w:eastAsia="仿宋_GB2312" w:cs="仿宋_GB2312"/>
          <w:b w:val="0"/>
          <w:bCs w:val="0"/>
          <w:sz w:val="30"/>
          <w:szCs w:val="30"/>
          <w:lang w:val="en-US" w:eastAsia="zh-CN"/>
        </w:rPr>
        <w:t>雷梦婷</w:t>
      </w:r>
      <w:r>
        <w:rPr>
          <w:rFonts w:hint="eastAsia" w:ascii="仿宋_GB2312" w:hAnsi="仿宋_GB2312" w:eastAsia="仿宋_GB2312" w:cs="仿宋_GB2312"/>
          <w:b w:val="0"/>
          <w:bCs w:val="0"/>
          <w:sz w:val="30"/>
          <w:szCs w:val="30"/>
        </w:rPr>
        <w:t>（工程师）</w:t>
      </w:r>
    </w:p>
    <w:p w14:paraId="3B57F07E">
      <w:pPr>
        <w:keepNext w:val="0"/>
        <w:keepLines w:val="0"/>
        <w:pageBreakBefore w:val="0"/>
        <w:widowControl w:val="0"/>
        <w:kinsoku/>
        <w:wordWrap/>
        <w:overflowPunct/>
        <w:topLinePunct w:val="0"/>
        <w:autoSpaceDE/>
        <w:autoSpaceDN/>
        <w:bidi w:val="0"/>
        <w:adjustRightInd/>
        <w:snapToGrid/>
        <w:spacing w:line="600" w:lineRule="exact"/>
        <w:ind w:right="-240" w:rightChars="-75" w:firstLine="0" w:firstLineChars="0"/>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t xml:space="preserve">审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 </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 xml:space="preserve">  定：张伟冰（分院总</w:t>
      </w:r>
      <w:r>
        <w:rPr>
          <w:rFonts w:hint="eastAsia" w:ascii="仿宋_GB2312" w:hAnsi="仿宋_GB2312" w:eastAsia="仿宋_GB2312" w:cs="仿宋_GB2312"/>
          <w:b w:val="0"/>
          <w:bCs w:val="0"/>
          <w:sz w:val="30"/>
          <w:szCs w:val="30"/>
          <w:lang w:val="en-US" w:eastAsia="zh-CN"/>
        </w:rPr>
        <w:t>工程师/正高级</w:t>
      </w:r>
      <w:r>
        <w:rPr>
          <w:rFonts w:hint="eastAsia" w:ascii="仿宋_GB2312" w:hAnsi="仿宋_GB2312" w:eastAsia="仿宋_GB2312" w:cs="仿宋_GB2312"/>
          <w:b w:val="0"/>
          <w:bCs w:val="0"/>
          <w:sz w:val="30"/>
          <w:szCs w:val="30"/>
        </w:rPr>
        <w:t>经济师）</w:t>
      </w:r>
    </w:p>
    <w:p w14:paraId="4395852E">
      <w:pPr>
        <w:spacing w:line="600" w:lineRule="exact"/>
        <w:ind w:right="-240" w:rightChars="-75" w:firstLine="520"/>
        <w:rPr>
          <w:rFonts w:ascii="Times New Roman" w:hAnsi="Times New Roman" w:eastAsia="仿宋" w:cs="仿宋_GB2312"/>
          <w:sz w:val="30"/>
          <w:szCs w:val="30"/>
        </w:rPr>
      </w:pPr>
    </w:p>
    <w:p w14:paraId="56625FF5">
      <w:pPr>
        <w:spacing w:line="600" w:lineRule="exact"/>
        <w:ind w:right="-240" w:rightChars="-75" w:firstLine="520"/>
        <w:rPr>
          <w:rFonts w:ascii="Times New Roman" w:hAnsi="Times New Roman" w:eastAsia="仿宋" w:cs="仿宋_GB2312"/>
          <w:sz w:val="30"/>
          <w:szCs w:val="30"/>
        </w:rPr>
      </w:pPr>
    </w:p>
    <w:p w14:paraId="4722E112">
      <w:pPr>
        <w:spacing w:line="560" w:lineRule="exact"/>
        <w:ind w:firstLine="652" w:firstLineChars="200"/>
        <w:jc w:val="left"/>
        <w:rPr>
          <w:rFonts w:ascii="仿宋" w:hAnsi="仿宋" w:eastAsia="仿宋" w:cs="仿宋"/>
          <w:bCs/>
          <w:spacing w:val="23"/>
          <w:sz w:val="28"/>
          <w:szCs w:val="28"/>
        </w:rPr>
      </w:pPr>
    </w:p>
    <w:p w14:paraId="3902A38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r>
        <w:rPr>
          <w:position w:val="-235"/>
        </w:rPr>
        <w:drawing>
          <wp:anchor distT="0" distB="0" distL="0" distR="0" simplePos="0" relativeHeight="251663360" behindDoc="1" locked="0" layoutInCell="1" allowOverlap="1">
            <wp:simplePos x="0" y="0"/>
            <wp:positionH relativeFrom="column">
              <wp:posOffset>6985</wp:posOffset>
            </wp:positionH>
            <wp:positionV relativeFrom="paragraph">
              <wp:posOffset>266065</wp:posOffset>
            </wp:positionV>
            <wp:extent cx="5268595" cy="7488555"/>
            <wp:effectExtent l="0" t="0" r="4445" b="952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5269229" cy="7489189"/>
                    </a:xfrm>
                    <a:prstGeom prst="rect">
                      <a:avLst/>
                    </a:prstGeom>
                  </pic:spPr>
                </pic:pic>
              </a:graphicData>
            </a:graphic>
          </wp:anchor>
        </w:drawing>
      </w:r>
    </w:p>
    <w:p w14:paraId="124DBB2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6BF04E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40E568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722602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2C43A0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3094F7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702514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5E9706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433B82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23BBAB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2098E2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69E938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3000C6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70BC62B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2751AF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9E559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p>
    <w:p w14:paraId="7CF9C7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30"/>
          <w:szCs w:val="30"/>
          <w:lang w:bidi="ar"/>
        </w:rPr>
      </w:pPr>
      <w:r>
        <w:rPr>
          <w:position w:val="-258"/>
        </w:rPr>
        <w:drawing>
          <wp:anchor distT="0" distB="0" distL="0" distR="0" simplePos="0" relativeHeight="251662336" behindDoc="1" locked="0" layoutInCell="1" allowOverlap="1">
            <wp:simplePos x="0" y="0"/>
            <wp:positionH relativeFrom="column">
              <wp:posOffset>-452755</wp:posOffset>
            </wp:positionH>
            <wp:positionV relativeFrom="paragraph">
              <wp:posOffset>66675</wp:posOffset>
            </wp:positionV>
            <wp:extent cx="6262370" cy="8213725"/>
            <wp:effectExtent l="0" t="0" r="1270" b="63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6262370" cy="8214359"/>
                    </a:xfrm>
                    <a:prstGeom prst="rect">
                      <a:avLst/>
                    </a:prstGeom>
                  </pic:spPr>
                </pic:pic>
              </a:graphicData>
            </a:graphic>
          </wp:anchor>
        </w:drawing>
      </w:r>
    </w:p>
    <w:p w14:paraId="1DA80022">
      <w:pPr>
        <w:rPr>
          <w:rFonts w:ascii="仿宋" w:hAnsi="仿宋" w:eastAsia="仿宋" w:cs="仿宋"/>
          <w:bCs/>
          <w:spacing w:val="23"/>
          <w:sz w:val="28"/>
          <w:szCs w:val="28"/>
        </w:rPr>
      </w:pPr>
      <w:r>
        <w:rPr>
          <w:rFonts w:hint="eastAsia" w:ascii="仿宋" w:hAnsi="仿宋" w:eastAsia="仿宋" w:cs="仿宋"/>
          <w:bCs/>
          <w:spacing w:val="23"/>
          <w:sz w:val="28"/>
          <w:szCs w:val="28"/>
        </w:rPr>
        <w:br w:type="page"/>
      </w:r>
    </w:p>
    <w:p w14:paraId="4B372528">
      <w:pPr>
        <w:ind w:firstLine="0" w:firstLineChars="0"/>
        <w:jc w:val="center"/>
        <w:rPr>
          <w:rFonts w:ascii="Times New Roman" w:hAnsi="Times New Roman" w:eastAsia="宋体" w:cs="Times New Roman"/>
          <w:color w:val="2E54A1" w:themeColor="accent1" w:themeShade="BF"/>
          <w:sz w:val="32"/>
          <w:szCs w:val="40"/>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color w:val="auto"/>
          <w:kern w:val="2"/>
          <w:sz w:val="21"/>
          <w:szCs w:val="24"/>
          <w:highlight w:val="none"/>
          <w:lang w:val="en-US" w:eastAsia="zh-CN" w:bidi="ar-SA"/>
        </w:rPr>
        <w:id w:val="147467256"/>
        <w15:color w:val="DBDBDB"/>
        <w:docPartObj>
          <w:docPartGallery w:val="Table of Contents"/>
          <w:docPartUnique/>
        </w:docPartObj>
      </w:sdtPr>
      <w:sdtEndPr>
        <w:rPr>
          <w:rFonts w:hint="eastAsia" w:ascii="仿宋" w:hAnsi="仿宋" w:eastAsia="仿宋" w:cs="仿宋"/>
          <w:color w:val="auto"/>
          <w:kern w:val="2"/>
          <w:sz w:val="32"/>
          <w:szCs w:val="24"/>
          <w:highlight w:val="none"/>
          <w:lang w:val="en-US" w:eastAsia="zh-CN" w:bidi="ar-SA"/>
        </w:rPr>
      </w:sdtEndPr>
      <w:sdtContent>
        <w:p w14:paraId="0BA1CAE8">
          <w:pPr>
            <w:keepNext w:val="0"/>
            <w:keepLines w:val="0"/>
            <w:pageBreakBefore w:val="0"/>
            <w:kinsoku/>
            <w:wordWrap/>
            <w:overflowPunct/>
            <w:topLinePunct w:val="0"/>
            <w:autoSpaceDE/>
            <w:autoSpaceDN/>
            <w:bidi w:val="0"/>
            <w:adjustRightInd/>
            <w:spacing w:line="360" w:lineRule="auto"/>
            <w:ind w:firstLine="0" w:firstLineChars="0"/>
            <w:jc w:val="center"/>
            <w:textAlignment w:val="auto"/>
            <w:outlineLvl w:val="9"/>
            <w:rPr>
              <w:rFonts w:hint="default" w:ascii="Times New Roman" w:hAnsi="Times New Roman" w:eastAsia="黑体" w:cs="Times New Roman"/>
              <w:b w:val="0"/>
              <w:bCs w:val="0"/>
              <w:color w:val="auto"/>
              <w:sz w:val="32"/>
              <w:szCs w:val="40"/>
              <w:highlight w:val="none"/>
              <w:lang w:val="en-US" w:eastAsia="zh-CN"/>
            </w:rPr>
          </w:pPr>
          <w:bookmarkStart w:id="3" w:name="_Toc4405"/>
          <w:bookmarkStart w:id="4" w:name="_Toc19344"/>
          <w:bookmarkStart w:id="5" w:name="_Toc25401"/>
          <w:r>
            <w:rPr>
              <w:rFonts w:hint="default" w:ascii="Times New Roman" w:hAnsi="Times New Roman" w:eastAsia="黑体" w:cs="Times New Roman"/>
              <w:b w:val="0"/>
              <w:bCs w:val="0"/>
              <w:color w:val="auto"/>
              <w:sz w:val="32"/>
              <w:szCs w:val="40"/>
              <w:highlight w:val="none"/>
              <w:lang w:val="en-US" w:eastAsia="zh-CN"/>
            </w:rPr>
            <w:t>前 言</w:t>
          </w:r>
          <w:bookmarkEnd w:id="3"/>
          <w:bookmarkEnd w:id="4"/>
          <w:bookmarkEnd w:id="5"/>
        </w:p>
        <w:p w14:paraId="19A48110">
          <w:pPr>
            <w:keepNext w:val="0"/>
            <w:keepLines w:val="0"/>
            <w:pageBreakBefore w:val="0"/>
            <w:widowControl/>
            <w:kinsoku/>
            <w:wordWrap/>
            <w:overflowPunct/>
            <w:topLinePunct w:val="0"/>
            <w:autoSpaceDE/>
            <w:autoSpaceDN/>
            <w:bidi w:val="0"/>
            <w:adjustRightInd/>
            <w:snapToGrid w:val="0"/>
            <w:spacing w:line="360" w:lineRule="auto"/>
            <w:ind w:firstLine="64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为全面贯彻落实《自然资源部</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中央农村工作领导小组办公室关于学习运用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千万工程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经验提高村庄规划编制质量和实效的通知》（自然资发〔2024〕1号）和《广西壮族自治区自然资源厅</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中共广西壮族自治区委员会农村工作领导小组办公室关于学习运用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千万工程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经验做好2024年村庄规划编制实施工作的通知》（桂自然资发〔2024〕16号）</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文件要求，</w:t>
          </w:r>
          <w:r>
            <w:rPr>
              <w:rFonts w:hint="eastAsia" w:ascii="Times New Roman" w:hAnsi="Times New Roman" w:eastAsia="仿宋_GB2312" w:cs="Times New Roman"/>
              <w:color w:val="auto"/>
              <w:sz w:val="32"/>
              <w:szCs w:val="32"/>
              <w:highlight w:val="none"/>
              <w:lang w:eastAsia="zh-CN"/>
            </w:rPr>
            <w:t>资源县</w:t>
          </w:r>
          <w:r>
            <w:rPr>
              <w:rFonts w:hint="default" w:ascii="Times New Roman" w:hAnsi="Times New Roman" w:eastAsia="仿宋_GB2312" w:cs="Times New Roman"/>
              <w:color w:val="auto"/>
              <w:sz w:val="32"/>
              <w:szCs w:val="32"/>
              <w:highlight w:val="none"/>
              <w:lang w:eastAsia="zh-CN"/>
            </w:rPr>
            <w:t>结合县域村庄发展实际，积极推进乡村地区空间规划管理全覆盖工作，制定了《</w:t>
          </w:r>
          <w:r>
            <w:rPr>
              <w:rFonts w:hint="eastAsia" w:ascii="Times New Roman" w:hAnsi="Times New Roman" w:eastAsia="仿宋_GB2312" w:cs="Times New Roman"/>
              <w:color w:val="auto"/>
              <w:sz w:val="32"/>
              <w:szCs w:val="32"/>
              <w:highlight w:val="none"/>
              <w:lang w:eastAsia="zh-CN"/>
            </w:rPr>
            <w:t>资源县</w:t>
          </w:r>
          <w:r>
            <w:rPr>
              <w:rFonts w:hint="default" w:ascii="Times New Roman" w:hAnsi="Times New Roman" w:eastAsia="仿宋_GB2312" w:cs="Times New Roman"/>
              <w:color w:val="auto"/>
              <w:sz w:val="32"/>
              <w:szCs w:val="32"/>
              <w:highlight w:val="none"/>
              <w:lang w:eastAsia="zh-CN"/>
            </w:rPr>
            <w:t>乡村地区“通则式”规划管理规定》（以下简称“本规定”）。</w:t>
          </w:r>
        </w:p>
        <w:p w14:paraId="12823A63">
          <w:pPr>
            <w:keepNext w:val="0"/>
            <w:keepLines w:val="0"/>
            <w:pageBreakBefore w:val="0"/>
            <w:widowControl/>
            <w:kinsoku/>
            <w:wordWrap/>
            <w:overflowPunct/>
            <w:topLinePunct w:val="0"/>
            <w:autoSpaceDE/>
            <w:autoSpaceDN/>
            <w:bidi w:val="0"/>
            <w:adjustRightInd/>
            <w:snapToGrid w:val="0"/>
            <w:spacing w:line="360" w:lineRule="auto"/>
            <w:ind w:firstLine="64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i w:val="0"/>
              <w:iCs w:val="0"/>
              <w:caps w:val="0"/>
              <w:color w:val="auto"/>
              <w:spacing w:val="0"/>
              <w:sz w:val="32"/>
              <w:szCs w:val="32"/>
              <w:highlight w:val="none"/>
            </w:rPr>
            <w:t>本规定</w:t>
          </w:r>
          <w:r>
            <w:rPr>
              <w:rFonts w:hint="default" w:ascii="Times New Roman" w:hAnsi="Times New Roman" w:eastAsia="仿宋_GB2312" w:cs="Times New Roman"/>
              <w:i w:val="0"/>
              <w:iCs w:val="0"/>
              <w:caps w:val="0"/>
              <w:color w:val="auto"/>
              <w:spacing w:val="0"/>
              <w:sz w:val="32"/>
              <w:szCs w:val="32"/>
              <w:highlight w:val="none"/>
              <w:lang w:val="en-US" w:eastAsia="zh-CN"/>
            </w:rPr>
            <w:t>严格遵循</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i w:val="0"/>
              <w:iCs w:val="0"/>
              <w:caps w:val="0"/>
              <w:color w:val="auto"/>
              <w:spacing w:val="0"/>
              <w:sz w:val="32"/>
              <w:szCs w:val="32"/>
              <w:highlight w:val="none"/>
            </w:rPr>
            <w:t>广西壮族自治区自然资源厅办公室</w:t>
          </w:r>
          <w:r>
            <w:rPr>
              <w:rFonts w:hint="default" w:ascii="Times New Roman" w:hAnsi="Times New Roman" w:eastAsia="仿宋_GB2312" w:cs="Times New Roman"/>
              <w:color w:val="auto"/>
              <w:sz w:val="32"/>
              <w:szCs w:val="32"/>
              <w:highlight w:val="none"/>
            </w:rPr>
            <w:t>关于印发〈广西壮族自治区乡村地区“通则式</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规划管理规定编制指引（试行）〉的通知》（桂自然资办〔2024〕196号）</w:t>
          </w:r>
          <w:r>
            <w:rPr>
              <w:rFonts w:hint="default" w:ascii="Times New Roman" w:hAnsi="Times New Roman" w:eastAsia="仿宋_GB2312" w:cs="Times New Roman"/>
              <w:i w:val="0"/>
              <w:iCs w:val="0"/>
              <w:caps w:val="0"/>
              <w:color w:val="auto"/>
              <w:spacing w:val="0"/>
              <w:sz w:val="32"/>
              <w:szCs w:val="32"/>
              <w:highlight w:val="none"/>
            </w:rPr>
            <w:t>文件</w:t>
          </w:r>
          <w:r>
            <w:rPr>
              <w:rFonts w:hint="default" w:ascii="Times New Roman" w:hAnsi="Times New Roman" w:eastAsia="仿宋_GB2312" w:cs="Times New Roman"/>
              <w:i w:val="0"/>
              <w:iCs w:val="0"/>
              <w:caps w:val="0"/>
              <w:color w:val="auto"/>
              <w:spacing w:val="0"/>
              <w:sz w:val="32"/>
              <w:szCs w:val="32"/>
              <w:highlight w:val="none"/>
              <w:lang w:val="en-US" w:eastAsia="zh-CN"/>
            </w:rPr>
            <w:t>要求</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作为城镇开发边界外</w:t>
          </w:r>
          <w:r>
            <w:rPr>
              <w:rFonts w:hint="default" w:ascii="Times New Roman" w:hAnsi="Times New Roman" w:eastAsia="仿宋_GB2312" w:cs="Times New Roman"/>
              <w:color w:val="auto"/>
              <w:sz w:val="32"/>
              <w:szCs w:val="32"/>
              <w:highlight w:val="none"/>
            </w:rPr>
            <w:t>未编制村庄规划地区</w:t>
          </w:r>
          <w:r>
            <w:rPr>
              <w:rFonts w:hint="default" w:ascii="Times New Roman" w:hAnsi="Times New Roman" w:eastAsia="仿宋_GB2312" w:cs="Times New Roman"/>
              <w:color w:val="auto"/>
              <w:sz w:val="32"/>
              <w:szCs w:val="32"/>
              <w:highlight w:val="none"/>
              <w:lang w:val="en-US" w:eastAsia="zh-CN"/>
            </w:rPr>
            <w:t>开展</w:t>
          </w:r>
          <w:r>
            <w:rPr>
              <w:rFonts w:hint="default" w:ascii="Times New Roman" w:hAnsi="Times New Roman" w:eastAsia="仿宋_GB2312" w:cs="Times New Roman"/>
              <w:color w:val="auto"/>
              <w:sz w:val="32"/>
              <w:szCs w:val="32"/>
              <w:highlight w:val="none"/>
            </w:rPr>
            <w:t>空间规划管理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核发乡村建设</w:t>
          </w:r>
          <w:r>
            <w:rPr>
              <w:rFonts w:hint="default" w:ascii="Times New Roman" w:hAnsi="Times New Roman" w:eastAsia="仿宋_GB2312" w:cs="Times New Roman"/>
              <w:color w:val="auto"/>
              <w:sz w:val="32"/>
              <w:szCs w:val="32"/>
              <w:highlight w:val="none"/>
            </w:rPr>
            <w:t>规划许可</w:t>
          </w:r>
          <w:r>
            <w:rPr>
              <w:rFonts w:hint="default" w:ascii="Times New Roman" w:hAnsi="Times New Roman" w:eastAsia="仿宋_GB2312" w:cs="Times New Roman"/>
              <w:color w:val="auto"/>
              <w:sz w:val="32"/>
              <w:szCs w:val="32"/>
              <w:highlight w:val="none"/>
              <w:lang w:val="en-US" w:eastAsia="zh-CN"/>
            </w:rPr>
            <w:t>的依据。</w:t>
          </w:r>
          <w:r>
            <w:rPr>
              <w:rFonts w:hint="default" w:ascii="Times New Roman" w:hAnsi="Times New Roman" w:eastAsia="仿宋_GB2312" w:cs="Times New Roman"/>
              <w:color w:val="auto"/>
              <w:sz w:val="32"/>
              <w:szCs w:val="32"/>
              <w:highlight w:val="none"/>
            </w:rPr>
            <w:t>已编制村庄规划并经法定程序批准的地区，按照批准的村庄规划执行。</w:t>
          </w:r>
        </w:p>
        <w:p w14:paraId="5A82A883">
          <w:pPr>
            <w:keepNext w:val="0"/>
            <w:keepLines w:val="0"/>
            <w:pageBreakBefore w:val="0"/>
            <w:widowControl/>
            <w:kinsoku/>
            <w:wordWrap/>
            <w:overflowPunct/>
            <w:topLinePunct w:val="0"/>
            <w:autoSpaceDE/>
            <w:autoSpaceDN/>
            <w:bidi w:val="0"/>
            <w:adjustRightInd/>
            <w:snapToGrid w:val="0"/>
            <w:spacing w:line="360" w:lineRule="auto"/>
            <w:ind w:firstLine="640"/>
            <w:textAlignment w:val="auto"/>
            <w:outlineLvl w:val="9"/>
            <w:rPr>
              <w:rFonts w:hint="default" w:ascii="Times New Roman" w:hAnsi="Times New Roman" w:eastAsia="仿宋_GB2312" w:cs="Times New Roman"/>
              <w:i w:val="0"/>
              <w:iCs w:val="0"/>
              <w:caps w:val="0"/>
              <w:color w:val="auto"/>
              <w:spacing w:val="0"/>
              <w:sz w:val="32"/>
              <w:szCs w:val="32"/>
              <w:highlight w:val="none"/>
              <w:lang w:val="en-US" w:eastAsia="zh-CN"/>
            </w:rPr>
          </w:pPr>
          <w:r>
            <w:rPr>
              <w:rFonts w:hint="default" w:ascii="Times New Roman" w:hAnsi="Times New Roman" w:eastAsia="仿宋_GB2312" w:cs="Times New Roman"/>
              <w:i w:val="0"/>
              <w:iCs w:val="0"/>
              <w:caps w:val="0"/>
              <w:color w:val="auto"/>
              <w:spacing w:val="0"/>
              <w:sz w:val="32"/>
              <w:szCs w:val="32"/>
              <w:highlight w:val="none"/>
            </w:rPr>
            <w:t>在制定本</w:t>
          </w:r>
          <w:r>
            <w:rPr>
              <w:rFonts w:hint="default" w:ascii="Times New Roman" w:hAnsi="Times New Roman" w:eastAsia="仿宋_GB2312" w:cs="Times New Roman"/>
              <w:i w:val="0"/>
              <w:iCs w:val="0"/>
              <w:caps w:val="0"/>
              <w:color w:val="auto"/>
              <w:spacing w:val="0"/>
              <w:sz w:val="32"/>
              <w:szCs w:val="32"/>
              <w:highlight w:val="none"/>
              <w:lang w:val="en-US" w:eastAsia="zh-CN"/>
            </w:rPr>
            <w:t>规定</w:t>
          </w:r>
          <w:r>
            <w:rPr>
              <w:rFonts w:hint="default" w:ascii="Times New Roman" w:hAnsi="Times New Roman" w:eastAsia="仿宋_GB2312" w:cs="Times New Roman"/>
              <w:i w:val="0"/>
              <w:iCs w:val="0"/>
              <w:caps w:val="0"/>
              <w:color w:val="auto"/>
              <w:spacing w:val="0"/>
              <w:sz w:val="32"/>
              <w:szCs w:val="32"/>
              <w:highlight w:val="none"/>
            </w:rPr>
            <w:t>的过程中，</w:t>
          </w:r>
          <w:r>
            <w:rPr>
              <w:rFonts w:hint="eastAsia" w:ascii="Times New Roman" w:hAnsi="Times New Roman" w:eastAsia="仿宋_GB2312" w:cs="Times New Roman"/>
              <w:i w:val="0"/>
              <w:iCs w:val="0"/>
              <w:caps w:val="0"/>
              <w:color w:val="auto"/>
              <w:spacing w:val="0"/>
              <w:sz w:val="32"/>
              <w:szCs w:val="32"/>
              <w:highlight w:val="none"/>
              <w:lang w:eastAsia="zh-CN"/>
            </w:rPr>
            <w:t>资源县</w:t>
          </w:r>
          <w:r>
            <w:rPr>
              <w:rFonts w:hint="default" w:ascii="Times New Roman" w:hAnsi="Times New Roman" w:eastAsia="仿宋_GB2312" w:cs="Times New Roman"/>
              <w:i w:val="0"/>
              <w:iCs w:val="0"/>
              <w:caps w:val="0"/>
              <w:color w:val="auto"/>
              <w:spacing w:val="0"/>
              <w:sz w:val="32"/>
              <w:szCs w:val="32"/>
              <w:highlight w:val="none"/>
            </w:rPr>
            <w:t>广泛征集了社会公众、相关行业主管部门以及专家学者的宝贵意见。</w:t>
          </w:r>
          <w:r>
            <w:rPr>
              <w:rFonts w:hint="default" w:ascii="Times New Roman" w:hAnsi="Times New Roman" w:eastAsia="仿宋_GB2312" w:cs="Times New Roman"/>
              <w:i w:val="0"/>
              <w:iCs w:val="0"/>
              <w:caps w:val="0"/>
              <w:color w:val="auto"/>
              <w:spacing w:val="0"/>
              <w:sz w:val="32"/>
              <w:szCs w:val="32"/>
              <w:highlight w:val="none"/>
              <w:lang w:val="en-US" w:eastAsia="zh-CN"/>
            </w:rPr>
            <w:t>同时，</w:t>
          </w:r>
          <w:r>
            <w:rPr>
              <w:rFonts w:hint="default" w:ascii="Times New Roman" w:hAnsi="Times New Roman" w:eastAsia="仿宋_GB2312" w:cs="Times New Roman"/>
              <w:i w:val="0"/>
              <w:iCs w:val="0"/>
              <w:caps w:val="0"/>
              <w:color w:val="auto"/>
              <w:spacing w:val="0"/>
              <w:sz w:val="32"/>
              <w:szCs w:val="32"/>
              <w:highlight w:val="none"/>
            </w:rPr>
            <w:t>坚持问题导向，充分尊重村民意愿，力求内容简洁明了、实用可行，</w:t>
          </w:r>
          <w:r>
            <w:rPr>
              <w:rFonts w:hint="default" w:ascii="Times New Roman" w:hAnsi="Times New Roman" w:eastAsia="仿宋_GB2312" w:cs="Times New Roman"/>
              <w:i w:val="0"/>
              <w:iCs w:val="0"/>
              <w:caps w:val="0"/>
              <w:color w:val="auto"/>
              <w:spacing w:val="0"/>
              <w:sz w:val="32"/>
              <w:szCs w:val="32"/>
              <w:highlight w:val="none"/>
              <w:lang w:val="en-US" w:eastAsia="zh-CN"/>
            </w:rPr>
            <w:t>充分匹配</w:t>
          </w:r>
          <w:r>
            <w:rPr>
              <w:rFonts w:hint="default" w:ascii="Times New Roman" w:hAnsi="Times New Roman" w:eastAsia="仿宋_GB2312" w:cs="Times New Roman"/>
              <w:i w:val="0"/>
              <w:iCs w:val="0"/>
              <w:caps w:val="0"/>
              <w:color w:val="auto"/>
              <w:spacing w:val="0"/>
              <w:sz w:val="32"/>
              <w:szCs w:val="32"/>
              <w:highlight w:val="none"/>
            </w:rPr>
            <w:t>本县乡村发展的实际需求。</w:t>
          </w:r>
        </w:p>
        <w:p w14:paraId="163B3296">
          <w:pPr>
            <w:keepNext w:val="0"/>
            <w:keepLines w:val="0"/>
            <w:pageBreakBefore w:val="0"/>
            <w:widowControl/>
            <w:shd w:val="clear"/>
            <w:kinsoku/>
            <w:wordWrap/>
            <w:overflowPunct/>
            <w:topLinePunct w:val="0"/>
            <w:autoSpaceDE/>
            <w:autoSpaceDN/>
            <w:bidi w:val="0"/>
            <w:adjustRightInd/>
            <w:snapToGrid w:val="0"/>
            <w:spacing w:line="360" w:lineRule="auto"/>
            <w:ind w:firstLine="640"/>
            <w:jc w:val="left"/>
            <w:textAlignment w:val="auto"/>
            <w:outlineLvl w:val="9"/>
            <w:rPr>
              <w:rFonts w:hint="default" w:ascii="Times New Roman" w:hAnsi="Times New Roman" w:eastAsia="仿宋_GB2312" w:cs="Times New Roman"/>
              <w:b w:val="0"/>
              <w:color w:val="auto"/>
              <w:sz w:val="32"/>
              <w:szCs w:val="32"/>
              <w:highlight w:val="none"/>
            </w:rPr>
            <w:sectPr>
              <w:footerReference r:id="rId7" w:type="default"/>
              <w:pgSz w:w="11910" w:h="16840"/>
              <w:pgMar w:top="1440" w:right="1800" w:bottom="1440" w:left="1800" w:header="720" w:footer="720" w:gutter="0"/>
              <w:pgNumType w:fmt="upperRoman" w:start="1"/>
              <w:cols w:space="720" w:num="1"/>
              <w:docGrid w:linePitch="381" w:charSpace="0"/>
            </w:sectPr>
          </w:pPr>
          <w:r>
            <w:rPr>
              <w:rFonts w:hint="default" w:ascii="Times New Roman" w:hAnsi="Times New Roman" w:eastAsia="仿宋_GB2312" w:cs="Times New Roman"/>
              <w:i w:val="0"/>
              <w:iCs w:val="0"/>
              <w:caps w:val="0"/>
              <w:color w:val="auto"/>
              <w:spacing w:val="0"/>
              <w:sz w:val="32"/>
              <w:szCs w:val="32"/>
              <w:highlight w:val="none"/>
              <w:lang w:val="en-US" w:eastAsia="zh-CN"/>
            </w:rPr>
            <w:t>随着乡村建设实践的持续深入拓展，受政策调整、产业升级、村民需求变化等因素影响，本规定在施行过程中，可能出现与现实需求不完全契合的情况。因此，</w:t>
          </w:r>
          <w:r>
            <w:rPr>
              <w:rFonts w:hint="eastAsia" w:ascii="Times New Roman" w:hAnsi="Times New Roman" w:eastAsia="仿宋_GB2312" w:cs="Times New Roman"/>
              <w:i w:val="0"/>
              <w:iCs w:val="0"/>
              <w:caps w:val="0"/>
              <w:color w:val="auto"/>
              <w:spacing w:val="0"/>
              <w:sz w:val="32"/>
              <w:szCs w:val="32"/>
              <w:highlight w:val="none"/>
              <w:lang w:val="en-US" w:eastAsia="zh-CN"/>
            </w:rPr>
            <w:t>资源县</w:t>
          </w:r>
          <w:r>
            <w:rPr>
              <w:rFonts w:hint="default" w:ascii="Times New Roman" w:hAnsi="Times New Roman" w:eastAsia="仿宋_GB2312" w:cs="Times New Roman"/>
              <w:i w:val="0"/>
              <w:iCs w:val="0"/>
              <w:caps w:val="0"/>
              <w:color w:val="auto"/>
              <w:spacing w:val="0"/>
              <w:sz w:val="32"/>
              <w:szCs w:val="32"/>
              <w:highlight w:val="none"/>
              <w:lang w:val="en-US" w:eastAsia="zh-CN"/>
            </w:rPr>
            <w:t>将建立动态完善机制，定期梳理总结实践经验，根据本县乡村发展的新趋势、新需求，及时对规定进行修订和更新，</w:t>
          </w:r>
          <w:r>
            <w:rPr>
              <w:rFonts w:hint="default" w:ascii="Times New Roman" w:hAnsi="Times New Roman" w:eastAsia="仿宋_GB2312" w:cs="Times New Roman"/>
              <w:b w:val="0"/>
              <w:color w:val="auto"/>
              <w:sz w:val="32"/>
              <w:szCs w:val="32"/>
              <w:highlight w:val="none"/>
            </w:rPr>
            <w:t>保持规定的时效性和实用性，为</w:t>
          </w:r>
          <w:r>
            <w:rPr>
              <w:rFonts w:hint="eastAsia" w:ascii="Times New Roman" w:hAnsi="Times New Roman" w:eastAsia="仿宋_GB2312" w:cs="Times New Roman"/>
              <w:b w:val="0"/>
              <w:color w:val="auto"/>
              <w:sz w:val="32"/>
              <w:szCs w:val="32"/>
              <w:highlight w:val="none"/>
              <w:lang w:eastAsia="zh-CN"/>
            </w:rPr>
            <w:t>资源县</w:t>
          </w:r>
          <w:r>
            <w:rPr>
              <w:rFonts w:hint="default" w:ascii="Times New Roman" w:hAnsi="Times New Roman" w:eastAsia="仿宋_GB2312" w:cs="Times New Roman"/>
              <w:b w:val="0"/>
              <w:color w:val="auto"/>
              <w:sz w:val="32"/>
              <w:szCs w:val="32"/>
              <w:highlight w:val="none"/>
            </w:rPr>
            <w:t>乡村建设规划管理工作提供更加科学、有效的指导。</w:t>
          </w:r>
        </w:p>
        <w:p w14:paraId="06754468">
          <w:pPr>
            <w:spacing w:before="0" w:beforeLines="0" w:after="0" w:afterLines="0" w:line="240" w:lineRule="auto"/>
            <w:ind w:left="0" w:leftChars="0" w:right="0" w:rightChars="0" w:firstLine="0" w:firstLineChars="0"/>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p>
        <w:p w14:paraId="0AD706B7">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 w:val="32"/>
              <w:szCs w:val="24"/>
              <w:highlight w:val="none"/>
              <w:lang w:val="en-US" w:eastAsia="zh-CN" w:bidi="ar-SA"/>
            </w:rPr>
            <w:fldChar w:fldCharType="begin"/>
          </w:r>
          <w:r>
            <w:rPr>
              <w:rFonts w:hint="eastAsia" w:ascii="仿宋_GB2312" w:hAnsi="仿宋_GB2312" w:eastAsia="仿宋_GB2312" w:cs="仿宋_GB2312"/>
              <w:color w:val="auto"/>
              <w:kern w:val="2"/>
              <w:sz w:val="32"/>
              <w:szCs w:val="24"/>
              <w:highlight w:val="none"/>
              <w:lang w:val="en-US" w:eastAsia="zh-CN" w:bidi="ar-SA"/>
            </w:rPr>
            <w:instrText xml:space="preserve">TOC \o "1-2" \h \u </w:instrText>
          </w:r>
          <w:r>
            <w:rPr>
              <w:rFonts w:hint="eastAsia" w:ascii="仿宋_GB2312" w:hAnsi="仿宋_GB2312" w:eastAsia="仿宋_GB2312" w:cs="仿宋_GB2312"/>
              <w:color w:val="auto"/>
              <w:kern w:val="2"/>
              <w:sz w:val="32"/>
              <w:szCs w:val="24"/>
              <w:highlight w:val="none"/>
              <w:lang w:val="en-US" w:eastAsia="zh-CN" w:bidi="ar-SA"/>
            </w:rPr>
            <w:fldChar w:fldCharType="separate"/>
          </w: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_Toc3010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第一章 总则</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_Toc3010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1</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1626A4B2">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_Toc13668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第二章 村庄概况</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_Toc13668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2</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45FD85C6">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_Toc3934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第三章 管控要求</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_Toc3934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7CB2711A">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_Toc31994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第一节 底线管控</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_Toc31994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53472838">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_Toc251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第二节 用地布局</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_Toc251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11</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6D638C53">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_Toc4139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第三节 建设控制</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_Toc4139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23</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733CDDC1">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_Toc19446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rPr>
            <w:t>第四节 其他管控指引</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_Toc19446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32</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5EB17D93">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_Toc27574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 xml:space="preserve">第四章 </w:t>
          </w:r>
          <w:r>
            <w:rPr>
              <w:rFonts w:hint="eastAsia" w:ascii="仿宋_GB2312" w:hAnsi="仿宋_GB2312" w:eastAsia="仿宋_GB2312" w:cs="仿宋_GB2312"/>
              <w:bCs/>
              <w:color w:val="auto"/>
              <w:szCs w:val="32"/>
              <w:highlight w:val="none"/>
              <w:lang w:eastAsia="zh-CN"/>
            </w:rPr>
            <w:t>重点地块</w:t>
          </w:r>
          <w:r>
            <w:rPr>
              <w:rFonts w:hint="eastAsia" w:ascii="仿宋_GB2312" w:hAnsi="仿宋_GB2312" w:eastAsia="仿宋_GB2312" w:cs="仿宋_GB2312"/>
              <w:bCs/>
              <w:color w:val="auto"/>
              <w:szCs w:val="32"/>
              <w:highlight w:val="none"/>
            </w:rPr>
            <w:t>图则</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_Toc27574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35</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7D2D4287">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_Toc9600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第五章 实施管理</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_Toc9600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36</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4B08D0FA">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_Toc13746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第六章 附则</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_Toc13746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36</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786375EE">
          <w:pPr>
            <w:pStyle w:val="11"/>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_Toc29274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_Toc29274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38</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67E7BF16">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_Toc17111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附录A名词解释</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_Toc17111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38</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28EE0EC5">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_Toc4973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附录B村庄建设用地指标分解规则</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_Toc4973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41</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3DB09E9C">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_Toc6968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附录C法律法规、政策文件和标准规范名录</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_Toc6968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41</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13E7946D">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_Toc6181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附录D乡村地区重点地块图则样图</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_Toc6181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47</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11CD5D5F">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_Toc8612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附录E资源县村庄建设用地指标分解表</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_Toc8612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47</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35910C39">
          <w:pPr>
            <w:pStyle w:val="13"/>
            <w:tabs>
              <w:tab w:val="right" w:leader="dot" w:pos="8306"/>
            </w:tabs>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Cs w:val="24"/>
              <w:highlight w:val="none"/>
              <w:lang w:val="en-US" w:eastAsia="zh-CN" w:bidi="ar-SA"/>
            </w:rPr>
            <w:fldChar w:fldCharType="begin"/>
          </w:r>
          <w:r>
            <w:rPr>
              <w:rFonts w:hint="eastAsia" w:ascii="仿宋_GB2312" w:hAnsi="仿宋_GB2312" w:eastAsia="仿宋_GB2312" w:cs="仿宋_GB2312"/>
              <w:color w:val="auto"/>
              <w:kern w:val="2"/>
              <w:szCs w:val="24"/>
              <w:highlight w:val="none"/>
              <w:lang w:val="en-US" w:eastAsia="zh-CN" w:bidi="ar-SA"/>
            </w:rPr>
            <w:instrText xml:space="preserve"> HYPERLINK \l _Toc3264 </w:instrText>
          </w:r>
          <w:r>
            <w:rPr>
              <w:rFonts w:hint="eastAsia" w:ascii="仿宋_GB2312" w:hAnsi="仿宋_GB2312" w:eastAsia="仿宋_GB2312" w:cs="仿宋_GB2312"/>
              <w:color w:val="auto"/>
              <w:kern w:val="2"/>
              <w:szCs w:val="24"/>
              <w:highlight w:val="none"/>
              <w:lang w:val="en-US" w:eastAsia="zh-CN" w:bidi="ar-SA"/>
            </w:rPr>
            <w:fldChar w:fldCharType="separate"/>
          </w:r>
          <w:r>
            <w:rPr>
              <w:rFonts w:hint="eastAsia" w:ascii="仿宋_GB2312" w:hAnsi="仿宋_GB2312" w:eastAsia="仿宋_GB2312" w:cs="仿宋_GB2312"/>
              <w:bCs/>
              <w:color w:val="auto"/>
              <w:szCs w:val="32"/>
              <w:highlight w:val="none"/>
              <w:lang w:val="en-US" w:eastAsia="zh-CN"/>
            </w:rPr>
            <w:t>附录F资源县村庄分类一览表</w:t>
          </w:r>
          <w:r>
            <w:rPr>
              <w:rFonts w:hint="eastAsia" w:ascii="仿宋_GB2312" w:hAnsi="仿宋_GB2312" w:eastAsia="仿宋_GB2312" w:cs="仿宋_GB2312"/>
              <w:color w:val="auto"/>
              <w:highlight w:val="none"/>
            </w:rPr>
            <w:tab/>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PAGEREF _Toc3264 \h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highlight w:val="none"/>
            </w:rPr>
            <w:t>54</w:t>
          </w:r>
          <w:r>
            <w:rPr>
              <w:rFonts w:hint="eastAsia" w:ascii="仿宋_GB2312" w:hAnsi="仿宋_GB2312" w:eastAsia="仿宋_GB2312" w:cs="仿宋_GB2312"/>
              <w:color w:val="auto"/>
              <w:highlight w:val="none"/>
            </w:rPr>
            <w:fldChar w:fldCharType="end"/>
          </w:r>
          <w:r>
            <w:rPr>
              <w:rFonts w:hint="eastAsia" w:ascii="仿宋_GB2312" w:hAnsi="仿宋_GB2312" w:eastAsia="仿宋_GB2312" w:cs="仿宋_GB2312"/>
              <w:color w:val="auto"/>
              <w:kern w:val="2"/>
              <w:szCs w:val="24"/>
              <w:highlight w:val="none"/>
              <w:lang w:val="en-US" w:eastAsia="zh-CN" w:bidi="ar-SA"/>
            </w:rPr>
            <w:fldChar w:fldCharType="end"/>
          </w:r>
        </w:p>
        <w:p w14:paraId="09511741">
          <w:pPr>
            <w:ind w:firstLine="420"/>
            <w:rPr>
              <w:rFonts w:hint="eastAsia" w:ascii="仿宋" w:hAnsi="仿宋" w:eastAsia="仿宋" w:cs="仿宋"/>
              <w:color w:val="auto"/>
              <w:kern w:val="2"/>
              <w:sz w:val="32"/>
              <w:szCs w:val="24"/>
              <w:highlight w:val="none"/>
              <w:lang w:val="en-US" w:eastAsia="zh-CN" w:bidi="ar-SA"/>
            </w:rPr>
          </w:pPr>
          <w:r>
            <w:rPr>
              <w:rFonts w:hint="eastAsia" w:ascii="仿宋_GB2312" w:hAnsi="仿宋_GB2312" w:eastAsia="仿宋_GB2312" w:cs="仿宋_GB2312"/>
              <w:color w:val="auto"/>
              <w:kern w:val="2"/>
              <w:szCs w:val="24"/>
              <w:highlight w:val="none"/>
              <w:lang w:val="en-US" w:eastAsia="zh-CN" w:bidi="ar-SA"/>
            </w:rPr>
            <w:fldChar w:fldCharType="end"/>
          </w:r>
        </w:p>
      </w:sdtContent>
    </w:sdt>
    <w:p w14:paraId="022250A5">
      <w:pPr>
        <w:ind w:firstLine="420"/>
        <w:rPr>
          <w:rFonts w:hint="eastAsia" w:ascii="仿宋" w:hAnsi="仿宋" w:eastAsia="仿宋" w:cs="仿宋"/>
          <w:color w:val="auto"/>
          <w:kern w:val="2"/>
          <w:sz w:val="32"/>
          <w:szCs w:val="24"/>
          <w:highlight w:val="none"/>
          <w:lang w:val="en-US" w:eastAsia="zh-CN" w:bidi="ar-S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290EDDD">
      <w:pPr>
        <w:pStyle w:val="2"/>
        <w:spacing w:before="240" w:after="240" w:line="360" w:lineRule="auto"/>
        <w:ind w:firstLine="643"/>
        <w:jc w:val="center"/>
        <w:rPr>
          <w:rFonts w:hint="eastAsia" w:ascii="黑体" w:hAnsi="黑体" w:eastAsia="黑体" w:cs="黑体"/>
          <w:b/>
          <w:bCs/>
          <w:color w:val="auto"/>
          <w:sz w:val="32"/>
          <w:szCs w:val="32"/>
          <w:highlight w:val="none"/>
        </w:rPr>
      </w:pPr>
      <w:bookmarkStart w:id="6" w:name="_Toc1773"/>
      <w:bookmarkStart w:id="7" w:name="_Toc3010"/>
      <w:r>
        <w:rPr>
          <w:rFonts w:hint="eastAsia" w:ascii="黑体" w:hAnsi="黑体" w:eastAsia="黑体" w:cs="黑体"/>
          <w:b/>
          <w:bCs/>
          <w:color w:val="auto"/>
          <w:sz w:val="32"/>
          <w:szCs w:val="32"/>
          <w:highlight w:val="none"/>
        </w:rPr>
        <w:t>第一章 总则</w:t>
      </w:r>
      <w:bookmarkEnd w:id="6"/>
      <w:bookmarkEnd w:id="7"/>
    </w:p>
    <w:p w14:paraId="01CA6A9B">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8" w:name="_Toc19792"/>
      <w:bookmarkStart w:id="9" w:name="_Toc29822"/>
      <w:bookmarkStart w:id="10" w:name="_Toc9566"/>
      <w:bookmarkStart w:id="11" w:name="_Toc9847"/>
      <w:r>
        <w:rPr>
          <w:rFonts w:hint="eastAsia" w:ascii="仿宋_GB2312" w:hAnsi="仿宋_GB2312" w:eastAsia="仿宋_GB2312" w:cs="仿宋_GB2312"/>
          <w:b/>
          <w:bCs/>
          <w:color w:val="auto"/>
          <w:sz w:val="32"/>
          <w:szCs w:val="32"/>
          <w:highlight w:val="none"/>
        </w:rPr>
        <w:t>第1条 制定目的</w:t>
      </w:r>
      <w:bookmarkEnd w:id="8"/>
      <w:bookmarkEnd w:id="9"/>
      <w:bookmarkEnd w:id="10"/>
      <w:bookmarkEnd w:id="11"/>
    </w:p>
    <w:p w14:paraId="1E373DFA">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本规定作为城镇开发边界外未编制村庄规划地区的空间规划管理、核发乡村建设规划许可的依据。指导乡村地区村民住房、基础与公用设施、公共服务设施、乡村产业等项目建设，统筹安排村庄建设用地规模。</w:t>
      </w:r>
    </w:p>
    <w:p w14:paraId="064C6A00">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12" w:name="_Toc2323"/>
      <w:bookmarkStart w:id="13" w:name="_Toc26969"/>
      <w:bookmarkStart w:id="14" w:name="_Toc8086"/>
      <w:bookmarkStart w:id="15" w:name="_Toc2156"/>
      <w:r>
        <w:rPr>
          <w:rFonts w:hint="eastAsia" w:ascii="仿宋_GB2312" w:hAnsi="仿宋_GB2312" w:eastAsia="仿宋_GB2312" w:cs="仿宋_GB2312"/>
          <w:b/>
          <w:bCs/>
          <w:color w:val="auto"/>
          <w:sz w:val="32"/>
          <w:szCs w:val="32"/>
          <w:highlight w:val="none"/>
        </w:rPr>
        <w:t>第2条 制定依据</w:t>
      </w:r>
      <w:bookmarkEnd w:id="12"/>
      <w:bookmarkEnd w:id="13"/>
      <w:bookmarkEnd w:id="14"/>
      <w:bookmarkEnd w:id="15"/>
    </w:p>
    <w:p w14:paraId="28852A60">
      <w:pPr>
        <w:widowControl/>
        <w:snapToGrid/>
        <w:spacing w:line="240" w:lineRule="auto"/>
        <w:ind w:firstLine="0"/>
        <w:rPr>
          <w:rFonts w:hint="default" w:ascii="仿宋_GB2312" w:hAnsi="仿宋_GB2312" w:eastAsia="仿宋_GB2312" w:cs="仿宋_GB2312"/>
          <w:color w:val="auto"/>
          <w:highlight w:val="none"/>
          <w:lang w:eastAsia="zh-CN"/>
        </w:rPr>
      </w:pPr>
      <w:r>
        <w:rPr>
          <w:rFonts w:hint="default" w:ascii="仿宋_GB2312" w:hAnsi="仿宋_GB2312" w:eastAsia="仿宋_GB2312" w:cs="仿宋_GB2312"/>
          <w:color w:val="auto"/>
          <w:highlight w:val="none"/>
          <w:lang w:eastAsia="zh-CN"/>
        </w:rPr>
        <w:t>本</w:t>
      </w:r>
      <w:r>
        <w:rPr>
          <w:rFonts w:hint="eastAsia" w:ascii="仿宋_GB2312" w:hAnsi="仿宋_GB2312" w:eastAsia="仿宋_GB2312" w:cs="仿宋_GB2312"/>
          <w:color w:val="auto"/>
          <w:highlight w:val="none"/>
          <w:lang w:val="en-US" w:eastAsia="zh-CN"/>
        </w:rPr>
        <w:t>规定</w:t>
      </w:r>
      <w:r>
        <w:rPr>
          <w:rFonts w:hint="default" w:ascii="仿宋_GB2312" w:hAnsi="仿宋_GB2312" w:eastAsia="仿宋_GB2312" w:cs="仿宋_GB2312"/>
          <w:color w:val="auto"/>
          <w:highlight w:val="none"/>
          <w:lang w:eastAsia="zh-CN"/>
        </w:rPr>
        <w:t>以国家和地方相关法律法规、标准规范、政策文件等为依据（详见附录</w:t>
      </w:r>
      <w:r>
        <w:rPr>
          <w:rFonts w:hint="default" w:ascii="仿宋_GB2312" w:hAnsi="仿宋_GB2312" w:eastAsia="仿宋_GB2312" w:cs="仿宋_GB2312"/>
          <w:color w:val="auto"/>
          <w:highlight w:val="none"/>
          <w:lang w:val="en-US" w:eastAsia="zh-CN"/>
        </w:rPr>
        <w:t>C</w:t>
      </w:r>
      <w:r>
        <w:rPr>
          <w:rFonts w:hint="default" w:ascii="仿宋_GB2312" w:hAnsi="仿宋_GB2312" w:eastAsia="仿宋_GB2312" w:cs="仿宋_GB2312"/>
          <w:color w:val="auto"/>
          <w:highlight w:val="none"/>
          <w:lang w:eastAsia="zh-CN"/>
        </w:rPr>
        <w:t>）。</w:t>
      </w:r>
    </w:p>
    <w:p w14:paraId="5F2F18F0">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16" w:name="_Toc28085"/>
      <w:bookmarkStart w:id="17" w:name="_Toc8147"/>
      <w:bookmarkStart w:id="18" w:name="_Toc19553"/>
      <w:bookmarkStart w:id="19" w:name="_Toc3704"/>
      <w:r>
        <w:rPr>
          <w:rFonts w:hint="eastAsia" w:ascii="仿宋_GB2312" w:hAnsi="仿宋_GB2312" w:eastAsia="仿宋_GB2312" w:cs="仿宋_GB2312"/>
          <w:b/>
          <w:bCs/>
          <w:color w:val="auto"/>
          <w:sz w:val="32"/>
          <w:szCs w:val="32"/>
          <w:highlight w:val="none"/>
        </w:rPr>
        <w:t>第3条 适用范围</w:t>
      </w:r>
      <w:bookmarkEnd w:id="16"/>
      <w:bookmarkEnd w:id="17"/>
      <w:bookmarkEnd w:id="18"/>
      <w:bookmarkEnd w:id="19"/>
    </w:p>
    <w:p w14:paraId="514C66E9">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eastAsia="zh-CN"/>
        </w:rPr>
        <w:t>本规定适用于县域</w:t>
      </w:r>
      <w:r>
        <w:rPr>
          <w:rFonts w:hint="default" w:ascii="仿宋_GB2312" w:hAnsi="仿宋_GB2312" w:eastAsia="仿宋_GB2312" w:cs="仿宋_GB2312"/>
          <w:color w:val="auto"/>
          <w:highlight w:val="none"/>
          <w:lang w:val="en-US" w:eastAsia="zh-CN"/>
        </w:rPr>
        <w:t>内</w:t>
      </w:r>
      <w:r>
        <w:rPr>
          <w:rFonts w:hint="default" w:ascii="仿宋_GB2312" w:hAnsi="仿宋_GB2312" w:eastAsia="仿宋_GB2312" w:cs="仿宋_GB2312"/>
          <w:color w:val="auto"/>
          <w:highlight w:val="none"/>
          <w:lang w:eastAsia="zh-CN"/>
        </w:rPr>
        <w:t>城镇开发边界外、经评估无需编制村庄规划的村庄、现行村庄规划经评估无法满足当前规划管理需要的村庄、需要编制但村庄规划尚未覆盖的村庄。</w:t>
      </w:r>
      <w:r>
        <w:rPr>
          <w:rFonts w:hint="default" w:ascii="仿宋_GB2312" w:hAnsi="仿宋_GB2312" w:eastAsia="仿宋_GB2312" w:cs="仿宋_GB2312"/>
          <w:color w:val="auto"/>
          <w:highlight w:val="none"/>
          <w:lang w:val="zh-TW" w:eastAsia="zh-CN"/>
        </w:rPr>
        <w:t>已编制村庄规划的区域，应优先执行法定村庄规划；对规划未明确管控要求的内容，可参照本规定执行。县域内的</w:t>
      </w:r>
      <w:r>
        <w:rPr>
          <w:rFonts w:hint="default" w:ascii="仿宋_GB2312" w:hAnsi="仿宋_GB2312" w:eastAsia="仿宋_GB2312" w:cs="仿宋_GB2312"/>
          <w:color w:val="auto"/>
          <w:highlight w:val="none"/>
          <w:lang w:val="en-US" w:eastAsia="zh-CN"/>
        </w:rPr>
        <w:t>国有</w:t>
      </w:r>
      <w:r>
        <w:rPr>
          <w:rFonts w:hint="default" w:ascii="仿宋_GB2312" w:hAnsi="仿宋_GB2312" w:eastAsia="仿宋_GB2312" w:cs="仿宋_GB2312"/>
          <w:color w:val="auto"/>
          <w:highlight w:val="none"/>
          <w:lang w:val="zh-TW" w:eastAsia="zh-CN"/>
        </w:rPr>
        <w:t>林场等特殊区域，在符合国土空间规划的前提下，可依据本规定核发规划许可。</w:t>
      </w:r>
    </w:p>
    <w:p w14:paraId="24C3099A">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en-US" w:eastAsia="zh-CN"/>
        </w:rPr>
        <w:t>城镇开发边界外的乡村建设项目，</w:t>
      </w:r>
      <w:r>
        <w:rPr>
          <w:rFonts w:hint="default" w:ascii="仿宋_GB2312" w:hAnsi="仿宋_GB2312" w:eastAsia="仿宋_GB2312" w:cs="仿宋_GB2312"/>
          <w:color w:val="auto"/>
          <w:highlight w:val="none"/>
          <w:lang w:val="zh-TW" w:eastAsia="zh-CN"/>
        </w:rPr>
        <w:t>可依据本规定核发规划许可，</w:t>
      </w:r>
      <w:r>
        <w:rPr>
          <w:rFonts w:hint="default" w:ascii="仿宋_GB2312" w:hAnsi="仿宋_GB2312" w:eastAsia="仿宋_GB2312" w:cs="仿宋_GB2312"/>
          <w:color w:val="auto"/>
          <w:highlight w:val="none"/>
          <w:lang w:eastAsia="zh-CN"/>
        </w:rPr>
        <w:t>具体包括：村民住宅建设项目、乡村基础设施与公共服务设施建设项目、乡村产业发展项目、其他符合乡村发展需求的建设项目。</w:t>
      </w:r>
      <w:r>
        <w:rPr>
          <w:rFonts w:hint="default" w:ascii="仿宋_GB2312" w:hAnsi="仿宋_GB2312" w:eastAsia="仿宋_GB2312" w:cs="仿宋_GB2312"/>
          <w:color w:val="auto"/>
          <w:highlight w:val="none"/>
          <w:lang w:val="zh-TW" w:eastAsia="zh-CN"/>
        </w:rPr>
        <w:t>涉及农用地转用审批的，应按照国家和自治区相关规定办理。</w:t>
      </w:r>
    </w:p>
    <w:p w14:paraId="3A6156FE">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本规定实施后，对需精细化管控的</w:t>
      </w:r>
      <w:r>
        <w:rPr>
          <w:rFonts w:hint="default" w:ascii="仿宋_GB2312" w:hAnsi="仿宋_GB2312" w:eastAsia="仿宋_GB2312" w:cs="仿宋_GB2312"/>
          <w:color w:val="auto"/>
          <w:highlight w:val="none"/>
          <w:lang w:val="en-US" w:eastAsia="zh-CN"/>
        </w:rPr>
        <w:t>项目地块</w:t>
      </w:r>
      <w:r>
        <w:rPr>
          <w:rFonts w:hint="default" w:ascii="仿宋_GB2312" w:hAnsi="仿宋_GB2312" w:eastAsia="仿宋_GB2312" w:cs="仿宋_GB2312"/>
          <w:color w:val="auto"/>
          <w:highlight w:val="none"/>
          <w:lang w:val="zh-TW" w:eastAsia="zh-CN"/>
        </w:rPr>
        <w:t>，可另行编制乡村地区重点地块图则（详见附录</w:t>
      </w:r>
      <w:r>
        <w:rPr>
          <w:rFonts w:hint="default" w:ascii="仿宋_GB2312" w:hAnsi="仿宋_GB2312" w:eastAsia="仿宋_GB2312" w:cs="仿宋_GB2312"/>
          <w:color w:val="auto"/>
          <w:highlight w:val="none"/>
          <w:lang w:val="en-US" w:eastAsia="zh-CN"/>
        </w:rPr>
        <w:t>D</w:t>
      </w:r>
      <w:r>
        <w:rPr>
          <w:rFonts w:hint="default" w:ascii="仿宋_GB2312" w:hAnsi="仿宋_GB2312" w:eastAsia="仿宋_GB2312" w:cs="仿宋_GB2312"/>
          <w:color w:val="auto"/>
          <w:highlight w:val="none"/>
          <w:lang w:val="zh-TW" w:eastAsia="zh-CN"/>
        </w:rPr>
        <w:t>），细化明确项目的地块位置、用地面积、用地性质、容积率、建筑高度、建筑密度、绿地率、出入口方位、停车场泊位、建筑退让及其他需要配置的基础设施和公共设施控制指标，作为核发规划许可的依据。</w:t>
      </w:r>
    </w:p>
    <w:p w14:paraId="14A47EF5">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列入乡村振兴规划、计划或项目库的农村生活污水处理、垃圾储运、粪污处理、公共厕所等农村人居环境建设项目，村内道路等基础设施项目和农村给排水、供电、供气、通讯、文化体育等小型（项目用地面积不超过400平方米，但露天篮球场不受此面积限制）零星公用公服设施，在符合国土空间规划和用途管制规则，满足有关法律法规、标准规范和技术规定要求，确保安全利用的前提下，免于办理规划许可手续。</w:t>
      </w:r>
      <w:bookmarkStart w:id="20" w:name="_Toc421"/>
      <w:bookmarkStart w:id="21" w:name="_Toc19001"/>
    </w:p>
    <w:p w14:paraId="48C7479A">
      <w:pPr>
        <w:pStyle w:val="2"/>
        <w:spacing w:before="240" w:after="240" w:line="360" w:lineRule="auto"/>
        <w:ind w:firstLine="643"/>
        <w:jc w:val="center"/>
        <w:rPr>
          <w:rFonts w:hint="eastAsia" w:ascii="黑体" w:hAnsi="黑体" w:eastAsia="黑体" w:cs="黑体"/>
          <w:b/>
          <w:bCs/>
          <w:color w:val="auto"/>
          <w:sz w:val="32"/>
          <w:szCs w:val="32"/>
          <w:highlight w:val="none"/>
        </w:rPr>
      </w:pPr>
      <w:bookmarkStart w:id="22" w:name="_Toc13668"/>
      <w:r>
        <w:rPr>
          <w:rFonts w:hint="eastAsia" w:ascii="黑体" w:hAnsi="黑体" w:eastAsia="黑体" w:cs="黑体"/>
          <w:b/>
          <w:bCs/>
          <w:color w:val="auto"/>
          <w:sz w:val="32"/>
          <w:szCs w:val="32"/>
          <w:highlight w:val="none"/>
        </w:rPr>
        <w:t>第二章 村庄概况</w:t>
      </w:r>
      <w:bookmarkEnd w:id="20"/>
      <w:bookmarkEnd w:id="21"/>
      <w:bookmarkEnd w:id="22"/>
    </w:p>
    <w:p w14:paraId="25526C21">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 w:hAnsi="仿宋" w:eastAsia="仿宋" w:cs="仿宋"/>
          <w:b/>
          <w:bCs/>
          <w:color w:val="auto"/>
          <w:sz w:val="32"/>
          <w:szCs w:val="32"/>
          <w:highlight w:val="none"/>
        </w:rPr>
      </w:pPr>
      <w:bookmarkStart w:id="23" w:name="_Toc22713"/>
      <w:r>
        <w:rPr>
          <w:rFonts w:hint="eastAsia" w:ascii="仿宋" w:hAnsi="仿宋" w:eastAsia="仿宋" w:cs="仿宋"/>
          <w:b/>
          <w:bCs/>
          <w:color w:val="auto"/>
          <w:sz w:val="32"/>
          <w:szCs w:val="32"/>
          <w:highlight w:val="none"/>
        </w:rPr>
        <w:t>第4条 村庄分类</w:t>
      </w:r>
      <w:bookmarkEnd w:id="23"/>
    </w:p>
    <w:p w14:paraId="089D4138">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资源县因地处资江源头而得名，东面、南面、西南面分别与全州县、兴安县、龙胜县毗邻，西面、北面分别与湖南省城步苗族自治县、新宁县交界，距桂林市区98公里。</w:t>
      </w:r>
    </w:p>
    <w:p w14:paraId="62F979BC">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w:t>
      </w:r>
    </w:p>
    <w:p w14:paraId="12D93F8A">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乡镇分布情况：资源县下辖资源镇、中峰镇、梅溪镇3个镇，以及瓜里乡、车田苗族乡、两水苗族乡、河口瑶族乡4个乡。其中资源镇为县政府驻地，位于县域中心位置，中峰镇位于县城东南部，梅溪镇位于东北部，瓜里乡位于西北部，车田苗族乡、两水苗族乡、河口瑶族乡位于西南部山区。</w:t>
      </w:r>
    </w:p>
    <w:p w14:paraId="7E474B49">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资源县</w:t>
      </w:r>
      <w:r>
        <w:rPr>
          <w:rFonts w:hint="eastAsia" w:ascii="仿宋_GB2312" w:hAnsi="仿宋_GB2312" w:eastAsia="仿宋_GB2312" w:cs="仿宋_GB2312"/>
          <w:color w:val="auto"/>
          <w:highlight w:val="none"/>
          <w:lang w:eastAsia="zh-CN"/>
        </w:rPr>
        <w:t>对外交通以高速公路为主，资兴高速公路是核心通道，连接湖南洞口至新宁高速和兴安至桂林高速，极大提升了资源县与桂林市区及湖南方向的交通便捷性，资源县地处湘桂交界，拥有G241国道等省际公路，可直达湖南武冈、邵阳、新宁等地，形成了较为完善的对外公路网络。</w:t>
      </w:r>
    </w:p>
    <w:p w14:paraId="77CDD27C">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资源县水系呈放射状分布，以猫儿山为分水岭，向四周辐射。资江向北流，五排河向南流，形成"一县两水系"的独特格局，</w:t>
      </w:r>
      <w:r>
        <w:rPr>
          <w:rFonts w:hint="eastAsia" w:ascii="仿宋_GB2312" w:hAnsi="仿宋_GB2312" w:eastAsia="仿宋_GB2312" w:cs="仿宋_GB2312"/>
          <w:color w:val="auto"/>
          <w:highlight w:val="none"/>
          <w:lang w:eastAsia="zh-CN"/>
        </w:rPr>
        <w:t>全县水资源丰富，年降水量充沛</w:t>
      </w:r>
      <w:r>
        <w:rPr>
          <w:rFonts w:hint="eastAsia" w:ascii="仿宋_GB2312" w:hAnsi="仿宋_GB2312" w:eastAsia="仿宋_GB2312" w:cs="仿宋_GB2312"/>
          <w:color w:val="auto"/>
          <w:highlight w:val="none"/>
          <w:lang w:val="en-US" w:eastAsia="zh-CN"/>
        </w:rPr>
        <w:t>。</w:t>
      </w:r>
    </w:p>
    <w:p w14:paraId="7A1BC209">
      <w:pPr>
        <w:widowControl/>
        <w:snapToGrid/>
        <w:spacing w:line="240" w:lineRule="auto"/>
        <w:ind w:firstLine="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资源县</w:t>
      </w:r>
      <w:r>
        <w:rPr>
          <w:rFonts w:hint="eastAsia" w:ascii="仿宋_GB2312" w:hAnsi="仿宋_GB2312" w:eastAsia="仿宋_GB2312" w:cs="仿宋_GB2312"/>
          <w:color w:val="auto"/>
          <w:highlight w:val="none"/>
          <w:lang w:eastAsia="zh-CN"/>
        </w:rPr>
        <w:t>共</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lang w:eastAsia="zh-CN"/>
        </w:rPr>
        <w:t>个乡镇，其中</w:t>
      </w:r>
      <w:r>
        <w:rPr>
          <w:rFonts w:hint="eastAsia" w:ascii="仿宋_GB2312" w:hAnsi="仿宋_GB2312" w:eastAsia="仿宋_GB2312" w:cs="仿宋_GB2312"/>
          <w:color w:val="auto"/>
          <w:highlight w:val="none"/>
          <w:lang w:val="en-US" w:eastAsia="zh-CN"/>
        </w:rPr>
        <w:t>75</w:t>
      </w:r>
      <w:r>
        <w:rPr>
          <w:rFonts w:hint="eastAsia" w:ascii="仿宋_GB2312" w:hAnsi="仿宋_GB2312" w:eastAsia="仿宋_GB2312" w:cs="仿宋_GB2312"/>
          <w:color w:val="auto"/>
          <w:highlight w:val="none"/>
          <w:lang w:eastAsia="zh-CN"/>
        </w:rPr>
        <w:t>个行政村(含社区、农场、林场)。根据已经批复实施的《资源县国土空间总体规划（2021—2035年）》，</w:t>
      </w:r>
      <w:r>
        <w:rPr>
          <w:rFonts w:hint="eastAsia" w:ascii="仿宋_GB2312" w:hAnsi="仿宋_GB2312" w:eastAsia="仿宋_GB2312" w:cs="仿宋_GB2312"/>
          <w:color w:val="auto"/>
          <w:highlight w:val="none"/>
          <w:lang w:val="en-US" w:eastAsia="zh-CN"/>
        </w:rPr>
        <w:t>对</w:t>
      </w:r>
      <w:r>
        <w:rPr>
          <w:rFonts w:hint="eastAsia" w:ascii="仿宋_GB2312" w:hAnsi="仿宋_GB2312" w:eastAsia="仿宋_GB2312" w:cs="仿宋_GB2312"/>
          <w:color w:val="auto"/>
          <w:highlight w:val="none"/>
          <w:lang w:eastAsia="zh-CN"/>
        </w:rPr>
        <w:t>全县域</w:t>
      </w:r>
      <w:r>
        <w:rPr>
          <w:rFonts w:hint="eastAsia" w:ascii="仿宋_GB2312" w:hAnsi="仿宋_GB2312" w:eastAsia="仿宋_GB2312" w:cs="仿宋_GB2312"/>
          <w:color w:val="auto"/>
          <w:highlight w:val="none"/>
          <w:lang w:val="en-US" w:eastAsia="zh-CN"/>
        </w:rPr>
        <w:t>75</w:t>
      </w:r>
      <w:r>
        <w:rPr>
          <w:rFonts w:hint="eastAsia" w:ascii="仿宋_GB2312" w:hAnsi="仿宋_GB2312" w:eastAsia="仿宋_GB2312" w:cs="仿宋_GB2312"/>
          <w:color w:val="auto"/>
          <w:highlight w:val="none"/>
          <w:lang w:eastAsia="zh-CN"/>
        </w:rPr>
        <w:t>个行政村（</w:t>
      </w:r>
      <w:r>
        <w:rPr>
          <w:rFonts w:hint="eastAsia" w:ascii="仿宋_GB2312" w:hAnsi="仿宋_GB2312" w:eastAsia="仿宋_GB2312" w:cs="仿宋_GB2312"/>
          <w:color w:val="auto"/>
          <w:highlight w:val="none"/>
          <w:lang w:val="en-US" w:eastAsia="zh-CN"/>
        </w:rPr>
        <w:t>含</w:t>
      </w:r>
      <w:r>
        <w:rPr>
          <w:rFonts w:hint="eastAsia" w:ascii="仿宋_GB2312" w:hAnsi="仿宋_GB2312" w:eastAsia="仿宋_GB2312" w:cs="仿宋_GB2312"/>
          <w:color w:val="auto"/>
          <w:highlight w:val="none"/>
          <w:lang w:eastAsia="zh-CN"/>
        </w:rPr>
        <w:t>社区）划分为城郊融合类、集聚提升类、特色保护类、暂不分类四种类型，对不同类</w:t>
      </w:r>
      <w:r>
        <w:rPr>
          <w:rFonts w:hint="eastAsia" w:ascii="仿宋_GB2312" w:hAnsi="仿宋_GB2312" w:eastAsia="仿宋_GB2312" w:cs="仿宋_GB2312"/>
          <w:color w:val="auto"/>
          <w:highlight w:val="none"/>
          <w:lang w:val="en-US" w:eastAsia="zh-CN"/>
        </w:rPr>
        <w:t>型</w:t>
      </w:r>
      <w:r>
        <w:rPr>
          <w:rFonts w:hint="eastAsia" w:ascii="仿宋_GB2312" w:hAnsi="仿宋_GB2312" w:eastAsia="仿宋_GB2312" w:cs="仿宋_GB2312"/>
          <w:color w:val="auto"/>
          <w:highlight w:val="none"/>
          <w:lang w:eastAsia="zh-CN"/>
        </w:rPr>
        <w:t>的乡村提供相应的引导策略。</w:t>
      </w:r>
    </w:p>
    <w:p w14:paraId="5BA194ED">
      <w:pPr>
        <w:bidi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highlight w:val="none"/>
          <w:lang w:eastAsia="zh-CN"/>
        </w:rPr>
        <w:t>城郊融合类村庄共有</w:t>
      </w:r>
      <w:r>
        <w:rPr>
          <w:rFonts w:hint="eastAsia" w:ascii="仿宋_GB2312" w:hAnsi="仿宋_GB2312" w:eastAsia="仿宋_GB2312" w:cs="仿宋_GB2312"/>
          <w:b/>
          <w:bCs/>
          <w:color w:val="auto"/>
          <w:highlight w:val="none"/>
          <w:lang w:val="en-US" w:eastAsia="zh-CN"/>
        </w:rPr>
        <w:t>11</w:t>
      </w:r>
      <w:r>
        <w:rPr>
          <w:rFonts w:hint="eastAsia" w:ascii="仿宋_GB2312" w:hAnsi="仿宋_GB2312" w:eastAsia="仿宋_GB2312" w:cs="仿宋_GB2312"/>
          <w:b/>
          <w:bCs/>
          <w:color w:val="auto"/>
          <w:highlight w:val="none"/>
          <w:lang w:eastAsia="zh-CN"/>
        </w:rPr>
        <w:t>个。</w:t>
      </w:r>
      <w:r>
        <w:rPr>
          <w:rFonts w:hint="eastAsia" w:ascii="仿宋_GB2312" w:hAnsi="仿宋_GB2312" w:eastAsia="仿宋_GB2312" w:cs="仿宋_GB2312"/>
          <w:color w:val="auto"/>
          <w:highlight w:val="none"/>
          <w:lang w:val="en-US" w:eastAsia="zh-CN"/>
        </w:rPr>
        <w:t>聚焦解决产业发展、基础设施及空间品质等方面的问题，着力推动实现质的提升，促进城乡要素流通，加快交通对接、基础设施共建、公共服务共享，增强村庄吸引人口和产业的能力，保障“集聚”和“提升”的合理用地需求，</w:t>
      </w:r>
      <w:r>
        <w:rPr>
          <w:rFonts w:hint="eastAsia" w:ascii="仿宋_GB2312" w:hAnsi="仿宋_GB2312" w:eastAsia="仿宋_GB2312" w:cs="仿宋_GB2312"/>
          <w:color w:val="auto"/>
          <w:highlight w:val="none"/>
          <w:lang w:eastAsia="zh-CN"/>
        </w:rPr>
        <w:t>实施城郊空间品质一体化管控。</w:t>
      </w:r>
    </w:p>
    <w:p w14:paraId="13D88571">
      <w:pPr>
        <w:widowControl/>
        <w:snapToGrid w:val="0"/>
        <w:spacing w:line="360" w:lineRule="auto"/>
        <w:ind w:firstLine="640"/>
        <w:rPr>
          <w:rFonts w:hint="eastAsia" w:ascii="仿宋_GB2312" w:hAnsi="仿宋_GB2312" w:eastAsia="仿宋_GB2312" w:cs="仿宋_GB2312"/>
          <w:color w:val="auto"/>
          <w:sz w:val="32"/>
          <w:szCs w:val="32"/>
          <w:highlight w:val="none"/>
          <w:lang w:val="zh-TW"/>
        </w:rPr>
      </w:pPr>
      <w:r>
        <w:rPr>
          <w:rFonts w:hint="eastAsia" w:ascii="仿宋_GB2312" w:hAnsi="仿宋_GB2312" w:eastAsia="仿宋_GB2312" w:cs="仿宋_GB2312"/>
          <w:b/>
          <w:bCs/>
          <w:color w:val="auto"/>
          <w:highlight w:val="none"/>
          <w:lang w:val="zh-TW" w:eastAsia="zh-CN"/>
        </w:rPr>
        <w:t>集聚提升</w:t>
      </w:r>
      <w:r>
        <w:rPr>
          <w:rFonts w:hint="eastAsia" w:ascii="仿宋_GB2312" w:hAnsi="仿宋_GB2312" w:eastAsia="仿宋_GB2312" w:cs="仿宋_GB2312"/>
          <w:b/>
          <w:bCs/>
          <w:color w:val="auto"/>
          <w:highlight w:val="none"/>
          <w:lang w:eastAsia="zh-CN"/>
        </w:rPr>
        <w:t>类</w:t>
      </w:r>
      <w:r>
        <w:rPr>
          <w:rFonts w:hint="eastAsia" w:ascii="仿宋_GB2312" w:hAnsi="仿宋_GB2312" w:eastAsia="仿宋_GB2312" w:cs="仿宋_GB2312"/>
          <w:b/>
          <w:bCs/>
          <w:color w:val="auto"/>
          <w:highlight w:val="none"/>
          <w:lang w:val="zh-TW" w:eastAsia="zh-CN"/>
        </w:rPr>
        <w:t>村庄共有</w:t>
      </w:r>
      <w:r>
        <w:rPr>
          <w:rFonts w:hint="eastAsia" w:ascii="仿宋_GB2312" w:hAnsi="仿宋_GB2312" w:eastAsia="仿宋_GB2312" w:cs="仿宋_GB2312"/>
          <w:b/>
          <w:bCs/>
          <w:color w:val="auto"/>
          <w:highlight w:val="none"/>
          <w:lang w:val="en-US" w:eastAsia="zh-CN"/>
        </w:rPr>
        <w:t>44</w:t>
      </w:r>
      <w:r>
        <w:rPr>
          <w:rFonts w:hint="eastAsia" w:ascii="仿宋_GB2312" w:hAnsi="仿宋_GB2312" w:eastAsia="仿宋_GB2312" w:cs="仿宋_GB2312"/>
          <w:b/>
          <w:bCs/>
          <w:color w:val="auto"/>
          <w:highlight w:val="none"/>
          <w:lang w:val="zh-TW" w:eastAsia="zh-CN"/>
        </w:rPr>
        <w:t>个。</w:t>
      </w:r>
      <w:r>
        <w:rPr>
          <w:rFonts w:hint="eastAsia" w:ascii="仿宋_GB2312" w:hAnsi="仿宋_GB2312" w:eastAsia="仿宋_GB2312" w:cs="仿宋_GB2312"/>
          <w:color w:val="auto"/>
          <w:highlight w:val="none"/>
          <w:lang w:val="en-US" w:eastAsia="zh-CN"/>
        </w:rPr>
        <w:t>适度鼓励人口集聚，重点发展农业、工贸、休闲服务等产业，按照较大规模的中心村标准进行公共服务设施配置，高标准开展村庄人居环境提升，</w:t>
      </w:r>
      <w:r>
        <w:rPr>
          <w:rFonts w:hint="eastAsia" w:ascii="仿宋_GB2312" w:hAnsi="仿宋_GB2312" w:eastAsia="仿宋_GB2312" w:cs="仿宋_GB2312"/>
          <w:color w:val="auto"/>
          <w:highlight w:val="none"/>
          <w:lang w:eastAsia="zh-CN"/>
        </w:rPr>
        <w:t>增强村庄吸引人口和产业的能力，保障“集聚”和“提升”的合理用地需求。</w:t>
      </w:r>
    </w:p>
    <w:p w14:paraId="0B0DF0EA">
      <w:pPr>
        <w:widowControl/>
        <w:snapToGrid w:val="0"/>
        <w:spacing w:line="360" w:lineRule="auto"/>
        <w:ind w:firstLine="640"/>
        <w:rPr>
          <w:rFonts w:hint="eastAsia" w:ascii="仿宋_GB2312" w:hAnsi="仿宋_GB2312" w:eastAsia="仿宋_GB2312" w:cs="仿宋_GB2312"/>
          <w:color w:val="auto"/>
          <w:sz w:val="32"/>
          <w:szCs w:val="32"/>
          <w:highlight w:val="none"/>
          <w:lang w:val="zh-TW"/>
        </w:rPr>
      </w:pPr>
      <w:r>
        <w:rPr>
          <w:rFonts w:hint="eastAsia" w:ascii="仿宋_GB2312" w:hAnsi="仿宋_GB2312" w:eastAsia="仿宋_GB2312" w:cs="仿宋_GB2312"/>
          <w:b/>
          <w:bCs/>
          <w:color w:val="auto"/>
          <w:sz w:val="32"/>
          <w:szCs w:val="32"/>
          <w:highlight w:val="none"/>
          <w:lang w:val="zh-TW"/>
        </w:rPr>
        <w:t>特色保护</w:t>
      </w:r>
      <w:r>
        <w:rPr>
          <w:rFonts w:hint="eastAsia" w:ascii="仿宋_GB2312" w:hAnsi="仿宋_GB2312" w:eastAsia="仿宋_GB2312" w:cs="仿宋_GB2312"/>
          <w:b/>
          <w:bCs/>
          <w:color w:val="auto"/>
          <w:sz w:val="32"/>
          <w:szCs w:val="32"/>
          <w:highlight w:val="none"/>
        </w:rPr>
        <w:t>类</w:t>
      </w:r>
      <w:r>
        <w:rPr>
          <w:rFonts w:hint="eastAsia" w:ascii="仿宋_GB2312" w:hAnsi="仿宋_GB2312" w:eastAsia="仿宋_GB2312" w:cs="仿宋_GB2312"/>
          <w:b/>
          <w:bCs/>
          <w:color w:val="auto"/>
          <w:sz w:val="32"/>
          <w:szCs w:val="32"/>
          <w:highlight w:val="none"/>
          <w:lang w:val="zh-TW"/>
        </w:rPr>
        <w:t>村庄共有</w:t>
      </w:r>
      <w:r>
        <w:rPr>
          <w:rFonts w:hint="eastAsia" w:ascii="仿宋_GB2312" w:hAnsi="仿宋_GB2312" w:eastAsia="仿宋_GB2312" w:cs="仿宋_GB2312"/>
          <w:b/>
          <w:bCs/>
          <w:color w:val="auto"/>
          <w:sz w:val="32"/>
          <w:szCs w:val="32"/>
          <w:highlight w:val="none"/>
          <w:lang w:val="en-US" w:eastAsia="zh-CN"/>
        </w:rPr>
        <w:t>14</w:t>
      </w:r>
      <w:r>
        <w:rPr>
          <w:rFonts w:hint="eastAsia" w:ascii="仿宋_GB2312" w:hAnsi="仿宋_GB2312" w:eastAsia="仿宋_GB2312" w:cs="仿宋_GB2312"/>
          <w:b/>
          <w:bCs/>
          <w:color w:val="auto"/>
          <w:sz w:val="32"/>
          <w:szCs w:val="32"/>
          <w:highlight w:val="none"/>
          <w:lang w:val="zh-TW"/>
        </w:rPr>
        <w:t>个。</w:t>
      </w:r>
      <w:r>
        <w:rPr>
          <w:rFonts w:hint="eastAsia" w:ascii="仿宋_GB2312" w:hAnsi="仿宋_GB2312" w:eastAsia="仿宋_GB2312" w:cs="仿宋_GB2312"/>
          <w:color w:val="auto"/>
          <w:highlight w:val="none"/>
          <w:lang w:val="en-US" w:eastAsia="zh-CN"/>
        </w:rPr>
        <w:t>统筹保护、利用与发展的关系，努力保持村庄的完整性、真实性和延续性；切实保护村庄的传统选址、格局、风貌以及自然和田园景观，全面保护文物古迹、民族特色、传统文化、历史建筑、传统民居等，提出特色文化资源利用策略与机制，</w:t>
      </w:r>
      <w:r>
        <w:rPr>
          <w:rFonts w:hint="eastAsia" w:ascii="仿宋_GB2312" w:hAnsi="仿宋_GB2312" w:eastAsia="仿宋_GB2312" w:cs="仿宋_GB2312"/>
          <w:color w:val="auto"/>
          <w:sz w:val="32"/>
          <w:szCs w:val="32"/>
          <w:highlight w:val="none"/>
        </w:rPr>
        <w:t>在守牢历史文化保护底线的基础上，利用历史文化资源丰富的优势高质量发展乡村旅游和特色产业，统筹保障其合理用地需求。</w:t>
      </w:r>
    </w:p>
    <w:p w14:paraId="26F1F747">
      <w:pPr>
        <w:bidi w:val="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b/>
          <w:bCs/>
          <w:color w:val="auto"/>
          <w:sz w:val="32"/>
          <w:szCs w:val="32"/>
          <w:highlight w:val="none"/>
          <w:lang w:val="zh-TW"/>
        </w:rPr>
        <w:t>暂不分类村庄共有</w:t>
      </w:r>
      <w:r>
        <w:rPr>
          <w:rFonts w:hint="eastAsia" w:ascii="仿宋_GB2312" w:hAnsi="仿宋_GB2312" w:eastAsia="仿宋_GB2312" w:cs="仿宋_GB2312"/>
          <w:b/>
          <w:bCs/>
          <w:color w:val="auto"/>
          <w:sz w:val="32"/>
          <w:szCs w:val="32"/>
          <w:highlight w:val="none"/>
          <w:lang w:val="en-US" w:eastAsia="zh-CN"/>
        </w:rPr>
        <w:t>6</w:t>
      </w:r>
      <w:r>
        <w:rPr>
          <w:rFonts w:hint="eastAsia" w:ascii="仿宋_GB2312" w:hAnsi="仿宋_GB2312" w:eastAsia="仿宋_GB2312" w:cs="仿宋_GB2312"/>
          <w:b/>
          <w:bCs/>
          <w:color w:val="auto"/>
          <w:sz w:val="32"/>
          <w:szCs w:val="32"/>
          <w:highlight w:val="none"/>
          <w:lang w:val="zh-TW"/>
        </w:rPr>
        <w:t>个。</w:t>
      </w:r>
      <w:r>
        <w:rPr>
          <w:rFonts w:hint="eastAsia" w:ascii="仿宋_GB2312" w:hAnsi="仿宋_GB2312" w:eastAsia="仿宋_GB2312" w:cs="仿宋_GB2312"/>
          <w:color w:val="auto"/>
          <w:highlight w:val="none"/>
          <w:lang w:val="en-US" w:eastAsia="zh-CN"/>
        </w:rPr>
        <w:t>依托良好的种植基础，按照乡村振兴生态宜居的要求，通过垃圾专项治理、农村污水处理、农村厕所革命、生态环境保护等措施，提升村容村貌。</w:t>
      </w:r>
    </w:p>
    <w:p w14:paraId="2E59824D">
      <w:pPr>
        <w:widowControl/>
        <w:snapToGrid w:val="0"/>
        <w:spacing w:line="360" w:lineRule="auto"/>
        <w:ind w:firstLine="640"/>
        <w:rPr>
          <w:rFonts w:hint="eastAsia" w:ascii="仿宋_GB2312" w:hAnsi="仿宋_GB2312" w:eastAsia="仿宋_GB2312" w:cs="仿宋_GB2312"/>
          <w:color w:val="auto"/>
          <w:sz w:val="32"/>
          <w:szCs w:val="32"/>
          <w:highlight w:val="none"/>
          <w:lang w:val="zh-TW"/>
        </w:rPr>
      </w:pPr>
      <w:r>
        <w:rPr>
          <w:rFonts w:hint="eastAsia" w:ascii="仿宋_GB2312" w:hAnsi="仿宋_GB2312" w:eastAsia="仿宋_GB2312" w:cs="仿宋_GB2312"/>
          <w:color w:val="auto"/>
          <w:sz w:val="32"/>
          <w:szCs w:val="32"/>
          <w:highlight w:val="none"/>
        </w:rPr>
        <w:t>应加强村庄人居环境整治，探索产业发展新路径，优化土地利用结构，实现村庄发展和用地集约的平衡。</w:t>
      </w:r>
    </w:p>
    <w:p w14:paraId="4F7E06B1">
      <w:pPr>
        <w:pStyle w:val="2"/>
        <w:spacing w:before="240" w:after="240" w:line="360" w:lineRule="auto"/>
        <w:ind w:firstLine="643"/>
        <w:jc w:val="center"/>
        <w:rPr>
          <w:rFonts w:hint="eastAsia" w:ascii="黑体" w:hAnsi="黑体" w:eastAsia="黑体" w:cs="黑体"/>
          <w:b/>
          <w:bCs/>
          <w:color w:val="auto"/>
          <w:sz w:val="32"/>
          <w:szCs w:val="32"/>
          <w:highlight w:val="none"/>
        </w:rPr>
      </w:pPr>
      <w:bookmarkStart w:id="24" w:name="_Toc9612"/>
      <w:bookmarkStart w:id="25" w:name="_Toc29745"/>
      <w:bookmarkStart w:id="26" w:name="_Toc3934"/>
      <w:r>
        <w:rPr>
          <w:rFonts w:hint="eastAsia" w:ascii="黑体" w:hAnsi="黑体" w:eastAsia="黑体" w:cs="黑体"/>
          <w:b/>
          <w:bCs/>
          <w:color w:val="auto"/>
          <w:sz w:val="32"/>
          <w:szCs w:val="32"/>
          <w:highlight w:val="none"/>
        </w:rPr>
        <w:t>第三章 管控要求</w:t>
      </w:r>
      <w:bookmarkEnd w:id="24"/>
      <w:bookmarkEnd w:id="25"/>
      <w:bookmarkEnd w:id="26"/>
      <w:bookmarkStart w:id="27" w:name="_Toc25800"/>
      <w:bookmarkStart w:id="28" w:name="_Toc26909"/>
    </w:p>
    <w:p w14:paraId="6ACAC9C9">
      <w:pPr>
        <w:pStyle w:val="3"/>
        <w:keepNext/>
        <w:keepLines/>
        <w:pageBreakBefore w:val="0"/>
        <w:widowControl w:val="0"/>
        <w:kinsoku/>
        <w:wordWrap/>
        <w:overflowPunct/>
        <w:topLinePunct w:val="0"/>
        <w:autoSpaceDE/>
        <w:autoSpaceDN/>
        <w:bidi w:val="0"/>
        <w:adjustRightInd/>
        <w:snapToGrid/>
        <w:spacing w:before="240" w:after="240" w:line="360" w:lineRule="auto"/>
        <w:ind w:firstLine="643"/>
        <w:jc w:val="center"/>
        <w:textAlignment w:val="auto"/>
        <w:outlineLvl w:val="1"/>
        <w:rPr>
          <w:rFonts w:hint="eastAsia" w:ascii="仿宋_GB2312" w:hAnsi="仿宋_GB2312" w:eastAsia="仿宋_GB2312" w:cs="仿宋_GB2312"/>
          <w:b/>
          <w:bCs/>
          <w:color w:val="auto"/>
          <w:sz w:val="32"/>
          <w:szCs w:val="32"/>
          <w:highlight w:val="none"/>
        </w:rPr>
      </w:pPr>
      <w:bookmarkStart w:id="29" w:name="_Toc31994"/>
      <w:r>
        <w:rPr>
          <w:rFonts w:hint="eastAsia" w:ascii="仿宋_GB2312" w:hAnsi="仿宋_GB2312" w:eastAsia="仿宋_GB2312" w:cs="仿宋_GB2312"/>
          <w:b/>
          <w:bCs/>
          <w:color w:val="auto"/>
          <w:sz w:val="32"/>
          <w:szCs w:val="32"/>
          <w:highlight w:val="none"/>
        </w:rPr>
        <w:t>第一节 底线管控</w:t>
      </w:r>
      <w:bookmarkEnd w:id="27"/>
      <w:bookmarkEnd w:id="28"/>
      <w:bookmarkEnd w:id="29"/>
    </w:p>
    <w:p w14:paraId="4A45082D">
      <w:pPr>
        <w:pStyle w:val="4"/>
        <w:numPr>
          <w:ilvl w:val="2"/>
          <w:numId w:val="0"/>
        </w:numPr>
        <w:spacing w:before="160" w:after="80" w:line="240" w:lineRule="auto"/>
        <w:ind w:firstLine="0" w:firstLineChars="0"/>
        <w:rPr>
          <w:rFonts w:hint="eastAsia" w:ascii="仿宋_GB2312" w:hAnsi="仿宋_GB2312" w:eastAsia="仿宋_GB2312" w:cs="仿宋_GB2312"/>
          <w:bCs/>
          <w:color w:val="auto"/>
          <w:sz w:val="32"/>
          <w:szCs w:val="32"/>
          <w:highlight w:val="none"/>
        </w:rPr>
      </w:pPr>
      <w:bookmarkStart w:id="30" w:name="_Toc18921"/>
      <w:r>
        <w:rPr>
          <w:rFonts w:hint="eastAsia" w:ascii="仿宋_GB2312" w:hAnsi="仿宋_GB2312" w:eastAsia="仿宋_GB2312" w:cs="仿宋_GB2312"/>
          <w:bCs/>
          <w:color w:val="auto"/>
          <w:sz w:val="32"/>
          <w:szCs w:val="32"/>
          <w:highlight w:val="none"/>
        </w:rPr>
        <w:t>第</w:t>
      </w:r>
      <w:r>
        <w:rPr>
          <w:rFonts w:hint="default" w:ascii="Times New Roman" w:hAnsi="Times New Roman" w:eastAsia="仿宋" w:cs="Times New Roman"/>
          <w:bCs/>
          <w:color w:val="auto"/>
          <w:sz w:val="32"/>
          <w:szCs w:val="32"/>
          <w:highlight w:val="none"/>
        </w:rPr>
        <w:t>5</w:t>
      </w:r>
      <w:r>
        <w:rPr>
          <w:rFonts w:hint="eastAsia" w:ascii="仿宋_GB2312" w:hAnsi="仿宋_GB2312" w:eastAsia="仿宋_GB2312" w:cs="仿宋_GB2312"/>
          <w:bCs/>
          <w:color w:val="auto"/>
          <w:sz w:val="32"/>
          <w:szCs w:val="32"/>
          <w:highlight w:val="none"/>
        </w:rPr>
        <w:t>条 耕地和永久基本农田保护红线</w:t>
      </w:r>
      <w:bookmarkEnd w:id="30"/>
    </w:p>
    <w:p w14:paraId="71228B9E">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严格落实耕地和永久基本农田保护红线。到2035年，全县耕地保护目标不低于17.30万亩，永久基本农田保护面积不低于15.93万亩，集中分布在县域中部，主要分布在梅溪镇、车田苗族乡、两水苗族乡等乡镇。</w:t>
      </w:r>
    </w:p>
    <w:p w14:paraId="7D0188EC">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严格耕地用途管制。不得在一般耕地上挖湖造景、种植草皮；不得在国家批准的生态退耕规划和计划外擅自扩大退耕还林还草还湿还湖规模；不得违规超标准在铁路、公路等用地红线外，以及河渠两侧、水库周边占用一般耕地种树建设绿化带；未经批准不得占用一般耕地实施国土绿化；未经批准工商企业等社会资本不得将通过流转获得土地经营权的一般耕地转为林地、园地等其他农用地。严格控制新增农村道路、畜禽养殖设施、水产养殖设施和破坏耕作层的种植业设施占用一般耕地。交通水利等重点基础设施建设项目尽量优化选线，不占或少占耕地。</w:t>
      </w:r>
    </w:p>
    <w:p w14:paraId="253B535C">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zh-TW" w:eastAsia="zh-CN"/>
        </w:rPr>
        <w:t>严格落实永久基本农田特殊保护制度。永久基本农田不得转为林地、草地、园地等其他农用地及农业设施建设用地。永久基本农田重点用于粮食生产，已划定的永久基本农田，任何单位和个人不得擅自占用或者改变用途。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不得以农业种植结构调整等理由改变永久基本农田的耕地地类属性。禁止任何单位和个人在基本农田保护区内建窑、建房、建坟、挖砂、采石、采矿、取土、堆放固体废弃物或者进行其他破坏基本农田的活动。</w:t>
      </w:r>
    </w:p>
    <w:p w14:paraId="1743F994">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31" w:name="_Toc13882"/>
      <w:r>
        <w:rPr>
          <w:rFonts w:hint="eastAsia" w:ascii="仿宋_GB2312" w:hAnsi="仿宋_GB2312" w:eastAsia="仿宋_GB2312" w:cs="仿宋_GB2312"/>
          <w:b/>
          <w:bCs/>
          <w:color w:val="auto"/>
          <w:sz w:val="32"/>
          <w:szCs w:val="32"/>
          <w:highlight w:val="none"/>
        </w:rPr>
        <w:t>第6条 生态保护红线</w:t>
      </w:r>
      <w:bookmarkEnd w:id="31"/>
    </w:p>
    <w:p w14:paraId="36ABF946">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严格落实生态保护红线。</w:t>
      </w:r>
      <w:r>
        <w:rPr>
          <w:rFonts w:hint="eastAsia" w:ascii="仿宋_GB2312" w:hAnsi="仿宋_GB2312" w:eastAsia="仿宋_GB2312" w:cs="仿宋_GB2312"/>
          <w:color w:val="auto"/>
          <w:highlight w:val="none"/>
          <w:lang w:val="zh-TW" w:eastAsia="zh-CN"/>
        </w:rPr>
        <w:t>到2035年，全县生态保护红线面积不低于</w:t>
      </w:r>
      <w:r>
        <w:rPr>
          <w:rFonts w:hint="eastAsia" w:ascii="仿宋_GB2312" w:hAnsi="仿宋_GB2312" w:eastAsia="仿宋_GB2312" w:cs="仿宋_GB2312"/>
          <w:color w:val="auto"/>
          <w:highlight w:val="none"/>
          <w:lang w:val="en-US" w:eastAsia="zh-CN"/>
        </w:rPr>
        <w:t>721.23</w:t>
      </w:r>
      <w:r>
        <w:rPr>
          <w:rFonts w:hint="eastAsia" w:ascii="仿宋_GB2312" w:hAnsi="仿宋_GB2312" w:eastAsia="仿宋_GB2312" w:cs="仿宋_GB2312"/>
          <w:color w:val="auto"/>
          <w:highlight w:val="none"/>
          <w:lang w:val="zh-TW" w:eastAsia="zh-CN"/>
        </w:rPr>
        <w:t>平方千米，</w:t>
      </w:r>
      <w:r>
        <w:rPr>
          <w:rFonts w:hint="eastAsia" w:ascii="仿宋_GB2312" w:hAnsi="仿宋_GB2312" w:eastAsia="仿宋_GB2312" w:cs="仿宋_GB2312"/>
          <w:color w:val="auto"/>
          <w:highlight w:val="none"/>
          <w:lang w:val="en-US" w:eastAsia="zh-CN"/>
        </w:rPr>
        <w:t>主要分布在中峰镇、瓜里乡、两水苗族乡等。</w:t>
      </w:r>
      <w:r>
        <w:rPr>
          <w:rFonts w:hint="eastAsia" w:ascii="仿宋_GB2312" w:hAnsi="仿宋_GB2312" w:eastAsia="仿宋_GB2312" w:cs="仿宋_GB2312"/>
          <w:color w:val="auto"/>
          <w:highlight w:val="none"/>
          <w:lang w:val="zh-TW" w:eastAsia="zh-CN"/>
        </w:rPr>
        <w:t>乡村建设应严格遵守《广西生态保护红线监管办法（试行）》，严禁擅自改变生态保护红线内土地用途。生态保护红线内的管控规则应依据国家及自治区有关规定执行。</w:t>
      </w:r>
    </w:p>
    <w:p w14:paraId="67D538AF">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zh-TW" w:eastAsia="zh-CN"/>
        </w:rPr>
        <w:t>生态保护红线内允许的有限人为活动</w:t>
      </w:r>
    </w:p>
    <w:p w14:paraId="5B97C979">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生态保护红线内，自然保护地核心保护区原则上禁止人为活动，自然保护地核心保护区以外的其他区域，严格禁止开发性、生产性建设活动，在符合现行法律法规前提下，除国家重大战略项目外，仅允许对生态功能不造成破坏的有限人为活动。</w:t>
      </w:r>
    </w:p>
    <w:p w14:paraId="00987C6A">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zh-TW" w:eastAsia="zh-CN"/>
        </w:rPr>
        <w:t>）管护巡护、保护执法、科学研究、调查监测、测绘导航、防灾减灾救灾、军事国防、疫情防控等活动及相关的必要设施修筑。</w:t>
      </w:r>
    </w:p>
    <w:p w14:paraId="2B68FCA5">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val="zh-TW" w:eastAsia="zh-CN"/>
        </w:rPr>
        <w:t>原住居民和其他合法权益主体，允许在不扩大现有建设用地、耕地、水产养殖规模和放牧强度（符合草畜平衡管理规定）的前提下，开展种植、放牧、捕捞、养殖（不包括投礁型海洋牧场、围海养殖）等活动，修筑生产生活设施。</w:t>
      </w:r>
    </w:p>
    <w:p w14:paraId="66F6953C">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（3）</w:t>
      </w:r>
      <w:r>
        <w:rPr>
          <w:rFonts w:hint="eastAsia" w:ascii="仿宋_GB2312" w:hAnsi="仿宋_GB2312" w:eastAsia="仿宋_GB2312" w:cs="仿宋_GB2312"/>
          <w:color w:val="auto"/>
          <w:highlight w:val="none"/>
          <w:lang w:val="zh-TW" w:eastAsia="zh-CN"/>
        </w:rPr>
        <w:t>经依法批准的考古调查发掘、古生物化石调查发掘、标本采集和文物保护活动。</w:t>
      </w:r>
    </w:p>
    <w:p w14:paraId="755B7B44">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（4）</w:t>
      </w:r>
      <w:r>
        <w:rPr>
          <w:rFonts w:hint="eastAsia" w:ascii="仿宋_GB2312" w:hAnsi="仿宋_GB2312" w:eastAsia="仿宋_GB2312" w:cs="仿宋_GB2312"/>
          <w:color w:val="auto"/>
          <w:highlight w:val="none"/>
          <w:lang w:val="zh-TW" w:eastAsia="zh-CN"/>
        </w:rPr>
        <w:t>按规定对人工商品林进行抚育采伐，或以提升森林质量、优化栖息地、建设生物防火隔离带等为目的的树种更新，依法开展的竹林采伐经营。</w:t>
      </w:r>
    </w:p>
    <w:p w14:paraId="2E664B17">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lang w:val="zh-TW" w:eastAsia="zh-CN"/>
        </w:rPr>
        <w:t>不破坏生态功能的适度参观旅游、科普宣教及符合相关规划的配套性服务设施和相关的必要公共设施建设及维护。</w:t>
      </w:r>
    </w:p>
    <w:p w14:paraId="12D780F5">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lang w:val="zh-TW" w:eastAsia="zh-CN"/>
        </w:rPr>
        <w:t>必须且无法避让、符合县级以上国土空间规划的线性基础设施、通讯和防洪、供水设施建设和船舶航行、航道疏浚清淤等活动；已有的合法水利、交通运输等设施运行维护改造。</w:t>
      </w:r>
    </w:p>
    <w:p w14:paraId="72ED8D82">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lang w:val="zh-TW"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30FA17B">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（8）</w:t>
      </w:r>
      <w:r>
        <w:rPr>
          <w:rFonts w:hint="eastAsia" w:ascii="仿宋_GB2312" w:hAnsi="仿宋_GB2312" w:eastAsia="仿宋_GB2312" w:cs="仿宋_GB2312"/>
          <w:color w:val="auto"/>
          <w:highlight w:val="none"/>
          <w:lang w:val="zh-TW" w:eastAsia="zh-CN"/>
        </w:rPr>
        <w:t>依据县级以上国土空间规划和生态保护修复专项规划开展的生态修复。</w:t>
      </w:r>
    </w:p>
    <w:p w14:paraId="4FE67327">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（9）</w:t>
      </w:r>
      <w:r>
        <w:rPr>
          <w:rFonts w:hint="eastAsia" w:ascii="仿宋_GB2312" w:hAnsi="仿宋_GB2312" w:eastAsia="仿宋_GB2312" w:cs="仿宋_GB2312"/>
          <w:color w:val="auto"/>
          <w:highlight w:val="none"/>
          <w:lang w:val="zh-TW" w:eastAsia="zh-CN"/>
        </w:rPr>
        <w:t>法律法规规定允许的其他人为活动。</w:t>
      </w:r>
    </w:p>
    <w:p w14:paraId="042744BE">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规划实施期间，国家、自治区对生态保护红线管控规则有新要求的，从其规定。</w:t>
      </w:r>
    </w:p>
    <w:p w14:paraId="5DE40AF0">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eastAsia" w:ascii="仿宋_GB2312" w:hAnsi="仿宋_GB2312" w:eastAsia="仿宋_GB2312" w:cs="仿宋_GB2312"/>
          <w:color w:val="auto"/>
          <w:sz w:val="32"/>
          <w:szCs w:val="32"/>
          <w:highlight w:val="none"/>
          <w:lang w:val="zh-TW"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自然保护地及其相关管控要求</w:t>
      </w:r>
    </w:p>
    <w:p w14:paraId="39BF9763">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en-US" w:eastAsia="zh-CN"/>
        </w:rPr>
        <w:t>资源县</w:t>
      </w:r>
      <w:r>
        <w:rPr>
          <w:rFonts w:hint="eastAsia" w:ascii="仿宋_GB2312" w:hAnsi="仿宋_GB2312" w:eastAsia="仿宋_GB2312" w:cs="仿宋_GB2312"/>
          <w:color w:val="auto"/>
          <w:highlight w:val="none"/>
          <w:lang w:val="zh-TW" w:eastAsia="zh-CN"/>
        </w:rPr>
        <w:t>自然保护地包括</w:t>
      </w:r>
      <w:r>
        <w:rPr>
          <w:rFonts w:hint="eastAsia" w:ascii="仿宋_GB2312" w:hAnsi="仿宋_GB2312" w:eastAsia="仿宋_GB2312" w:cs="仿宋_GB2312"/>
          <w:color w:val="auto"/>
          <w:highlight w:val="none"/>
          <w:lang w:val="en-US" w:eastAsia="zh-CN"/>
        </w:rPr>
        <w:t>广西银竹老山资源冷杉国家级自然保护区、广西猫儿山国家级自然保护区、广西八角寨国家森林公园、广西资源国家地质公园面积合计44655.59公顷。其中广西银竹老山资源冷杉国家级自然保护区</w:t>
      </w:r>
      <w:r>
        <w:rPr>
          <w:rFonts w:hint="eastAsia" w:ascii="仿宋_GB2312" w:hAnsi="仿宋_GB2312" w:eastAsia="仿宋_GB2312" w:cs="仿宋_GB2312"/>
          <w:color w:val="auto"/>
          <w:highlight w:val="none"/>
          <w:lang w:val="zh-TW" w:eastAsia="zh-CN"/>
        </w:rPr>
        <w:t>面积</w:t>
      </w:r>
      <w:r>
        <w:rPr>
          <w:rFonts w:hint="eastAsia" w:ascii="仿宋_GB2312" w:hAnsi="仿宋_GB2312" w:eastAsia="仿宋_GB2312" w:cs="仿宋_GB2312"/>
          <w:color w:val="auto"/>
          <w:highlight w:val="none"/>
          <w:lang w:val="en-US" w:eastAsia="zh-CN"/>
        </w:rPr>
        <w:t>4331.41</w:t>
      </w:r>
      <w:r>
        <w:rPr>
          <w:rFonts w:hint="eastAsia" w:ascii="仿宋_GB2312" w:hAnsi="仿宋_GB2312" w:eastAsia="仿宋_GB2312" w:cs="仿宋_GB2312"/>
          <w:color w:val="auto"/>
          <w:highlight w:val="none"/>
          <w:lang w:val="zh-TW" w:eastAsia="zh-CN"/>
        </w:rPr>
        <w:t>公顷，</w:t>
      </w:r>
      <w:r>
        <w:rPr>
          <w:rFonts w:hint="eastAsia" w:ascii="仿宋_GB2312" w:hAnsi="仿宋_GB2312" w:eastAsia="仿宋_GB2312" w:cs="仿宋_GB2312"/>
          <w:color w:val="auto"/>
          <w:highlight w:val="none"/>
          <w:lang w:val="en-US" w:eastAsia="zh-CN"/>
        </w:rPr>
        <w:t>广西猫儿山国家级自然保护区6158.15公顷，广西八角寨国家森林公园26835.65公顷，广西资源国家地质公园7330.38公顷</w:t>
      </w:r>
      <w:r>
        <w:rPr>
          <w:rFonts w:hint="eastAsia" w:ascii="仿宋_GB2312" w:hAnsi="仿宋_GB2312" w:eastAsia="仿宋_GB2312" w:cs="仿宋_GB2312"/>
          <w:color w:val="auto"/>
          <w:highlight w:val="none"/>
          <w:lang w:val="zh-TW" w:eastAsia="zh-CN"/>
        </w:rPr>
        <w:t>。</w:t>
      </w:r>
    </w:p>
    <w:p w14:paraId="15302457">
      <w:pPr>
        <w:widowControl/>
        <w:snapToGrid/>
        <w:spacing w:line="240" w:lineRule="auto"/>
        <w:ind w:firstLine="0"/>
        <w:rPr>
          <w:rFonts w:hint="eastAsia"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自然保护地核心区原则上禁止人为活动，一般控制区域严格禁止开发性、生产性建设活动，在符合现行法律法规前提下，除国家重大战略项目外，仅允许对生态功能不造成破坏的有限人为活动。</w:t>
      </w:r>
    </w:p>
    <w:p w14:paraId="4A93B0D2">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eastAsia" w:ascii="仿宋_GB2312" w:hAnsi="仿宋_GB2312" w:eastAsia="仿宋_GB2312" w:cs="仿宋_GB2312"/>
          <w:color w:val="auto"/>
          <w:sz w:val="32"/>
          <w:szCs w:val="32"/>
          <w:highlight w:val="none"/>
          <w:lang w:val="zh-TW"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zh-TW" w:eastAsia="zh-CN"/>
        </w:rPr>
        <w:t>生态保护红线内居民住宅建设相关要求</w:t>
      </w:r>
    </w:p>
    <w:p w14:paraId="55FCB1FA">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zh-TW" w:eastAsia="zh-CN"/>
        </w:rPr>
        <w:t>农村村民住宅建设应尽量避让生态保护红线，确需在生态保护红线内选址的，应符合《广西生态保护红线监管办法（试行）》的要求，并确保不突破所涉及生态保护红线管理单元现有建设用地规模，其中，不涉及新增建设用地的，由</w:t>
      </w:r>
      <w:r>
        <w:rPr>
          <w:rFonts w:hint="eastAsia" w:ascii="仿宋_GB2312" w:hAnsi="仿宋_GB2312" w:eastAsia="仿宋_GB2312" w:cs="仿宋_GB2312"/>
          <w:color w:val="auto"/>
          <w:highlight w:val="none"/>
          <w:lang w:val="en-US" w:eastAsia="zh-CN"/>
        </w:rPr>
        <w:t>资源县</w:t>
      </w:r>
      <w:r>
        <w:rPr>
          <w:rFonts w:hint="eastAsia" w:ascii="仿宋_GB2312" w:hAnsi="仿宋_GB2312" w:eastAsia="仿宋_GB2312" w:cs="仿宋_GB2312"/>
          <w:color w:val="auto"/>
          <w:highlight w:val="none"/>
          <w:lang w:val="zh-TW" w:eastAsia="zh-CN"/>
        </w:rPr>
        <w:t>政府出具符合生态保护红线内允许有限人为活动的认定意见，作为用地报批、规划许可、不动产登记的依据；涉及新增建设用地的，以桂林市为单位报自治区自然资源厅，通过自治区自然资源厅、生态环境厅、林业局、海洋局联合审查后按规定办理用地报批手续，自治区自然资源厅按季度报请出具认定意见。</w:t>
      </w:r>
    </w:p>
    <w:p w14:paraId="6DAD3A49">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32" w:name="_Toc20886"/>
      <w:r>
        <w:rPr>
          <w:rFonts w:hint="eastAsia" w:ascii="仿宋_GB2312" w:hAnsi="仿宋_GB2312" w:eastAsia="仿宋_GB2312" w:cs="仿宋_GB2312"/>
          <w:b/>
          <w:bCs/>
          <w:color w:val="auto"/>
          <w:sz w:val="32"/>
          <w:szCs w:val="32"/>
          <w:highlight w:val="none"/>
        </w:rPr>
        <w:t>第7条 村庄建设边界</w:t>
      </w:r>
      <w:bookmarkEnd w:id="32"/>
    </w:p>
    <w:p w14:paraId="3728248A">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严格控制全县村庄建设用地总规模。到2035年，全县村庄建设用地规模不得超过</w:t>
      </w:r>
      <w:r>
        <w:rPr>
          <w:rFonts w:hint="eastAsia" w:ascii="仿宋_GB2312" w:hAnsi="仿宋_GB2312" w:eastAsia="仿宋_GB2312" w:cs="仿宋_GB2312"/>
          <w:color w:val="auto"/>
          <w:highlight w:val="none"/>
          <w:lang w:val="zh-TW" w:eastAsia="zh-CN"/>
        </w:rPr>
        <w:t>2020年度国土变更调查村庄建设用地（203图斑）面积</w:t>
      </w:r>
      <w:r>
        <w:rPr>
          <w:rFonts w:hint="eastAsia" w:ascii="仿宋_GB2312" w:hAnsi="仿宋_GB2312" w:eastAsia="仿宋_GB2312" w:cs="仿宋_GB2312"/>
          <w:color w:val="auto"/>
          <w:highlight w:val="none"/>
          <w:lang w:val="en-US" w:eastAsia="zh-CN"/>
        </w:rPr>
        <w:t>2835.7878公顷。</w:t>
      </w:r>
    </w:p>
    <w:p w14:paraId="27C60DE6">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落实《资源县国土空间总体规划（2021—2035年）》</w:t>
      </w:r>
      <w:r>
        <w:rPr>
          <w:rFonts w:hint="default" w:ascii="仿宋_GB2312" w:hAnsi="仿宋_GB2312" w:eastAsia="仿宋_GB2312" w:cs="仿宋_GB2312"/>
          <w:color w:val="auto"/>
          <w:highlight w:val="none"/>
          <w:lang w:val="en-US" w:eastAsia="zh-CN"/>
        </w:rPr>
        <w:t>分解下达各乡镇的村庄建设用地指标，结合已编制（含在编）村庄规划及行政村发展需求，合理确定和分解下达各行政村村庄建设用地（203图斑）（详见附录E）。</w:t>
      </w:r>
    </w:p>
    <w:p w14:paraId="6FF024E6">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33" w:name="_Toc1097"/>
      <w:r>
        <w:rPr>
          <w:rFonts w:hint="default" w:ascii="仿宋_GB2312" w:hAnsi="仿宋_GB2312" w:eastAsia="仿宋_GB2312" w:cs="仿宋_GB2312"/>
          <w:color w:val="auto"/>
          <w:highlight w:val="none"/>
          <w:lang w:val="zh-TW" w:eastAsia="zh-CN"/>
        </w:rPr>
        <w:t>严格控制村庄建设边界面积。以现状村庄建设用地（203图斑）为基础，引导乡村建设向村庄建设边界内集中。农村宅基地、产业发展、基础设施等各项建设项目原则上应布局在村庄建设边界内，经依法依规批准后方可进行建设。</w:t>
      </w:r>
    </w:p>
    <w:p w14:paraId="2E4A422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zh-TW" w:eastAsia="zh-CN"/>
        </w:rPr>
        <w:t>为应对</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zh-TW" w:eastAsia="zh-CN"/>
        </w:rPr>
        <w:t>未来乡村发展的不确定性，增强规划实施弹性，县级层面</w:t>
      </w:r>
      <w:r>
        <w:rPr>
          <w:rFonts w:hint="default" w:ascii="仿宋_GB2312" w:hAnsi="仿宋_GB2312" w:eastAsia="仿宋_GB2312" w:cs="仿宋_GB2312"/>
          <w:color w:val="auto"/>
          <w:highlight w:val="none"/>
          <w:lang w:val="en-US" w:eastAsia="zh-CN"/>
        </w:rPr>
        <w:t>统筹</w:t>
      </w:r>
      <w:r>
        <w:rPr>
          <w:rFonts w:hint="default" w:ascii="仿宋_GB2312" w:hAnsi="仿宋_GB2312" w:eastAsia="仿宋_GB2312" w:cs="仿宋_GB2312"/>
          <w:color w:val="auto"/>
          <w:highlight w:val="none"/>
          <w:lang w:val="zh-TW" w:eastAsia="zh-CN"/>
        </w:rPr>
        <w:t>预留</w:t>
      </w:r>
      <w:r>
        <w:rPr>
          <w:rFonts w:hint="eastAsia" w:ascii="仿宋_GB2312" w:hAnsi="仿宋_GB2312" w:eastAsia="仿宋_GB2312" w:cs="仿宋_GB2312"/>
          <w:color w:val="auto"/>
          <w:highlight w:val="none"/>
          <w:lang w:val="en-US" w:eastAsia="zh-CN"/>
        </w:rPr>
        <w:t>150.0000</w:t>
      </w:r>
      <w:r>
        <w:rPr>
          <w:rFonts w:hint="default" w:ascii="仿宋_GB2312" w:hAnsi="仿宋_GB2312" w:eastAsia="仿宋_GB2312" w:cs="仿宋_GB2312"/>
          <w:color w:val="auto"/>
          <w:highlight w:val="none"/>
          <w:lang w:val="zh-TW" w:eastAsia="zh-CN"/>
        </w:rPr>
        <w:t>公顷的村庄建设用地指标（暂不分解至各乡镇）。</w:t>
      </w:r>
      <w:r>
        <w:rPr>
          <w:rFonts w:hint="default" w:ascii="仿宋_GB2312" w:hAnsi="仿宋_GB2312" w:eastAsia="仿宋_GB2312" w:cs="仿宋_GB2312"/>
          <w:color w:val="auto"/>
          <w:highlight w:val="none"/>
          <w:lang w:val="en-US" w:eastAsia="zh-CN"/>
        </w:rPr>
        <w:t>在规划实施过程中，各乡镇村庄建设用地指标已使用完，因</w:t>
      </w:r>
      <w:r>
        <w:rPr>
          <w:rFonts w:hint="default" w:ascii="仿宋_GB2312" w:hAnsi="仿宋_GB2312" w:eastAsia="仿宋_GB2312" w:cs="仿宋_GB2312"/>
          <w:color w:val="auto"/>
          <w:highlight w:val="none"/>
          <w:lang w:val="zh-TW" w:eastAsia="zh-CN"/>
        </w:rPr>
        <w:t>村民住宅建设、农村公共公益设施建设、零星分散的乡村文旅设施及农村新产业新业态等项目</w:t>
      </w:r>
      <w:r>
        <w:rPr>
          <w:rFonts w:hint="default" w:ascii="仿宋_GB2312" w:hAnsi="仿宋_GB2312" w:eastAsia="仿宋_GB2312" w:cs="仿宋_GB2312"/>
          <w:color w:val="auto"/>
          <w:highlight w:val="none"/>
          <w:lang w:val="en-US" w:eastAsia="zh-CN"/>
        </w:rPr>
        <w:t>建设</w:t>
      </w:r>
      <w:r>
        <w:rPr>
          <w:rFonts w:hint="default" w:ascii="仿宋_GB2312" w:hAnsi="仿宋_GB2312" w:eastAsia="仿宋_GB2312" w:cs="仿宋_GB2312"/>
          <w:color w:val="auto"/>
          <w:highlight w:val="none"/>
          <w:lang w:val="zh-TW" w:eastAsia="zh-CN"/>
        </w:rPr>
        <w:t>确需新增建设用地的，由乡镇人民政府按程序向县自然资源主管部门提出申请。经审核符合</w:t>
      </w:r>
      <w:r>
        <w:rPr>
          <w:rFonts w:hint="default" w:ascii="仿宋_GB2312" w:hAnsi="仿宋_GB2312" w:eastAsia="仿宋_GB2312" w:cs="仿宋_GB2312"/>
          <w:color w:val="auto"/>
          <w:highlight w:val="none"/>
          <w:lang w:val="en-US" w:eastAsia="zh-CN"/>
        </w:rPr>
        <w:t>条件</w:t>
      </w:r>
      <w:r>
        <w:rPr>
          <w:rFonts w:hint="default" w:ascii="仿宋_GB2312" w:hAnsi="仿宋_GB2312" w:eastAsia="仿宋_GB2312" w:cs="仿宋_GB2312"/>
          <w:color w:val="auto"/>
          <w:highlight w:val="none"/>
          <w:lang w:val="zh-TW" w:eastAsia="zh-CN"/>
        </w:rPr>
        <w:t>，报县人民政府批准后，可按规定使用预留指标，并严格按自治区有关规定将指标落实到具体地块，同步更新至国土空间规划“一张图”。县自然资源主管部门将对指标使用情况实施全过程台账管理和动态监管，确保指标使用规范有序、精准高效。</w:t>
      </w:r>
    </w:p>
    <w:p w14:paraId="48B4B495">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第8条 其他底线红线</w:t>
      </w:r>
      <w:bookmarkEnd w:id="33"/>
    </w:p>
    <w:p w14:paraId="2BB2B464">
      <w:pPr>
        <w:widowControl/>
        <w:snapToGrid/>
        <w:spacing w:line="240" w:lineRule="auto"/>
        <w:ind w:firstLine="0"/>
        <w:rPr>
          <w:rFonts w:hint="default" w:ascii="仿宋_GB2312" w:hAnsi="仿宋_GB2312" w:eastAsia="仿宋_GB2312" w:cs="仿宋_GB2312"/>
          <w:color w:val="auto"/>
          <w:highlight w:val="none"/>
          <w:lang w:val="zh-TW" w:eastAsia="zh-CN"/>
        </w:rPr>
      </w:pPr>
      <w:bookmarkStart w:id="34" w:name="_Toc11468"/>
      <w:bookmarkStart w:id="35" w:name="_Toc1691"/>
      <w:r>
        <w:rPr>
          <w:rFonts w:hint="default" w:ascii="仿宋_GB2312" w:hAnsi="仿宋_GB2312" w:eastAsia="仿宋_GB2312" w:cs="仿宋_GB2312"/>
          <w:color w:val="auto"/>
          <w:highlight w:val="none"/>
          <w:lang w:val="zh-TW" w:eastAsia="zh-CN"/>
        </w:rPr>
        <w:t>依据《</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zh-TW" w:eastAsia="zh-CN"/>
        </w:rPr>
        <w:t>国土空间总体规划（2021</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2035年）》落实历史文化保护线、洪涝风险控制线、河湖管理岸线、地质灾害风险控制线、自然保护地等其他控制线的相应管控要求，法律法规</w:t>
      </w:r>
      <w:r>
        <w:rPr>
          <w:rFonts w:hint="eastAsia" w:ascii="仿宋_GB2312" w:hAnsi="仿宋_GB2312" w:eastAsia="仿宋_GB2312" w:cs="仿宋_GB2312"/>
          <w:color w:val="auto"/>
          <w:highlight w:val="none"/>
          <w:lang w:val="zh-TW" w:eastAsia="zh-CN"/>
        </w:rPr>
        <w:t>和政</w:t>
      </w:r>
      <w:r>
        <w:rPr>
          <w:rFonts w:hint="default" w:ascii="仿宋_GB2312" w:hAnsi="仿宋_GB2312" w:eastAsia="仿宋_GB2312" w:cs="仿宋_GB2312"/>
          <w:color w:val="auto"/>
          <w:highlight w:val="none"/>
          <w:lang w:val="zh-TW" w:eastAsia="zh-CN"/>
        </w:rPr>
        <w:t>策另有规定的，从其规定。</w:t>
      </w:r>
    </w:p>
    <w:p w14:paraId="19B67E8D">
      <w:pPr>
        <w:pStyle w:val="3"/>
        <w:keepNext/>
        <w:keepLines/>
        <w:pageBreakBefore w:val="0"/>
        <w:widowControl w:val="0"/>
        <w:kinsoku/>
        <w:wordWrap/>
        <w:overflowPunct/>
        <w:topLinePunct w:val="0"/>
        <w:autoSpaceDE/>
        <w:autoSpaceDN/>
        <w:bidi w:val="0"/>
        <w:adjustRightInd/>
        <w:snapToGrid/>
        <w:spacing w:before="240" w:after="240" w:line="360" w:lineRule="auto"/>
        <w:ind w:firstLine="643"/>
        <w:jc w:val="center"/>
        <w:textAlignment w:val="auto"/>
        <w:outlineLvl w:val="1"/>
        <w:rPr>
          <w:rFonts w:hint="eastAsia" w:ascii="仿宋_GB2312" w:hAnsi="仿宋_GB2312" w:eastAsia="仿宋_GB2312" w:cs="仿宋_GB2312"/>
          <w:b/>
          <w:bCs/>
          <w:color w:val="auto"/>
          <w:sz w:val="32"/>
          <w:szCs w:val="32"/>
          <w:highlight w:val="none"/>
        </w:rPr>
      </w:pPr>
      <w:bookmarkStart w:id="36" w:name="_Toc251"/>
      <w:r>
        <w:rPr>
          <w:rFonts w:hint="eastAsia" w:ascii="仿宋_GB2312" w:hAnsi="仿宋_GB2312" w:eastAsia="仿宋_GB2312" w:cs="仿宋_GB2312"/>
          <w:b/>
          <w:bCs/>
          <w:color w:val="auto"/>
          <w:sz w:val="32"/>
          <w:szCs w:val="32"/>
          <w:highlight w:val="none"/>
        </w:rPr>
        <w:t>第二节 用地布局</w:t>
      </w:r>
      <w:bookmarkEnd w:id="34"/>
      <w:bookmarkEnd w:id="35"/>
      <w:bookmarkEnd w:id="36"/>
    </w:p>
    <w:p w14:paraId="1A3BD8B2">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37" w:name="_Toc17568"/>
      <w:r>
        <w:rPr>
          <w:rFonts w:hint="eastAsia" w:ascii="仿宋_GB2312" w:hAnsi="仿宋_GB2312" w:eastAsia="仿宋_GB2312" w:cs="仿宋_GB2312"/>
          <w:b/>
          <w:bCs/>
          <w:color w:val="auto"/>
          <w:sz w:val="32"/>
          <w:szCs w:val="32"/>
          <w:highlight w:val="none"/>
        </w:rPr>
        <w:t>第9条 村庄建设用地布局通用要求</w:t>
      </w:r>
      <w:bookmarkEnd w:id="37"/>
    </w:p>
    <w:p w14:paraId="48849D8C">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eastAsia" w:ascii="仿宋_GB2312" w:hAnsi="仿宋_GB2312" w:eastAsia="仿宋_GB2312" w:cs="仿宋_GB2312"/>
          <w:color w:val="auto"/>
          <w:sz w:val="32"/>
          <w:szCs w:val="32"/>
          <w:highlight w:val="none"/>
          <w:lang w:val="en-US" w:eastAsia="zh-CN"/>
        </w:rPr>
      </w:pPr>
      <w:bookmarkStart w:id="38" w:name="_Toc16327"/>
      <w:bookmarkStart w:id="39" w:name="_Toc196318154"/>
      <w:bookmarkStart w:id="40" w:name="_Toc3960"/>
      <w:bookmarkStart w:id="41" w:name="_Toc183721549"/>
      <w:bookmarkStart w:id="42" w:name="_Toc31196"/>
      <w:bookmarkStart w:id="43" w:name="_Toc21391"/>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选址原则</w:t>
      </w:r>
    </w:p>
    <w:p w14:paraId="3B9155A1">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村民住宅、乡村公共服务设施、市政公用设施、乡村产业等用地布局应当遵循的一般原则：</w:t>
      </w:r>
    </w:p>
    <w:p w14:paraId="0118F96D">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1</w:t>
      </w:r>
      <w:r>
        <w:rPr>
          <w:rFonts w:hint="default" w:ascii="仿宋_GB2312" w:hAnsi="仿宋_GB2312" w:eastAsia="仿宋_GB2312" w:cs="仿宋_GB2312"/>
          <w:color w:val="auto"/>
          <w:highlight w:val="none"/>
          <w:lang w:val="zh-TW" w:eastAsia="zh-CN"/>
        </w:rPr>
        <w:t>）应选址在地质条件较好、环境适宜、交通方便的地段。</w:t>
      </w:r>
    </w:p>
    <w:p w14:paraId="3BCAC780">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2</w:t>
      </w:r>
      <w:r>
        <w:rPr>
          <w:rFonts w:hint="default" w:ascii="仿宋_GB2312" w:hAnsi="仿宋_GB2312" w:eastAsia="仿宋_GB2312" w:cs="仿宋_GB2312"/>
          <w:color w:val="auto"/>
          <w:highlight w:val="none"/>
          <w:lang w:val="zh-TW" w:eastAsia="zh-CN"/>
        </w:rPr>
        <w:t>）合理用地，节约用地，新增村庄建设用地应与农村土地综合整治相结合，充分利用原有闲置宅基地、村内空闲地、村周边的丘陵坡地或其他未利用地，少占或不占耕地。</w:t>
      </w:r>
    </w:p>
    <w:p w14:paraId="5655A60E">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zh-TW" w:eastAsia="zh-CN"/>
        </w:rPr>
      </w:pPr>
      <w:r>
        <w:rPr>
          <w:rFonts w:hint="default" w:ascii="仿宋_GB2312" w:hAnsi="仿宋_GB2312" w:eastAsia="仿宋_GB2312" w:cs="仿宋_GB2312"/>
          <w:color w:val="auto"/>
          <w:sz w:val="32"/>
          <w:szCs w:val="32"/>
          <w:highlight w:val="none"/>
          <w:lang w:val="en-US" w:eastAsia="zh-CN"/>
        </w:rPr>
        <w:t>2.禁止建设区域</w:t>
      </w:r>
    </w:p>
    <w:p w14:paraId="0099A268">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村民住宅、乡村公共服务设施、农村基础与公用设施用地、乡村产业等项目建设不得在下列地点或地段选址：</w:t>
      </w:r>
    </w:p>
    <w:p w14:paraId="04F03037">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1</w:t>
      </w:r>
      <w:r>
        <w:rPr>
          <w:rFonts w:hint="default" w:ascii="仿宋_GB2312" w:hAnsi="仿宋_GB2312" w:eastAsia="仿宋_GB2312" w:cs="仿宋_GB2312"/>
          <w:color w:val="auto"/>
          <w:highlight w:val="none"/>
          <w:lang w:val="zh-TW" w:eastAsia="zh-CN"/>
        </w:rPr>
        <w:t>）山体滑坡、泥石流、危岩、塌陷等地质灾害易发区或次生灾害隐患易发地段、洪涝灾害危险地段。</w:t>
      </w:r>
    </w:p>
    <w:p w14:paraId="1ED83E2B">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2</w:t>
      </w:r>
      <w:r>
        <w:rPr>
          <w:rFonts w:hint="default" w:ascii="仿宋_GB2312" w:hAnsi="仿宋_GB2312" w:eastAsia="仿宋_GB2312" w:cs="仿宋_GB2312"/>
          <w:color w:val="auto"/>
          <w:highlight w:val="none"/>
          <w:lang w:val="zh-TW" w:eastAsia="zh-CN"/>
        </w:rPr>
        <w:t>）永久基本农田保护区、河湖管理范围线内不得建设的区域、饮用水水源一级保护区、生态公益林、天然林、天然水源林区域、20年一遇洪水位线以下区域。</w:t>
      </w:r>
    </w:p>
    <w:p w14:paraId="6DC7496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3</w:t>
      </w:r>
      <w:r>
        <w:rPr>
          <w:rFonts w:hint="default" w:ascii="仿宋_GB2312" w:hAnsi="仿宋_GB2312" w:eastAsia="仿宋_GB2312" w:cs="仿宋_GB2312"/>
          <w:color w:val="auto"/>
          <w:highlight w:val="none"/>
          <w:lang w:val="zh-TW" w:eastAsia="zh-CN"/>
        </w:rPr>
        <w:t>）可能占用、堵塞、封闭疏散通道、安全出口、消防车通道的区域。</w:t>
      </w:r>
    </w:p>
    <w:p w14:paraId="3BDA7423">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4</w:t>
      </w:r>
      <w:r>
        <w:rPr>
          <w:rFonts w:hint="default" w:ascii="仿宋_GB2312" w:hAnsi="仿宋_GB2312" w:eastAsia="仿宋_GB2312" w:cs="仿宋_GB2312"/>
          <w:color w:val="auto"/>
          <w:highlight w:val="none"/>
          <w:lang w:val="zh-TW" w:eastAsia="zh-CN"/>
        </w:rPr>
        <w:t>）危险化学品生产企业、危险化学品储存仓库或危房边。</w:t>
      </w:r>
    </w:p>
    <w:p w14:paraId="2BA6B6E2">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5</w:t>
      </w:r>
      <w:r>
        <w:rPr>
          <w:rFonts w:hint="default" w:ascii="仿宋_GB2312" w:hAnsi="仿宋_GB2312" w:eastAsia="仿宋_GB2312" w:cs="仿宋_GB2312"/>
          <w:color w:val="auto"/>
          <w:highlight w:val="none"/>
          <w:lang w:val="zh-TW" w:eastAsia="zh-CN"/>
        </w:rPr>
        <w:t>）输油、输气管道上，高压供电走廊下。</w:t>
      </w:r>
    </w:p>
    <w:p w14:paraId="038B145B">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en-US" w:eastAsia="zh-CN"/>
        </w:rPr>
        <w:t>6</w:t>
      </w:r>
      <w:r>
        <w:rPr>
          <w:rFonts w:hint="default" w:ascii="仿宋_GB2312" w:hAnsi="仿宋_GB2312" w:eastAsia="仿宋_GB2312" w:cs="仿宋_GB2312"/>
          <w:color w:val="auto"/>
          <w:highlight w:val="none"/>
          <w:lang w:val="zh-TW" w:eastAsia="zh-CN"/>
        </w:rPr>
        <w:t>）法律、法规禁止建设建（构）筑物的其他区域。</w:t>
      </w:r>
    </w:p>
    <w:p w14:paraId="4BB42A49">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3.特殊区域建设要求</w:t>
      </w:r>
    </w:p>
    <w:p w14:paraId="30CFEB11">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原住居民住宅及必要生产生活设施确需在生态保护红线内建设的，应符合《广西生态保护红线监管办法（试行）》规定。</w:t>
      </w:r>
      <w:bookmarkStart w:id="44" w:name="OLE_LINK3"/>
      <w:r>
        <w:rPr>
          <w:rFonts w:hint="default" w:ascii="仿宋_GB2312" w:hAnsi="仿宋_GB2312" w:eastAsia="仿宋_GB2312" w:cs="仿宋_GB2312"/>
          <w:color w:val="auto"/>
          <w:highlight w:val="none"/>
          <w:lang w:val="zh-TW" w:eastAsia="zh-CN"/>
        </w:rPr>
        <w:t>文化名镇名村核心保护区内的住宅及必要生产生活设施建设</w:t>
      </w:r>
      <w:bookmarkEnd w:id="44"/>
      <w:r>
        <w:rPr>
          <w:rFonts w:hint="default" w:ascii="仿宋_GB2312" w:hAnsi="仿宋_GB2312" w:eastAsia="仿宋_GB2312" w:cs="仿宋_GB2312"/>
          <w:color w:val="auto"/>
          <w:highlight w:val="none"/>
          <w:lang w:val="zh-TW" w:eastAsia="zh-CN"/>
        </w:rPr>
        <w:t>，应符合传统风貌保护要求，新建、改建房屋需经文物部门审批。</w:t>
      </w:r>
    </w:p>
    <w:p w14:paraId="7F029984">
      <w:pPr>
        <w:pStyle w:val="4"/>
        <w:numPr>
          <w:ilvl w:val="2"/>
          <w:numId w:val="0"/>
        </w:numPr>
        <w:spacing w:before="160" w:after="80" w:line="240" w:lineRule="auto"/>
        <w:rPr>
          <w:rFonts w:ascii="Times New Roman" w:hAnsi="Times New Roman" w:eastAsia="仿宋" w:cs="Times New Roman"/>
          <w:bCs/>
          <w:color w:val="auto"/>
          <w:sz w:val="32"/>
          <w:szCs w:val="32"/>
          <w:highlight w:val="none"/>
        </w:rPr>
      </w:pPr>
      <w:r>
        <w:rPr>
          <w:rFonts w:hint="eastAsia" w:ascii="Times New Roman" w:hAnsi="Times New Roman" w:eastAsia="仿宋" w:cs="Times New Roman"/>
          <w:bCs/>
          <w:color w:val="auto"/>
          <w:sz w:val="32"/>
          <w:szCs w:val="32"/>
          <w:highlight w:val="none"/>
        </w:rPr>
        <w:t xml:space="preserve">第10条 </w:t>
      </w:r>
      <w:r>
        <w:rPr>
          <w:rFonts w:ascii="Times New Roman" w:hAnsi="Times New Roman" w:eastAsia="仿宋" w:cs="Times New Roman"/>
          <w:bCs/>
          <w:color w:val="auto"/>
          <w:sz w:val="32"/>
          <w:szCs w:val="32"/>
          <w:highlight w:val="none"/>
        </w:rPr>
        <w:t>村民住房</w:t>
      </w:r>
      <w:bookmarkEnd w:id="38"/>
      <w:bookmarkEnd w:id="39"/>
      <w:bookmarkEnd w:id="40"/>
      <w:bookmarkEnd w:id="41"/>
    </w:p>
    <w:p w14:paraId="7E8F1BD4">
      <w:pPr>
        <w:widowControl/>
        <w:snapToGrid/>
        <w:spacing w:line="240" w:lineRule="auto"/>
        <w:ind w:firstLine="0"/>
        <w:rPr>
          <w:rFonts w:hint="default" w:ascii="仿宋_GB2312" w:hAnsi="仿宋_GB2312" w:eastAsia="仿宋_GB2312" w:cs="仿宋_GB2312"/>
          <w:color w:val="auto"/>
          <w:highlight w:val="none"/>
          <w:lang w:val="zh-TW" w:eastAsia="zh-CN"/>
        </w:rPr>
      </w:pPr>
      <w:bookmarkStart w:id="45" w:name="_Toc25766"/>
      <w:bookmarkStart w:id="46" w:name="_Toc21395"/>
      <w:bookmarkStart w:id="47" w:name="_Toc196318155"/>
      <w:bookmarkStart w:id="48" w:name="_Toc183721550"/>
      <w:r>
        <w:rPr>
          <w:rFonts w:hint="default" w:ascii="仿宋_GB2312" w:hAnsi="仿宋_GB2312" w:eastAsia="仿宋_GB2312" w:cs="仿宋_GB2312"/>
          <w:color w:val="auto"/>
          <w:highlight w:val="none"/>
          <w:lang w:val="zh-TW" w:eastAsia="zh-CN"/>
        </w:rPr>
        <w:t>除通用要求外，村民住宅选址布局还应当符合以下要求：</w:t>
      </w:r>
    </w:p>
    <w:p w14:paraId="267DE241">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en-US" w:eastAsia="zh-CN"/>
        </w:rPr>
        <w:t>1.</w:t>
      </w:r>
      <w:r>
        <w:rPr>
          <w:rFonts w:hint="default" w:ascii="仿宋_GB2312" w:hAnsi="仿宋_GB2312" w:eastAsia="仿宋_GB2312" w:cs="仿宋_GB2312"/>
          <w:color w:val="auto"/>
          <w:highlight w:val="none"/>
          <w:lang w:val="zh-TW" w:eastAsia="zh-CN"/>
        </w:rPr>
        <w:t>遵循“集聚发展、适度留白”“节约集约用地”原则，引导集聚、预留空间，优先在村庄建设边界内选址，鼓励通过盘活闲置宅基地实现住房建设需求。</w:t>
      </w:r>
    </w:p>
    <w:p w14:paraId="6D359371">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2.严格控制利用山体切坡作为建设选址用地，确实无法避让的，应治理达到安全标准及相关要求后方可作为选址用地。</w:t>
      </w:r>
    </w:p>
    <w:p w14:paraId="06BB2310">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3.严格落实“一户一宅”政策要求，引导在村庄建设边界内选址、盘活利用闲置宅基地。经批准易地建造住宅的，应当严格按照“建新拆旧”要求将原宅基地交还给村集体。</w:t>
      </w:r>
    </w:p>
    <w:p w14:paraId="55583B9E">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4.符合上位及相关规划</w:t>
      </w:r>
      <w:r>
        <w:rPr>
          <w:rFonts w:hint="eastAsia" w:ascii="仿宋_GB2312" w:hAnsi="仿宋_GB2312" w:eastAsia="仿宋_GB2312" w:cs="仿宋_GB2312"/>
          <w:color w:val="auto"/>
          <w:highlight w:val="none"/>
          <w:lang w:val="zh-TW" w:eastAsia="zh-CN"/>
        </w:rPr>
        <w:t>对</w:t>
      </w:r>
      <w:r>
        <w:rPr>
          <w:rFonts w:hint="default" w:ascii="仿宋_GB2312" w:hAnsi="仿宋_GB2312" w:eastAsia="仿宋_GB2312" w:cs="仿宋_GB2312"/>
          <w:color w:val="auto"/>
          <w:highlight w:val="none"/>
          <w:lang w:val="zh-TW" w:eastAsia="zh-CN"/>
        </w:rPr>
        <w:t>住宅建设选址的管控要求。</w:t>
      </w:r>
    </w:p>
    <w:p w14:paraId="43A59BA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5.新建、改建村庄需要在农村集体经济组织之间置换土地的，应当经相关村庄的村民会议三分之二以上成员或者三分之二以上的村民代表同意，并依法办理土地变更登记手续。因置换土地造成被置换土地利害关系人合法权益损失的，应当按照有关规定给予公平合理补偿。</w:t>
      </w:r>
    </w:p>
    <w:p w14:paraId="684F2C8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en-US" w:eastAsia="zh-CN"/>
        </w:rPr>
        <w:t>6.</w:t>
      </w:r>
      <w:r>
        <w:rPr>
          <w:rFonts w:hint="default" w:ascii="仿宋_GB2312" w:hAnsi="仿宋_GB2312" w:eastAsia="仿宋_GB2312" w:cs="仿宋_GB2312"/>
          <w:color w:val="auto"/>
          <w:highlight w:val="none"/>
          <w:lang w:val="zh-TW" w:eastAsia="zh-CN"/>
        </w:rPr>
        <w:t>村民住房建设负面清单</w:t>
      </w:r>
    </w:p>
    <w:p w14:paraId="4EDB502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zh-TW" w:eastAsia="zh-CN"/>
        </w:rPr>
        <w:t>村民住房建设应严格遵循《中华人民共和国土地管理法》等法律法规，落实《农村乱占耕地建房“八不准”》等政策文件要求，坚决遏制违规建房行为。农村建房负面清单如下：</w:t>
      </w:r>
    </w:p>
    <w:p w14:paraId="3AD59B8A">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不准占用永久基本农田建房。</w:t>
      </w:r>
    </w:p>
    <w:p w14:paraId="33E6564A">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不准强占多占耕地建房。</w:t>
      </w:r>
    </w:p>
    <w:p w14:paraId="6E69186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3</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不准买卖、流转耕地违法建房。</w:t>
      </w:r>
    </w:p>
    <w:p w14:paraId="644BCB9C">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4</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不准在承包耕地上违法建房。</w:t>
      </w:r>
    </w:p>
    <w:p w14:paraId="0AF135DE">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不准巧立名目违法占用耕地建房。</w:t>
      </w:r>
    </w:p>
    <w:p w14:paraId="42F456A0">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不准违反“一户一宅”规定占用耕地建房。</w:t>
      </w:r>
    </w:p>
    <w:p w14:paraId="0B5E2EF9">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不准非法出售占用耕地建的房屋。</w:t>
      </w:r>
    </w:p>
    <w:p w14:paraId="0D74E032">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eastAsia" w:ascii="仿宋_GB2312" w:hAnsi="仿宋_GB2312" w:eastAsia="仿宋_GB2312" w:cs="仿宋_GB2312"/>
          <w:color w:val="auto"/>
          <w:highlight w:val="none"/>
          <w:lang w:val="zh-TW" w:eastAsia="zh-CN"/>
        </w:rPr>
        <w:t>（</w:t>
      </w:r>
      <w:r>
        <w:rPr>
          <w:rFonts w:hint="eastAsia" w:ascii="仿宋_GB2312" w:hAnsi="仿宋_GB2312" w:eastAsia="仿宋_GB2312" w:cs="仿宋_GB2312"/>
          <w:color w:val="auto"/>
          <w:highlight w:val="none"/>
          <w:lang w:val="en-US" w:eastAsia="zh-CN"/>
        </w:rPr>
        <w:t>8</w:t>
      </w:r>
      <w:r>
        <w:rPr>
          <w:rFonts w:hint="eastAsia" w:ascii="仿宋_GB2312" w:hAnsi="仿宋_GB2312" w:eastAsia="仿宋_GB2312" w:cs="仿宋_GB2312"/>
          <w:color w:val="auto"/>
          <w:highlight w:val="none"/>
          <w:lang w:val="zh-TW" w:eastAsia="zh-CN"/>
        </w:rPr>
        <w:t>）</w:t>
      </w:r>
      <w:r>
        <w:rPr>
          <w:rFonts w:hint="default" w:ascii="仿宋_GB2312" w:hAnsi="仿宋_GB2312" w:eastAsia="仿宋_GB2312" w:cs="仿宋_GB2312"/>
          <w:color w:val="auto"/>
          <w:highlight w:val="none"/>
          <w:lang w:val="zh-TW" w:eastAsia="zh-CN"/>
        </w:rPr>
        <w:t>不准违法审批占用耕地建房。</w:t>
      </w:r>
    </w:p>
    <w:p w14:paraId="5AEBA1F5">
      <w:pPr>
        <w:pStyle w:val="4"/>
        <w:numPr>
          <w:ilvl w:val="2"/>
          <w:numId w:val="0"/>
        </w:numPr>
        <w:spacing w:before="160" w:after="80" w:line="240" w:lineRule="auto"/>
        <w:rPr>
          <w:rFonts w:ascii="Times New Roman" w:hAnsi="Times New Roman" w:eastAsia="仿宋" w:cs="Times New Roman"/>
          <w:bCs/>
          <w:color w:val="auto"/>
          <w:sz w:val="32"/>
          <w:szCs w:val="32"/>
          <w:highlight w:val="none"/>
        </w:rPr>
      </w:pPr>
      <w:r>
        <w:rPr>
          <w:rFonts w:hint="eastAsia" w:ascii="Times New Roman" w:hAnsi="Times New Roman" w:eastAsia="仿宋" w:cs="Times New Roman"/>
          <w:bCs/>
          <w:color w:val="auto"/>
          <w:sz w:val="32"/>
          <w:szCs w:val="32"/>
          <w:highlight w:val="none"/>
        </w:rPr>
        <w:t>第11条 乡村公共服务设施</w:t>
      </w:r>
      <w:bookmarkEnd w:id="45"/>
      <w:bookmarkEnd w:id="46"/>
      <w:bookmarkEnd w:id="47"/>
      <w:bookmarkEnd w:id="48"/>
    </w:p>
    <w:p w14:paraId="1CAE230D">
      <w:pPr>
        <w:widowControl/>
        <w:snapToGrid/>
        <w:spacing w:line="240" w:lineRule="auto"/>
        <w:ind w:firstLine="0"/>
        <w:rPr>
          <w:rFonts w:hint="default" w:ascii="仿宋_GB2312" w:hAnsi="仿宋_GB2312" w:eastAsia="仿宋_GB2312" w:cs="仿宋_GB2312"/>
          <w:color w:val="auto"/>
          <w:highlight w:val="none"/>
          <w:lang w:val="zh-TW" w:eastAsia="zh-CN"/>
        </w:rPr>
      </w:pPr>
      <w:bookmarkStart w:id="49" w:name="_Toc196318156"/>
      <w:bookmarkStart w:id="50" w:name="_Toc28936"/>
      <w:r>
        <w:rPr>
          <w:rFonts w:hint="default" w:ascii="仿宋_GB2312" w:hAnsi="仿宋_GB2312" w:eastAsia="仿宋_GB2312" w:cs="仿宋_GB2312"/>
          <w:color w:val="auto"/>
          <w:highlight w:val="none"/>
          <w:lang w:val="zh-TW" w:eastAsia="zh-CN"/>
        </w:rPr>
        <w:t>除通用要求外，公共服务设施选址还应当符合以下要求：</w:t>
      </w:r>
    </w:p>
    <w:p w14:paraId="11FF9114">
      <w:pPr>
        <w:widowControl/>
        <w:snapToGrid/>
        <w:spacing w:line="240" w:lineRule="auto"/>
        <w:ind w:firstLine="0"/>
        <w:rPr>
          <w:rFonts w:hint="default" w:ascii="仿宋_GB2312" w:hAnsi="仿宋_GB2312" w:eastAsia="仿宋_GB2312" w:cs="仿宋_GB2312"/>
          <w:color w:val="auto"/>
          <w:highlight w:val="none"/>
          <w:lang w:val="zh-TW" w:eastAsia="zh-CN"/>
        </w:rPr>
      </w:pPr>
      <w:r>
        <w:rPr>
          <w:rFonts w:hint="default" w:ascii="仿宋_GB2312" w:hAnsi="仿宋_GB2312" w:eastAsia="仿宋_GB2312" w:cs="仿宋_GB2312"/>
          <w:color w:val="auto"/>
          <w:highlight w:val="none"/>
          <w:lang w:val="en-US" w:eastAsia="zh-CN"/>
        </w:rPr>
        <w:t>1.</w:t>
      </w:r>
      <w:r>
        <w:rPr>
          <w:rFonts w:hint="default" w:ascii="仿宋_GB2312" w:hAnsi="仿宋_GB2312" w:eastAsia="仿宋_GB2312" w:cs="仿宋_GB2312"/>
          <w:color w:val="auto"/>
          <w:highlight w:val="none"/>
          <w:lang w:val="zh-TW" w:eastAsia="zh-CN"/>
        </w:rPr>
        <w:t>鼓励乡村公共服务设施充分利用现有存量建设用地空间，综合行政管理、治理服务、医疗卫生、文化体育等功能复合设置，选址宜布置在位置适中、内外联系方便的地段，方便村民使用。</w:t>
      </w:r>
    </w:p>
    <w:p w14:paraId="41538520">
      <w:pPr>
        <w:widowControl/>
        <w:shd w:val="clear"/>
        <w:snapToGrid w:val="0"/>
        <w:spacing w:line="360" w:lineRule="auto"/>
        <w:ind w:firstLine="640" w:firstLineChars="20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农村小学选址应符合现行《中小学校设计规范（GB50099-2011）》《农村普通中小学校建设标准（建标109-2008）》的规定，幼儿园选址应符合《托儿所、幼儿园建筑设计规范（JGJ39-2016）》（2019年版）、《幼儿园建设标准（建标175-2016）》的规定，需满足下表要求：</w:t>
      </w:r>
    </w:p>
    <w:p w14:paraId="4C6CD06C">
      <w:pPr>
        <w:keepNext w:val="0"/>
        <w:keepLines w:val="0"/>
        <w:pageBreakBefore w:val="0"/>
        <w:widowControl/>
        <w:shd w:val="clear"/>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sz w:val="30"/>
          <w:szCs w:val="30"/>
          <w:highlight w:val="none"/>
        </w:rPr>
        <w:t>表1 小学、幼儿园其他选址要求一览表</w:t>
      </w:r>
    </w:p>
    <w:tbl>
      <w:tblPr>
        <w:tblStyle w:val="29"/>
        <w:tblW w:w="5163" w:type="pct"/>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5"/>
        <w:gridCol w:w="5942"/>
        <w:gridCol w:w="783"/>
        <w:gridCol w:w="967"/>
      </w:tblGrid>
      <w:tr w14:paraId="7BAF1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blHeader/>
        </w:trPr>
        <w:tc>
          <w:tcPr>
            <w:tcW w:w="521" w:type="pct"/>
            <w:vAlign w:val="top"/>
          </w:tcPr>
          <w:p w14:paraId="27D7B32C">
            <w:pPr>
              <w:keepNext w:val="0"/>
              <w:keepLines w:val="0"/>
              <w:pageBreakBefore w:val="0"/>
              <w:shd w:val="clear"/>
              <w:kinsoku/>
              <w:wordWrap/>
              <w:overflowPunct/>
              <w:topLinePunct w:val="0"/>
              <w:autoSpaceDE/>
              <w:autoSpaceDN/>
              <w:bidi w:val="0"/>
              <w:spacing w:before="111" w:line="221" w:lineRule="auto"/>
              <w:ind w:left="0"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4"/>
                <w:sz w:val="24"/>
                <w:szCs w:val="24"/>
                <w:highlight w:val="none"/>
              </w:rPr>
              <w:t>序号</w:t>
            </w:r>
          </w:p>
        </w:tc>
        <w:tc>
          <w:tcPr>
            <w:tcW w:w="3460" w:type="pct"/>
            <w:vAlign w:val="top"/>
          </w:tcPr>
          <w:p w14:paraId="583F87E9">
            <w:pPr>
              <w:keepNext w:val="0"/>
              <w:keepLines w:val="0"/>
              <w:pageBreakBefore w:val="0"/>
              <w:shd w:val="clear"/>
              <w:kinsoku/>
              <w:wordWrap/>
              <w:overflowPunct/>
              <w:topLinePunct w:val="0"/>
              <w:autoSpaceDE/>
              <w:autoSpaceDN/>
              <w:bidi w:val="0"/>
              <w:spacing w:before="111" w:line="221" w:lineRule="auto"/>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4"/>
                <w:sz w:val="24"/>
                <w:szCs w:val="24"/>
                <w:highlight w:val="none"/>
              </w:rPr>
              <w:t>选址一般要求</w:t>
            </w:r>
          </w:p>
        </w:tc>
        <w:tc>
          <w:tcPr>
            <w:tcW w:w="456" w:type="pct"/>
            <w:vAlign w:val="top"/>
          </w:tcPr>
          <w:p w14:paraId="3C05AE02">
            <w:pPr>
              <w:keepNext w:val="0"/>
              <w:keepLines w:val="0"/>
              <w:pageBreakBefore w:val="0"/>
              <w:shd w:val="clear"/>
              <w:kinsoku/>
              <w:wordWrap/>
              <w:overflowPunct/>
              <w:topLinePunct w:val="0"/>
              <w:autoSpaceDE/>
              <w:autoSpaceDN/>
              <w:bidi w:val="0"/>
              <w:spacing w:before="101" w:line="221" w:lineRule="auto"/>
              <w:ind w:left="0"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6"/>
                <w:sz w:val="24"/>
                <w:szCs w:val="24"/>
                <w:highlight w:val="none"/>
              </w:rPr>
              <w:t>小学</w:t>
            </w:r>
          </w:p>
        </w:tc>
        <w:tc>
          <w:tcPr>
            <w:tcW w:w="561" w:type="pct"/>
            <w:vAlign w:val="top"/>
          </w:tcPr>
          <w:p w14:paraId="4B0BBC6F">
            <w:pPr>
              <w:keepNext w:val="0"/>
              <w:keepLines w:val="0"/>
              <w:pageBreakBefore w:val="0"/>
              <w:shd w:val="clear"/>
              <w:kinsoku/>
              <w:wordWrap/>
              <w:overflowPunct/>
              <w:topLinePunct w:val="0"/>
              <w:autoSpaceDE/>
              <w:autoSpaceDN/>
              <w:bidi w:val="0"/>
              <w:spacing w:before="110" w:line="219" w:lineRule="auto"/>
              <w:ind w:left="0" w:firstLine="0" w:firstLineChars="0"/>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1"/>
                <w:sz w:val="24"/>
                <w:szCs w:val="24"/>
                <w:highlight w:val="none"/>
              </w:rPr>
              <w:t>幼儿园</w:t>
            </w:r>
          </w:p>
        </w:tc>
      </w:tr>
      <w:tr w14:paraId="50663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1" w:type="pct"/>
            <w:vAlign w:val="center"/>
          </w:tcPr>
          <w:p w14:paraId="3E5F386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1</w:t>
            </w:r>
          </w:p>
        </w:tc>
        <w:tc>
          <w:tcPr>
            <w:tcW w:w="3460" w:type="pct"/>
          </w:tcPr>
          <w:p w14:paraId="2862D4B0">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符合所在辖区内农村义务教育学校布局专项规</w:t>
            </w:r>
            <w:r>
              <w:rPr>
                <w:rFonts w:hint="default" w:ascii="Times New Roman" w:hAnsi="Times New Roman" w:eastAsia="仿宋_GB2312" w:cs="Times New Roman"/>
                <w:snapToGrid w:val="0"/>
                <w:color w:val="auto"/>
                <w:kern w:val="0"/>
                <w:sz w:val="24"/>
                <w:szCs w:val="24"/>
                <w:highlight w:val="none"/>
              </w:rPr>
              <w:t>划的总体要求，在规定的区域内选址。</w:t>
            </w:r>
          </w:p>
        </w:tc>
        <w:tc>
          <w:tcPr>
            <w:tcW w:w="456" w:type="pct"/>
            <w:vAlign w:val="center"/>
          </w:tcPr>
          <w:p w14:paraId="018EB0D7">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250AC0A3">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072A7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21" w:type="pct"/>
            <w:vAlign w:val="center"/>
          </w:tcPr>
          <w:p w14:paraId="0961B8F1">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2</w:t>
            </w:r>
          </w:p>
        </w:tc>
        <w:tc>
          <w:tcPr>
            <w:tcW w:w="3460" w:type="pct"/>
          </w:tcPr>
          <w:p w14:paraId="0698A44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应选址在地质条件较好、环境适宜、阳光充足、交通方便、场地平整、排水通畅、基础设施完善、周边绿色植被丰富，符合卫生和环保要求的宜建地带。</w:t>
            </w:r>
          </w:p>
        </w:tc>
        <w:tc>
          <w:tcPr>
            <w:tcW w:w="456" w:type="pct"/>
            <w:vAlign w:val="center"/>
          </w:tcPr>
          <w:p w14:paraId="2A97EAE9">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075766C5">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6A03D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21" w:type="pct"/>
            <w:vAlign w:val="center"/>
          </w:tcPr>
          <w:p w14:paraId="7C49AD23">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3</w:t>
            </w:r>
          </w:p>
        </w:tc>
        <w:tc>
          <w:tcPr>
            <w:tcW w:w="3460" w:type="pct"/>
          </w:tcPr>
          <w:p w14:paraId="0892357A">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必须避开地震危险地段、可能发生地质灾害和</w:t>
            </w:r>
            <w:r>
              <w:rPr>
                <w:rFonts w:hint="default" w:ascii="Times New Roman" w:hAnsi="Times New Roman" w:eastAsia="仿宋_GB2312" w:cs="Times New Roman"/>
                <w:snapToGrid w:val="0"/>
                <w:color w:val="auto"/>
                <w:spacing w:val="0"/>
                <w:kern w:val="0"/>
                <w:sz w:val="24"/>
                <w:szCs w:val="24"/>
                <w:highlight w:val="none"/>
              </w:rPr>
              <w:t>洪水灾害的区域等不安全地带，避开输油、输气管道和高压供电走廊等。</w:t>
            </w:r>
          </w:p>
        </w:tc>
        <w:tc>
          <w:tcPr>
            <w:tcW w:w="456" w:type="pct"/>
            <w:vAlign w:val="center"/>
          </w:tcPr>
          <w:p w14:paraId="6CC481BE">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40962AB7">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5FA11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521" w:type="pct"/>
          </w:tcPr>
          <w:p w14:paraId="4841A7C6">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4</w:t>
            </w:r>
          </w:p>
        </w:tc>
        <w:tc>
          <w:tcPr>
            <w:tcW w:w="3460" w:type="pct"/>
          </w:tcPr>
          <w:p w14:paraId="0CCC347F">
            <w:pPr>
              <w:keepNext w:val="0"/>
              <w:keepLines w:val="0"/>
              <w:pageBreakBefore w:val="0"/>
              <w:shd w:val="clear"/>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应避免学生就读时跨越公路干线、无立交设施的铁路、无安全通行防护设施的河流及水域。</w:t>
            </w:r>
          </w:p>
        </w:tc>
        <w:tc>
          <w:tcPr>
            <w:tcW w:w="456" w:type="pct"/>
            <w:vAlign w:val="center"/>
          </w:tcPr>
          <w:p w14:paraId="14DDA1A6">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2A2CD654">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3867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21" w:type="pct"/>
            <w:vAlign w:val="center"/>
          </w:tcPr>
          <w:p w14:paraId="396044D0">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5</w:t>
            </w:r>
          </w:p>
        </w:tc>
        <w:tc>
          <w:tcPr>
            <w:tcW w:w="3460" w:type="pct"/>
          </w:tcPr>
          <w:p w14:paraId="71A0FA30">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必须与铁路、高速公路、机场及飞机起降航线</w:t>
            </w:r>
            <w:r>
              <w:rPr>
                <w:rFonts w:hint="default" w:ascii="Times New Roman" w:hAnsi="Times New Roman" w:eastAsia="仿宋_GB2312" w:cs="Times New Roman"/>
                <w:snapToGrid w:val="0"/>
                <w:color w:val="auto"/>
                <w:spacing w:val="0"/>
                <w:kern w:val="0"/>
                <w:sz w:val="24"/>
                <w:szCs w:val="24"/>
                <w:highlight w:val="none"/>
              </w:rPr>
              <w:t>有足够的安全、卫生防护距离。应避开主要交通干道、建筑的阴影区等。</w:t>
            </w:r>
          </w:p>
        </w:tc>
        <w:tc>
          <w:tcPr>
            <w:tcW w:w="456" w:type="pct"/>
            <w:vAlign w:val="center"/>
          </w:tcPr>
          <w:p w14:paraId="06DF6151">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39AD15F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78F10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1" w:hRule="atLeast"/>
        </w:trPr>
        <w:tc>
          <w:tcPr>
            <w:tcW w:w="521" w:type="pct"/>
            <w:vAlign w:val="center"/>
          </w:tcPr>
          <w:p w14:paraId="73B4BF5C">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6</w:t>
            </w:r>
          </w:p>
        </w:tc>
        <w:tc>
          <w:tcPr>
            <w:tcW w:w="3460" w:type="pct"/>
          </w:tcPr>
          <w:p w14:paraId="01679475">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不应与公共娱乐场所、集贸市场、医院传染病</w:t>
            </w:r>
            <w:r>
              <w:rPr>
                <w:rFonts w:hint="default" w:ascii="Times New Roman" w:hAnsi="Times New Roman" w:eastAsia="仿宋_GB2312" w:cs="Times New Roman"/>
                <w:snapToGrid w:val="0"/>
                <w:color w:val="auto"/>
                <w:spacing w:val="0"/>
                <w:kern w:val="0"/>
                <w:sz w:val="24"/>
                <w:szCs w:val="24"/>
                <w:highlight w:val="none"/>
              </w:rPr>
              <w:t>房、太平间、殡仪馆、气源调压站、高压变配</w:t>
            </w:r>
            <w:r>
              <w:rPr>
                <w:rFonts w:hint="default" w:ascii="Times New Roman" w:hAnsi="Times New Roman" w:eastAsia="仿宋_GB2312" w:cs="Times New Roman"/>
                <w:snapToGrid w:val="0"/>
                <w:color w:val="auto"/>
                <w:kern w:val="0"/>
                <w:sz w:val="24"/>
                <w:szCs w:val="24"/>
                <w:highlight w:val="none"/>
              </w:rPr>
              <w:t>电所、易燃易爆危险品仓库、加油站、公安看</w:t>
            </w:r>
            <w:r>
              <w:rPr>
                <w:rFonts w:hint="default" w:ascii="Times New Roman" w:hAnsi="Times New Roman" w:eastAsia="仿宋_GB2312" w:cs="Times New Roman"/>
                <w:snapToGrid w:val="0"/>
                <w:color w:val="auto"/>
                <w:spacing w:val="0"/>
                <w:kern w:val="0"/>
                <w:sz w:val="24"/>
                <w:szCs w:val="24"/>
                <w:highlight w:val="none"/>
              </w:rPr>
              <w:t>守所、垃圾中转站及污水处理站等喧闹脏乱、</w:t>
            </w:r>
            <w:r>
              <w:rPr>
                <w:rFonts w:hint="default" w:ascii="Times New Roman" w:hAnsi="Times New Roman" w:eastAsia="仿宋_GB2312" w:cs="Times New Roman"/>
                <w:snapToGrid w:val="0"/>
                <w:color w:val="auto"/>
                <w:kern w:val="0"/>
                <w:sz w:val="24"/>
                <w:szCs w:val="24"/>
                <w:highlight w:val="none"/>
              </w:rPr>
              <w:t>不利于学龄儿童身心健康的场所毗邻。</w:t>
            </w:r>
          </w:p>
        </w:tc>
        <w:tc>
          <w:tcPr>
            <w:tcW w:w="456" w:type="pct"/>
            <w:vAlign w:val="center"/>
          </w:tcPr>
          <w:p w14:paraId="2F5928D9">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7E7096C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20E2B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521" w:type="pct"/>
            <w:vAlign w:val="center"/>
          </w:tcPr>
          <w:p w14:paraId="5CC38B75">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7</w:t>
            </w:r>
          </w:p>
        </w:tc>
        <w:tc>
          <w:tcPr>
            <w:tcW w:w="3460" w:type="pct"/>
          </w:tcPr>
          <w:p w14:paraId="59CA3DF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不应与生产经营贮藏有毒有害、易燃易爆物品</w:t>
            </w:r>
            <w:r>
              <w:rPr>
                <w:rFonts w:hint="default" w:ascii="Times New Roman" w:hAnsi="Times New Roman" w:eastAsia="仿宋_GB2312" w:cs="Times New Roman"/>
                <w:snapToGrid w:val="0"/>
                <w:color w:val="auto"/>
                <w:spacing w:val="0"/>
                <w:kern w:val="0"/>
                <w:sz w:val="24"/>
                <w:szCs w:val="24"/>
                <w:highlight w:val="none"/>
              </w:rPr>
              <w:t>等危及安全的场所毗邻；不应与通信发生塔</w:t>
            </w:r>
            <w:r>
              <w:rPr>
                <w:rFonts w:hint="eastAsia" w:ascii="Times New Roman" w:hAnsi="Times New Roman" w:cs="Times New Roman"/>
                <w:snapToGrid w:val="0"/>
                <w:color w:val="auto"/>
                <w:spacing w:val="0"/>
                <w:kern w:val="0"/>
                <w:sz w:val="24"/>
                <w:szCs w:val="24"/>
                <w:highlight w:val="none"/>
                <w:lang w:eastAsia="zh-CN"/>
              </w:rPr>
              <w:t>（</w:t>
            </w:r>
            <w:r>
              <w:rPr>
                <w:rFonts w:hint="default" w:ascii="Times New Roman" w:hAnsi="Times New Roman" w:eastAsia="仿宋_GB2312" w:cs="Times New Roman"/>
                <w:snapToGrid w:val="0"/>
                <w:color w:val="auto"/>
                <w:kern w:val="0"/>
                <w:sz w:val="24"/>
                <w:szCs w:val="24"/>
                <w:highlight w:val="none"/>
              </w:rPr>
              <w:t>台</w:t>
            </w:r>
            <w:r>
              <w:rPr>
                <w:rFonts w:hint="eastAsia" w:ascii="Times New Roman" w:hAnsi="Times New Roman" w:cs="Times New Roman"/>
                <w:snapToGrid w:val="0"/>
                <w:color w:val="auto"/>
                <w:kern w:val="0"/>
                <w:sz w:val="24"/>
                <w:szCs w:val="24"/>
                <w:highlight w:val="none"/>
                <w:lang w:eastAsia="zh-CN"/>
              </w:rPr>
              <w:t>）</w:t>
            </w:r>
            <w:r>
              <w:rPr>
                <w:rFonts w:hint="default" w:ascii="Times New Roman" w:hAnsi="Times New Roman" w:eastAsia="仿宋_GB2312" w:cs="Times New Roman"/>
                <w:snapToGrid w:val="0"/>
                <w:color w:val="auto"/>
                <w:kern w:val="0"/>
                <w:sz w:val="24"/>
                <w:szCs w:val="24"/>
                <w:highlight w:val="none"/>
              </w:rPr>
              <w:t>等有较强电磁波辐射的场所毗邻。</w:t>
            </w:r>
          </w:p>
        </w:tc>
        <w:tc>
          <w:tcPr>
            <w:tcW w:w="456" w:type="pct"/>
            <w:vAlign w:val="center"/>
          </w:tcPr>
          <w:p w14:paraId="53CF6CBB">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c>
          <w:tcPr>
            <w:tcW w:w="561" w:type="pct"/>
            <w:vAlign w:val="center"/>
          </w:tcPr>
          <w:p w14:paraId="08FB309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5AF42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521" w:type="pct"/>
            <w:vAlign w:val="center"/>
          </w:tcPr>
          <w:p w14:paraId="238E0BCF">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8</w:t>
            </w:r>
          </w:p>
        </w:tc>
        <w:tc>
          <w:tcPr>
            <w:tcW w:w="3460" w:type="pct"/>
          </w:tcPr>
          <w:p w14:paraId="3BBF067F">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不得建在高层建筑内。4个班及以上的托儿所、</w:t>
            </w:r>
            <w:r>
              <w:rPr>
                <w:rFonts w:hint="default" w:ascii="Times New Roman" w:hAnsi="Times New Roman" w:eastAsia="仿宋_GB2312" w:cs="Times New Roman"/>
                <w:snapToGrid w:val="0"/>
                <w:color w:val="auto"/>
                <w:kern w:val="0"/>
                <w:sz w:val="24"/>
                <w:szCs w:val="24"/>
                <w:highlight w:val="none"/>
              </w:rPr>
              <w:t>幼儿园建筑应独立设置。3班及以下时，可与居</w:t>
            </w:r>
            <w:r>
              <w:rPr>
                <w:rFonts w:hint="default" w:ascii="Times New Roman" w:hAnsi="Times New Roman" w:eastAsia="仿宋_GB2312" w:cs="Times New Roman"/>
                <w:snapToGrid w:val="0"/>
                <w:color w:val="auto"/>
                <w:spacing w:val="0"/>
                <w:kern w:val="0"/>
                <w:sz w:val="24"/>
                <w:szCs w:val="24"/>
                <w:highlight w:val="none"/>
              </w:rPr>
              <w:t>住、养老、教育、办公建筑合建，托儿所生活用房应布置在首层，幼儿园生活用房应布置在三层及以下，应设有独立院落和出入口，室外</w:t>
            </w:r>
            <w:r>
              <w:rPr>
                <w:rFonts w:hint="default" w:ascii="Times New Roman" w:hAnsi="Times New Roman" w:eastAsia="仿宋_GB2312" w:cs="Times New Roman"/>
                <w:snapToGrid w:val="0"/>
                <w:color w:val="auto"/>
                <w:kern w:val="0"/>
                <w:sz w:val="24"/>
                <w:szCs w:val="24"/>
                <w:highlight w:val="none"/>
              </w:rPr>
              <w:t>游戏场地应有防护设施。</w:t>
            </w:r>
          </w:p>
        </w:tc>
        <w:tc>
          <w:tcPr>
            <w:tcW w:w="456" w:type="pct"/>
            <w:vAlign w:val="center"/>
          </w:tcPr>
          <w:p w14:paraId="0003E5A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p>
        </w:tc>
        <w:tc>
          <w:tcPr>
            <w:tcW w:w="561" w:type="pct"/>
            <w:vAlign w:val="center"/>
          </w:tcPr>
          <w:p w14:paraId="6F69EAE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3CF8B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521" w:type="pct"/>
            <w:vAlign w:val="center"/>
          </w:tcPr>
          <w:p w14:paraId="56AF1D12">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9</w:t>
            </w:r>
          </w:p>
        </w:tc>
        <w:tc>
          <w:tcPr>
            <w:tcW w:w="3460" w:type="pct"/>
          </w:tcPr>
          <w:p w14:paraId="18A9CC9B">
            <w:pPr>
              <w:keepNext w:val="0"/>
              <w:keepLines w:val="0"/>
              <w:pageBreakBefore w:val="0"/>
              <w:shd w:val="clear"/>
              <w:kinsoku/>
              <w:wordWrap/>
              <w:overflowPunct/>
              <w:topLinePunct w:val="0"/>
              <w:autoSpaceDE/>
              <w:autoSpaceDN/>
              <w:bidi w:val="0"/>
              <w:adjustRightInd w:val="0"/>
              <w:snapToGrid w:val="0"/>
              <w:spacing w:line="240" w:lineRule="auto"/>
              <w:ind w:right="0" w:firstLine="0" w:firstLineChars="0"/>
              <w:jc w:val="left"/>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宜设在集镇或毗邻乡村中小学，应避开养殖场、屠宰场、垃圾填埋场及水面等不良环境。</w:t>
            </w:r>
          </w:p>
        </w:tc>
        <w:tc>
          <w:tcPr>
            <w:tcW w:w="456" w:type="pct"/>
            <w:vAlign w:val="center"/>
          </w:tcPr>
          <w:p w14:paraId="709563D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p>
        </w:tc>
        <w:tc>
          <w:tcPr>
            <w:tcW w:w="561" w:type="pct"/>
            <w:vAlign w:val="center"/>
          </w:tcPr>
          <w:p w14:paraId="12C41DF5">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kern w:val="0"/>
                <w:sz w:val="24"/>
                <w:szCs w:val="24"/>
                <w:highlight w:val="none"/>
              </w:rPr>
              <w:t>●</w:t>
            </w:r>
          </w:p>
        </w:tc>
      </w:tr>
      <w:tr w14:paraId="5B50E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000" w:type="pct"/>
            <w:gridSpan w:val="4"/>
          </w:tcPr>
          <w:p w14:paraId="04CD3A47">
            <w:pPr>
              <w:keepNext w:val="0"/>
              <w:keepLines w:val="0"/>
              <w:pageBreakBefore w:val="0"/>
              <w:shd w:val="clear"/>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仿宋_GB2312" w:cs="Times New Roman"/>
                <w:snapToGrid w:val="0"/>
                <w:color w:val="auto"/>
                <w:kern w:val="0"/>
                <w:sz w:val="24"/>
                <w:szCs w:val="24"/>
                <w:highlight w:val="none"/>
              </w:rPr>
            </w:pPr>
            <w:r>
              <w:rPr>
                <w:rFonts w:hint="default" w:ascii="Times New Roman" w:hAnsi="Times New Roman" w:eastAsia="仿宋_GB2312" w:cs="Times New Roman"/>
                <w:snapToGrid w:val="0"/>
                <w:color w:val="auto"/>
                <w:spacing w:val="0"/>
                <w:kern w:val="0"/>
                <w:sz w:val="24"/>
                <w:szCs w:val="24"/>
                <w:highlight w:val="none"/>
              </w:rPr>
              <w:t>备注：“●”代表需遵循该项选址要求。</w:t>
            </w:r>
          </w:p>
        </w:tc>
      </w:tr>
    </w:tbl>
    <w:p w14:paraId="162F211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3.村级公共服务设施的配置应落实乡镇国土空间规划等上位规划及其他相关规划</w:t>
      </w:r>
      <w:bookmarkStart w:id="204" w:name="_GoBack"/>
      <w:bookmarkEnd w:id="204"/>
      <w:r>
        <w:rPr>
          <w:rFonts w:hint="default" w:ascii="仿宋_GB2312" w:hAnsi="仿宋_GB2312" w:eastAsia="仿宋_GB2312" w:cs="仿宋_GB2312"/>
          <w:color w:val="auto"/>
          <w:highlight w:val="none"/>
          <w:lang w:val="en-US" w:eastAsia="zh-CN"/>
        </w:rPr>
        <w:t>对公共服务设施布置要求。公共服务设施宜依托行政村集中居民点或自然村组，综合考虑乡村居民常用交通方式，配置满足就近使用需求的服务要素，并注重相邻村庄之间服务要素的错位配置和共享使用，鼓励有条件的村村之间、村镇（乡）之间、村城之间共享公共服务设施，以促进农村土地节约集约利用，保障乡村基本公共服务水平，实现生产生活设施的便利化。</w:t>
      </w:r>
    </w:p>
    <w:p w14:paraId="62D9CE2A">
      <w:pPr>
        <w:pStyle w:val="4"/>
        <w:widowControl/>
        <w:numPr>
          <w:ilvl w:val="2"/>
          <w:numId w:val="0"/>
        </w:numPr>
        <w:snapToGrid w:val="0"/>
        <w:spacing w:before="160" w:after="80" w:line="240" w:lineRule="auto"/>
        <w:rPr>
          <w:rFonts w:ascii="Times New Roman" w:hAnsi="Times New Roman" w:eastAsia="仿宋" w:cs="Times New Roman"/>
          <w:bCs/>
          <w:color w:val="auto"/>
          <w:sz w:val="32"/>
          <w:szCs w:val="32"/>
          <w:highlight w:val="none"/>
        </w:rPr>
      </w:pPr>
      <w:r>
        <w:rPr>
          <w:rFonts w:hint="eastAsia" w:ascii="Times New Roman" w:hAnsi="Times New Roman" w:eastAsia="仿宋" w:cs="Times New Roman"/>
          <w:bCs/>
          <w:color w:val="auto"/>
          <w:sz w:val="32"/>
          <w:szCs w:val="32"/>
          <w:highlight w:val="none"/>
        </w:rPr>
        <w:t>第1</w:t>
      </w:r>
      <w:r>
        <w:rPr>
          <w:rFonts w:ascii="Times New Roman" w:hAnsi="Times New Roman" w:eastAsia="仿宋" w:cs="Times New Roman"/>
          <w:bCs/>
          <w:color w:val="auto"/>
          <w:sz w:val="32"/>
          <w:szCs w:val="32"/>
          <w:highlight w:val="none"/>
        </w:rPr>
        <w:t>2</w:t>
      </w:r>
      <w:r>
        <w:rPr>
          <w:rFonts w:hint="eastAsia" w:ascii="Times New Roman" w:hAnsi="Times New Roman" w:eastAsia="仿宋" w:cs="Times New Roman"/>
          <w:bCs/>
          <w:color w:val="auto"/>
          <w:sz w:val="32"/>
          <w:szCs w:val="32"/>
          <w:highlight w:val="none"/>
        </w:rPr>
        <w:t xml:space="preserve">条 </w:t>
      </w:r>
      <w:bookmarkEnd w:id="49"/>
      <w:bookmarkEnd w:id="50"/>
      <w:r>
        <w:rPr>
          <w:rFonts w:hint="default" w:ascii="Times New Roman" w:hAnsi="Times New Roman" w:cs="Times New Roman"/>
          <w:color w:val="auto"/>
          <w:highlight w:val="none"/>
          <w:lang w:eastAsia="zh-CN"/>
        </w:rPr>
        <w:t>乡村基础与</w:t>
      </w:r>
      <w:r>
        <w:rPr>
          <w:rFonts w:hint="default" w:ascii="Times New Roman" w:hAnsi="Times New Roman" w:cs="Times New Roman"/>
          <w:color w:val="auto"/>
          <w:highlight w:val="none"/>
        </w:rPr>
        <w:t>公用设施</w:t>
      </w:r>
    </w:p>
    <w:p w14:paraId="07546B85">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51" w:name="_Toc183721551"/>
      <w:bookmarkStart w:id="52" w:name="_Toc196318157"/>
      <w:bookmarkStart w:id="53" w:name="_Toc8841"/>
      <w:bookmarkStart w:id="54" w:name="_Toc15852"/>
      <w:r>
        <w:rPr>
          <w:rFonts w:hint="default" w:ascii="仿宋_GB2312" w:hAnsi="仿宋_GB2312" w:eastAsia="仿宋_GB2312" w:cs="仿宋_GB2312"/>
          <w:color w:val="auto"/>
          <w:highlight w:val="none"/>
          <w:lang w:val="en-US" w:eastAsia="zh-CN"/>
        </w:rPr>
        <w:t>除通用要求外，乡村基础与公用设施选址还应当符合以下要求：</w:t>
      </w:r>
    </w:p>
    <w:p w14:paraId="7C38550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道路用地选址需符合上位规划、控制性详细规划及相关专项规划的要求，优先选择交通和基础设施条件较好的区域；严格控制破坏生态环境的选址，避免占用水体、山体等生态敏感区域；选址应避开工程地质和水文地质不良的地段，如断层带、软土、湿地等，以减少施工风险；选址应便于城市电力线路、给排水管道、燃气管道等基础设施的引入和连接；对于涉及文化遗产保护的道路项目，应遵循相关保护规定，避免破坏古遗址、古墓葬等不可移动文物；鼓励利用现有道路资源进行升级或重建，以提高土地使用效率和环境保护水平。</w:t>
      </w:r>
    </w:p>
    <w:p w14:paraId="49464CF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村内集中污水处理设施的选址应集约用地，尽量避免拆迁，减少占地，并尽可能利用荒地和公共用地进行建设。选址不得占用永久基本农田、生态保护红线和饮用水水源保护区，并应满足水源保护区划定的要求。选址应位于居住区的夏季主导风向的下风向、村庄水系下游，并靠近受纳水体或农田灌溉区。选址宜选择在交通、运输及供水供电较为方便的地段，不宜靠近民房、学校、医院等敏感建筑，也不宜设置在低洼易涝区。</w:t>
      </w:r>
    </w:p>
    <w:p w14:paraId="280522B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村庄应充分利用天然水体作为消防水源，并因地制宜地建设消防取水设施。若利用天然水体困难，应结合村庄配水管网安排消防用水或设置消防水池。村庄应按规范设置消防通道，主要建筑物和公共场所应设置消防设施。</w:t>
      </w:r>
    </w:p>
    <w:p w14:paraId="2398111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充电站宜接近供电电源端，并便于供电电源线路的进出，宜采用两回线路供电。公共充电站应选择在进出车便利的场所，宜选择在城乡次干道路旁，且充电站进出口宜与城乡次干道路相连。充电桩不宜设置在有爆炸危险环境场所的正上方或正下方，不应设在有剧烈振动或高温的场所，不宜设在多尘、水雾或有腐蚀性气体的场所，不应设在室外地势低洼、易积水的场所和易发生次生灾害的地点。充电桩宜设在停车场内。</w:t>
      </w:r>
    </w:p>
    <w:p w14:paraId="2F4AA25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给水设施水源点选址应符合国家及地方水源保护条例的要求，不应破坏场地与周边原有水系的关系。在水源保护区范围内，不得修建厕所、化粪池和渗水坑。若有此类设施，应距水源取水口500米以上，且现有公共设施应进行污水防渗处理。</w:t>
      </w:r>
    </w:p>
    <w:p w14:paraId="773B4F1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6.垃圾收集点位置应固定，方便村民投放，并便于垃圾清运。</w:t>
      </w:r>
    </w:p>
    <w:p w14:paraId="116EE09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7.乡村其他公用设施的选址应符合国家和地方有关标准的规定。</w:t>
      </w:r>
    </w:p>
    <w:p w14:paraId="6C0FF637">
      <w:pPr>
        <w:pStyle w:val="4"/>
        <w:numPr>
          <w:ilvl w:val="2"/>
          <w:numId w:val="0"/>
        </w:numPr>
        <w:spacing w:before="160" w:after="80" w:line="240" w:lineRule="auto"/>
        <w:rPr>
          <w:rFonts w:ascii="Times New Roman" w:hAnsi="Times New Roman" w:eastAsia="仿宋" w:cs="Times New Roman"/>
          <w:bCs/>
          <w:color w:val="auto"/>
          <w:sz w:val="32"/>
          <w:szCs w:val="32"/>
          <w:highlight w:val="none"/>
        </w:rPr>
      </w:pPr>
      <w:r>
        <w:rPr>
          <w:rFonts w:hint="eastAsia" w:ascii="Times New Roman" w:hAnsi="Times New Roman" w:eastAsia="仿宋" w:cs="Times New Roman"/>
          <w:bCs/>
          <w:color w:val="auto"/>
          <w:sz w:val="32"/>
          <w:szCs w:val="32"/>
          <w:highlight w:val="none"/>
        </w:rPr>
        <w:t>第1</w:t>
      </w:r>
      <w:r>
        <w:rPr>
          <w:rFonts w:ascii="Times New Roman" w:hAnsi="Times New Roman" w:eastAsia="仿宋" w:cs="Times New Roman"/>
          <w:bCs/>
          <w:color w:val="auto"/>
          <w:sz w:val="32"/>
          <w:szCs w:val="32"/>
          <w:highlight w:val="none"/>
        </w:rPr>
        <w:t>3</w:t>
      </w:r>
      <w:r>
        <w:rPr>
          <w:rFonts w:hint="eastAsia" w:ascii="Times New Roman" w:hAnsi="Times New Roman" w:eastAsia="仿宋" w:cs="Times New Roman"/>
          <w:bCs/>
          <w:color w:val="auto"/>
          <w:sz w:val="32"/>
          <w:szCs w:val="32"/>
          <w:highlight w:val="none"/>
        </w:rPr>
        <w:t xml:space="preserve">条 </w:t>
      </w:r>
      <w:r>
        <w:rPr>
          <w:rFonts w:ascii="Times New Roman" w:hAnsi="Times New Roman" w:eastAsia="仿宋" w:cs="Times New Roman"/>
          <w:bCs/>
          <w:color w:val="auto"/>
          <w:sz w:val="32"/>
          <w:szCs w:val="32"/>
          <w:highlight w:val="none"/>
        </w:rPr>
        <w:t>乡村产业用地</w:t>
      </w:r>
      <w:bookmarkEnd w:id="51"/>
      <w:bookmarkEnd w:id="52"/>
      <w:bookmarkEnd w:id="53"/>
      <w:bookmarkEnd w:id="54"/>
    </w:p>
    <w:p w14:paraId="3507B9EF">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55" w:name="_Toc190633847"/>
      <w:bookmarkStart w:id="56" w:name="_Toc196318158"/>
      <w:r>
        <w:rPr>
          <w:rFonts w:hint="default" w:ascii="仿宋_GB2312" w:hAnsi="仿宋_GB2312" w:eastAsia="仿宋_GB2312" w:cs="仿宋_GB2312"/>
          <w:color w:val="auto"/>
          <w:highlight w:val="none"/>
          <w:lang w:val="en-US" w:eastAsia="zh-CN"/>
        </w:rPr>
        <w:t>除通用要求外，乡村产业用地布局还应符合以下要求：</w:t>
      </w:r>
    </w:p>
    <w:p w14:paraId="1693C7D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1.乡村产业严禁生产或制造危险化学品及其相关产物。乡村产业必须符合《产业结构调整指导目录（2024年本）》《自然资源要素支撑产业高质量发展指导目录（2024年本）》的要求。</w:t>
      </w:r>
    </w:p>
    <w:p w14:paraId="1564EC4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2.规模较大、工业化程度高、分散布局配套设施成本高的产业项目宜在产业园区内布局；具有一定规模的农产品加工宜在县城或有条件的乡镇城镇开发边界内集中布局。</w:t>
      </w:r>
    </w:p>
    <w:p w14:paraId="58C6C6E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直接服务种植养殖业的农产品加工、电子商务、仓储保鲜冷链、产地低温直销配送等产业原则上应集中在行政村村庄建设边界内。利用农村本地资源开展的农产品初加工、休闲观光旅游必需的配套设施，可在不占用永久基本农田和生态保护红线、不突破国土空间规划建设用地指标等约束条件、不破坏生态环境和乡村风貌的前提下，在村庄建设边界外安排少量建设用地。</w:t>
      </w:r>
    </w:p>
    <w:p w14:paraId="55E5818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4.乡村汽车加油加气站宜靠近公路布局，不宜选在公路交叉路口附近。汽车加油加气站的选址应符合有关规划、环境保护和防火安全的要求，并应选在交通便利、用户使用方便的地点。</w:t>
      </w:r>
    </w:p>
    <w:p w14:paraId="511B166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乡村产业项目可适当考虑用地兼容性。在符合国土空间规划确定的用地类型、控制性高度、乡村风貌、基础设施和用途管制要求、确保安全的前提下，鼓励对依法登记的宅基地等农村建设用地进行复合利用，发展乡村民宿、农产品初加工、电子商务、民俗体验、文化创意等乡村产业。鼓励乡村产业用地与其他用地功能合理布局，实现用地兼容。</w:t>
      </w:r>
    </w:p>
    <w:p w14:paraId="7615E8F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6.乡村产业项目原则上应为直接服务于乡村振兴和农村生产生活的项目，并符合村庄所在的</w:t>
      </w:r>
      <w:bookmarkStart w:id="57" w:name="OLE_LINK4"/>
      <w:r>
        <w:rPr>
          <w:rFonts w:hint="default" w:ascii="仿宋_GB2312" w:hAnsi="仿宋_GB2312" w:eastAsia="仿宋_GB2312" w:cs="仿宋_GB2312"/>
          <w:color w:val="auto"/>
          <w:highlight w:val="none"/>
          <w:lang w:val="en-US" w:eastAsia="zh-CN"/>
        </w:rPr>
        <w:t>乡镇</w:t>
      </w:r>
      <w:bookmarkEnd w:id="57"/>
      <w:r>
        <w:rPr>
          <w:rFonts w:hint="default" w:ascii="仿宋_GB2312" w:hAnsi="仿宋_GB2312" w:eastAsia="仿宋_GB2312" w:cs="仿宋_GB2312"/>
          <w:color w:val="auto"/>
          <w:highlight w:val="none"/>
          <w:lang w:val="en-US" w:eastAsia="zh-CN"/>
        </w:rPr>
        <w:t>主体功能定位和相关产业规划，不得违背产业准入负面清单，不得用于商品住宅、别墅、酒店、公寓等房地产开发。</w:t>
      </w:r>
    </w:p>
    <w:p w14:paraId="0338FD1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7.设施农业用地。设施农业用地选址须符合国土空间规划总体安排，优先使用荒山荒坡、滩涂、坑塘水面及农村闲置建设用地等非耕地或低效土地，禁止占用永久基本农田，避让生态保护红线等敏感区域，严格控制使用一般耕地，确需使用一般耕地的，应在年度内落实耕地“进出平衡”。</w:t>
      </w:r>
    </w:p>
    <w:p w14:paraId="3949046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8.矿业用地。采矿项目选址须符合国土空间规划总体安排，优先利用存量采矿用地或复垦修复腾退区域；城镇开发边界内原则上不新增采矿用地，确需零星布局的应纳入规划扩展倍数统筹核算。禁止占用自然保护地核心保护区；生态保护红线内自然保护地核心保护区外的区域，仅允许开展法律规定的、对生态功能不造成破坏的有限勘查开采活动。非战略性矿产新设矿业权原则上应避让永久基本农田（地热、矿泉水勘查开采确需占用且能确保不造成损毁的除外）；战略性矿产选址占用永久基本农田按国家重大建设项目相关规定管理，露天开采占用须报国务院审批，井下开采配套地面设施需符合国家规定用地标准。已设矿业权与永久基本农田空间重叠的，允许在原许可范围内办理延续、变更登记；申请扩大勘查开采范围或将开采矿种由战略性矿产变更为非战略性矿产的，重叠部分按新设矿业权要求执行。</w:t>
      </w:r>
    </w:p>
    <w:p w14:paraId="7AFD34C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9.产业准入正面清单</w:t>
      </w:r>
    </w:p>
    <w:p w14:paraId="7C2766E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（1）农副产品加工与制造</w:t>
      </w:r>
    </w:p>
    <w:p w14:paraId="2DFD330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允许布局农副食品加工业、木材加工及木制品业、手工艺美术品制造等乡村工业，优先利用存量建设用地或复垦修复腾退区域，鼓励集体建设用地入股（联营）开发。</w:t>
      </w:r>
    </w:p>
    <w:p w14:paraId="436FB05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（2）涉农物流仓储与商业服务</w:t>
      </w:r>
    </w:p>
    <w:p w14:paraId="3162BE3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支持建设储存农（林牧渔）产品及其加工产品的物流仓储用地；允许设置农（林牧渔）产品直销点、电商服务站等商业用地，鼓励在村庄规划兼容性条款内复合利用（兼容比例≤30%）。</w:t>
      </w:r>
    </w:p>
    <w:p w14:paraId="1308492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（3）乡村旅游配套设施</w:t>
      </w:r>
    </w:p>
    <w:p w14:paraId="03CD6B6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可为农村休闲观光旅游（含共享农庄）配套餐饮、民宿、旅游咨询中心、非遗展示馆、停车场等设施用地，地下空间允许开发停车及仓储功能。</w:t>
      </w:r>
    </w:p>
    <w:p w14:paraId="01FAA3C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（4）农业设施与混合用地</w:t>
      </w:r>
    </w:p>
    <w:p w14:paraId="5879406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允许使用农业设施建设用地（如温室大棚、养殖场）；支持</w:t>
      </w:r>
      <w:r>
        <w:rPr>
          <w:rFonts w:hint="eastAsia" w:ascii="仿宋_GB2312" w:hAnsi="仿宋_GB2312" w:eastAsia="仿宋_GB2312" w:cs="仿宋_GB2312"/>
          <w:color w:val="auto"/>
          <w:highlight w:val="none"/>
          <w:lang w:val="en-US" w:eastAsia="zh-CN"/>
        </w:rPr>
        <w:t>一二三产业融合</w:t>
      </w:r>
      <w:r>
        <w:rPr>
          <w:rFonts w:hint="default" w:ascii="仿宋_GB2312" w:hAnsi="仿宋_GB2312" w:eastAsia="仿宋_GB2312" w:cs="仿宋_GB2312"/>
          <w:color w:val="auto"/>
          <w:highlight w:val="none"/>
          <w:lang w:val="en-US" w:eastAsia="zh-CN"/>
        </w:rPr>
        <w:t>的混合用地，如“加工+观光”“仓储+销售”等复合业态。</w:t>
      </w:r>
    </w:p>
    <w:p w14:paraId="7587D78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（5）存量用地创新利用</w:t>
      </w:r>
    </w:p>
    <w:p w14:paraId="73A7B8F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城镇开发边界内原则上不新增乡村产业用地，确需零星布局的纳入城镇开发边界扩展倍数核算；利用存量房地资源的项目，5年内可暂按原用途管理。</w:t>
      </w:r>
    </w:p>
    <w:p w14:paraId="186856E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10.产业准入负面清单</w:t>
      </w:r>
    </w:p>
    <w:p w14:paraId="63553FC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（1）严禁</w:t>
      </w:r>
      <w:r>
        <w:rPr>
          <w:rFonts w:hint="eastAsia" w:ascii="仿宋_GB2312" w:hAnsi="仿宋_GB2312" w:eastAsia="仿宋_GB2312" w:cs="仿宋_GB2312"/>
          <w:color w:val="auto"/>
          <w:highlight w:val="none"/>
          <w:lang w:val="en-US" w:eastAsia="zh-CN"/>
        </w:rPr>
        <w:t>房地产</w:t>
      </w:r>
      <w:r>
        <w:rPr>
          <w:rFonts w:hint="default" w:ascii="仿宋_GB2312" w:hAnsi="仿宋_GB2312" w:eastAsia="仿宋_GB2312" w:cs="仿宋_GB2312"/>
          <w:color w:val="auto"/>
          <w:highlight w:val="none"/>
          <w:lang w:val="en-US" w:eastAsia="zh-CN"/>
        </w:rPr>
        <w:t>开发</w:t>
      </w:r>
    </w:p>
    <w:p w14:paraId="2AD08B3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禁止用于商品住宅、别墅、公寓、酒店（民宿除外）等房地产开发，不得擅自分割转让或转租。</w:t>
      </w:r>
    </w:p>
    <w:p w14:paraId="698E83B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（2）严守耕地与生态红线</w:t>
      </w:r>
    </w:p>
    <w:p w14:paraId="2B3206E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永久基本农田：严禁建房、建窑、挖塘造景、种植非粮作物；</w:t>
      </w:r>
    </w:p>
    <w:p w14:paraId="5412179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一般耕地：不得超标准建设绿化带、未经批准实施国土绿化；</w:t>
      </w:r>
    </w:p>
    <w:p w14:paraId="22CE12D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生态保护：禁止挖山填湖、毁林毁草、破坏水系及自然地貌。</w:t>
      </w:r>
    </w:p>
    <w:p w14:paraId="3DBBA37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（3）设施农业用地管控</w:t>
      </w:r>
    </w:p>
    <w:p w14:paraId="17CE112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严禁擅自将农业设施用地改为餐饮、娱乐等非农用途，大棚房问题“零容忍”。</w:t>
      </w:r>
    </w:p>
    <w:p w14:paraId="5582D43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（4）污染与落后产业禁入</w:t>
      </w:r>
    </w:p>
    <w:p w14:paraId="1CED8CD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国家淘汰类产能、高污染项目（如小冶炼、化工）不得进入乡村。</w:t>
      </w:r>
    </w:p>
    <w:p w14:paraId="3799ED2C">
      <w:pPr>
        <w:pStyle w:val="4"/>
        <w:numPr>
          <w:ilvl w:val="2"/>
          <w:numId w:val="0"/>
        </w:numPr>
        <w:spacing w:before="156" w:beforeLines="50" w:after="156" w:afterLines="50" w:line="240" w:lineRule="auto"/>
        <w:rPr>
          <w:rFonts w:hint="eastAsia" w:ascii="Times New Roman" w:hAnsi="Times New Roman" w:eastAsia="仿宋" w:cs="Times New Roman"/>
          <w:bCs/>
          <w:color w:val="auto"/>
          <w:sz w:val="32"/>
          <w:szCs w:val="32"/>
          <w:highlight w:val="none"/>
          <w:lang w:eastAsia="zh-CN"/>
        </w:rPr>
      </w:pPr>
      <w:r>
        <w:rPr>
          <w:rFonts w:hint="eastAsia" w:ascii="Times New Roman" w:hAnsi="Times New Roman" w:eastAsia="仿宋" w:cs="Times New Roman"/>
          <w:bCs/>
          <w:color w:val="auto"/>
          <w:sz w:val="32"/>
          <w:szCs w:val="32"/>
          <w:highlight w:val="none"/>
        </w:rPr>
        <w:t>第14条 特殊项目</w:t>
      </w:r>
      <w:bookmarkEnd w:id="55"/>
      <w:bookmarkEnd w:id="56"/>
    </w:p>
    <w:p w14:paraId="55FB2940">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乡村地区有特殊选址需求的项目，如殡葬设施、特殊教育学校、监狱等，其用地应符合上位国土空间总体规划或相关专项规划的要求，建设要求应按照相关规划执行。</w:t>
      </w:r>
    </w:p>
    <w:p w14:paraId="08BFEDCC">
      <w:pPr>
        <w:pStyle w:val="3"/>
        <w:keepNext/>
        <w:keepLines/>
        <w:pageBreakBefore w:val="0"/>
        <w:widowControl w:val="0"/>
        <w:kinsoku/>
        <w:wordWrap/>
        <w:overflowPunct/>
        <w:topLinePunct w:val="0"/>
        <w:autoSpaceDE/>
        <w:autoSpaceDN/>
        <w:bidi w:val="0"/>
        <w:adjustRightInd/>
        <w:snapToGrid/>
        <w:spacing w:before="240" w:after="240" w:line="360" w:lineRule="auto"/>
        <w:ind w:firstLine="643"/>
        <w:jc w:val="center"/>
        <w:textAlignment w:val="auto"/>
        <w:outlineLvl w:val="1"/>
        <w:rPr>
          <w:rFonts w:hint="eastAsia" w:ascii="仿宋_GB2312" w:hAnsi="仿宋_GB2312" w:eastAsia="仿宋_GB2312" w:cs="仿宋_GB2312"/>
          <w:b/>
          <w:bCs/>
          <w:color w:val="auto"/>
          <w:sz w:val="32"/>
          <w:szCs w:val="32"/>
          <w:highlight w:val="none"/>
        </w:rPr>
      </w:pPr>
      <w:bookmarkStart w:id="58" w:name="_Toc4139"/>
      <w:r>
        <w:rPr>
          <w:rFonts w:hint="eastAsia" w:ascii="仿宋_GB2312" w:hAnsi="仿宋_GB2312" w:eastAsia="仿宋_GB2312" w:cs="仿宋_GB2312"/>
          <w:b/>
          <w:bCs/>
          <w:color w:val="auto"/>
          <w:sz w:val="32"/>
          <w:szCs w:val="32"/>
          <w:highlight w:val="none"/>
        </w:rPr>
        <w:t>第三节 建设控制</w:t>
      </w:r>
      <w:bookmarkEnd w:id="42"/>
      <w:bookmarkEnd w:id="43"/>
      <w:bookmarkEnd w:id="58"/>
    </w:p>
    <w:p w14:paraId="1C476FF4">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59" w:name="_Toc23305"/>
      <w:r>
        <w:rPr>
          <w:rFonts w:hint="eastAsia" w:ascii="仿宋_GB2312" w:hAnsi="仿宋_GB2312" w:eastAsia="仿宋_GB2312" w:cs="仿宋_GB2312"/>
          <w:b/>
          <w:bCs/>
          <w:color w:val="auto"/>
          <w:sz w:val="32"/>
          <w:szCs w:val="32"/>
          <w:highlight w:val="none"/>
        </w:rPr>
        <w:t>第1</w:t>
      </w:r>
      <w:r>
        <w:rPr>
          <w:rFonts w:hint="eastAsia" w:ascii="仿宋_GB2312" w:hAnsi="仿宋_GB2312" w:eastAsia="仿宋_GB2312" w:cs="仿宋_GB2312"/>
          <w:b/>
          <w:bCs/>
          <w:color w:val="auto"/>
          <w:sz w:val="32"/>
          <w:szCs w:val="32"/>
          <w:highlight w:val="none"/>
          <w:lang w:val="en-US" w:eastAsia="zh-CN"/>
        </w:rPr>
        <w:t>5</w:t>
      </w:r>
      <w:r>
        <w:rPr>
          <w:rFonts w:hint="eastAsia" w:ascii="仿宋_GB2312" w:hAnsi="仿宋_GB2312" w:eastAsia="仿宋_GB2312" w:cs="仿宋_GB2312"/>
          <w:b/>
          <w:bCs/>
          <w:color w:val="auto"/>
          <w:sz w:val="32"/>
          <w:szCs w:val="32"/>
          <w:highlight w:val="none"/>
        </w:rPr>
        <w:t>条 村庄建设用地</w:t>
      </w:r>
      <w:bookmarkEnd w:id="59"/>
      <w:r>
        <w:rPr>
          <w:rFonts w:hint="eastAsia" w:ascii="仿宋_GB2312" w:hAnsi="仿宋_GB2312" w:eastAsia="仿宋_GB2312" w:cs="仿宋_GB2312"/>
          <w:b/>
          <w:bCs/>
          <w:color w:val="auto"/>
          <w:sz w:val="32"/>
          <w:szCs w:val="32"/>
          <w:highlight w:val="none"/>
        </w:rPr>
        <w:t>建设标准</w:t>
      </w:r>
    </w:p>
    <w:p w14:paraId="4DC7657A">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1.村民住宅建设标准</w:t>
      </w:r>
    </w:p>
    <w:p w14:paraId="2008233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严格落实“一户一宅”规定。村民宅基地面积，城镇规划区控制范围内，农村村民户均宅基地指导批建面积在100平方米以内，最高不超过120平方米;建筑面积和建筑高度按新旧城区控制性详细规划执行。</w:t>
      </w:r>
    </w:p>
    <w:p w14:paraId="2EEC1A1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城镇建设边界范围外,农村村民户均宅基地面积不得超过150平方米，新建、改建、扩建农房在符合规定宅基地用地面积前提下，每户建筑面积不得超过450平方米</w:t>
      </w:r>
      <w:r>
        <w:rPr>
          <w:rFonts w:hint="eastAsia" w:ascii="仿宋_GB2312" w:hAnsi="仿宋_GB2312" w:eastAsia="仿宋_GB2312" w:cs="仿宋_GB2312"/>
          <w:color w:val="auto"/>
          <w:highlight w:val="none"/>
          <w:lang w:val="en-US" w:eastAsia="zh-CN"/>
        </w:rPr>
        <w:t>。</w:t>
      </w:r>
    </w:p>
    <w:p w14:paraId="1EA118D7">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bookmarkStart w:id="60" w:name="_Toc32300"/>
      <w:bookmarkStart w:id="61" w:name="_Toc6006"/>
      <w:bookmarkStart w:id="62" w:name="_Toc183721555"/>
      <w:bookmarkStart w:id="63" w:name="_Toc196318162"/>
      <w:bookmarkStart w:id="64" w:name="_Toc28122"/>
      <w:bookmarkStart w:id="65" w:name="_Toc17532"/>
      <w:r>
        <w:rPr>
          <w:rFonts w:hint="default" w:ascii="仿宋_GB2312" w:hAnsi="仿宋_GB2312" w:eastAsia="仿宋_GB2312" w:cs="仿宋_GB2312"/>
          <w:color w:val="auto"/>
          <w:sz w:val="32"/>
          <w:szCs w:val="32"/>
          <w:highlight w:val="none"/>
          <w:lang w:val="en-US" w:eastAsia="zh-CN"/>
        </w:rPr>
        <w:t>2.乡村公共服务设施</w:t>
      </w:r>
    </w:p>
    <w:p w14:paraId="29BAAF1E">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66" w:name="_Toc13495"/>
      <w:r>
        <w:rPr>
          <w:rFonts w:hint="default" w:ascii="仿宋_GB2312" w:hAnsi="仿宋_GB2312" w:eastAsia="仿宋_GB2312" w:cs="仿宋_GB2312"/>
          <w:color w:val="auto"/>
          <w:highlight w:val="none"/>
          <w:lang w:val="en-US" w:eastAsia="zh-CN"/>
        </w:rPr>
        <w:t>（1）村级公共服务中心原则上不超过3层，具体按照审查通过的建设工程设计方案确定的层数和建筑高度执行。</w:t>
      </w:r>
    </w:p>
    <w:p w14:paraId="5C36877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（2）农村小学的主要教学用房不应设在4层以上；农村幼儿园生活用房应布置在3层及以下，幼儿园的建设应符合《托儿所、幼儿园建筑设计规范》（JGJ 39-2016）（2019年局部修订）、《幼儿园建设标准（建标175-2016）》《广西壮族自治区建设用地控制指标（2021年修订）》等相关要求和建设标准。</w:t>
      </w:r>
    </w:p>
    <w:p w14:paraId="2541BFA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（3）村卫生室建设面积、功能分区、外观标识应达到《广西村卫生室规范化建设设计手册》规定的标准和要求，原则上每个村卫生室的建筑面积不少于80平</w:t>
      </w:r>
      <w:r>
        <w:rPr>
          <w:rFonts w:hint="eastAsia" w:ascii="仿宋_GB2312" w:hAnsi="仿宋_GB2312" w:eastAsia="仿宋_GB2312" w:cs="仿宋_GB2312"/>
          <w:color w:val="auto"/>
          <w:highlight w:val="none"/>
          <w:lang w:val="en-US" w:eastAsia="zh-CN"/>
        </w:rPr>
        <w:t>方米</w:t>
      </w:r>
      <w:r>
        <w:rPr>
          <w:rFonts w:hint="default" w:ascii="仿宋_GB2312" w:hAnsi="仿宋_GB2312" w:eastAsia="仿宋_GB2312" w:cs="仿宋_GB2312"/>
          <w:color w:val="auto"/>
          <w:highlight w:val="none"/>
          <w:lang w:val="en-US" w:eastAsia="zh-CN"/>
        </w:rPr>
        <w:t>，服务人口多的，应适当增加建筑面积。</w:t>
      </w:r>
    </w:p>
    <w:p w14:paraId="2F1DA84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（4）老年活动室、老年人日间照料中心、文化活动室、健身广场、便利店、金融电信服务点、村务室、物流配送点、村级客运站点、公交站点等村级社区生活圈服务要素按照《社区生活圈规划技术指南》（TD/T 1062-2021）有关要求和建设标准设置。服务要素合并设置于村级公共服务中心的，还应满足《广西农村公共服务中心建设工程指导手册》的相关要求。</w:t>
      </w:r>
    </w:p>
    <w:p w14:paraId="14CB7EDA">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3.乡村基础与公用设施</w:t>
      </w:r>
      <w:bookmarkEnd w:id="66"/>
    </w:p>
    <w:p w14:paraId="4ECF3DC7">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（1）环卫设施</w:t>
      </w:r>
    </w:p>
    <w:p w14:paraId="0BAE5D47">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highlight w:val="none"/>
          <w:lang w:val="en-US" w:eastAsia="zh-CN"/>
        </w:rPr>
        <w:t>公厕宜选址在公共场所附近及人口较集中的区域。附属式公厕的面积宜控制在20至70平方米，独立式公厕的面积宜控制在25至90平方米。垃圾收集容器的服务半径不宜大于70米。村庄垃圾应逐步实现分类收集、封闭运输、无害化处理和资源化利用。环卫设施的选址建设应征得周边利害</w:t>
      </w:r>
      <w:r>
        <w:rPr>
          <w:rFonts w:hint="eastAsia" w:ascii="仿宋_GB2312" w:hAnsi="仿宋_GB2312" w:eastAsia="仿宋_GB2312" w:cs="仿宋_GB2312"/>
          <w:b w:val="0"/>
          <w:bCs w:val="0"/>
          <w:color w:val="auto"/>
          <w:highlight w:val="none"/>
          <w:lang w:val="en-US" w:eastAsia="zh-CN"/>
        </w:rPr>
        <w:t>关系人的同意。</w:t>
      </w:r>
    </w:p>
    <w:p w14:paraId="066E2933">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（2）雨水管网</w:t>
      </w:r>
    </w:p>
    <w:p w14:paraId="127D05D6">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农村建筑四周宜设置排水沟渠，并与村内排水管沟相连接。排水沟渠的纵坡宜不小于0.3%，其宽度和深度应根据降雨量确定。农村建筑屋面宜设置雨水排水管道，并与房屋四周的排水沟渠（管道）连接。雨水排水沟（管）渠的材料可根据地方实际选用混凝土或砖石、鹅卵石、条石、管道等材料。在保证排水顺畅的前提下，可结合排水沟渠的形式，进行沿沟（渠）绿化。</w:t>
      </w:r>
    </w:p>
    <w:p w14:paraId="0624FF29">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（3）污水管网</w:t>
      </w:r>
    </w:p>
    <w:p w14:paraId="112A3FB8">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农村建筑内生活污水收集宜采用暗管形式，集中收集生活污水。排污管道可根据地方实际选择混凝土管、塑料管等材料。农村建筑内化粪池污水排出管道的管径宜不小于100毫米，炊事、洗衣、洗浴等污水排出管道的管径宜不小于50毫米。污水管宜呈直线布置，排水管宜以短距离与通往村内污水处理设施的管网相连接。农村建筑内污水管道不得敷设在生活饮用水池（箱）上方，不得布置在遇水会引起燃烧、爆炸的原料、产品和设备的上面。污水管应尽量避免与其他管道或设备交叉。</w:t>
      </w:r>
    </w:p>
    <w:p w14:paraId="2219F971">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（4）污水处理</w:t>
      </w:r>
    </w:p>
    <w:p w14:paraId="6D223A82">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农村建筑生活污水不得直接外排，宜经过污水处理设施处理达标后排放。农村户内化粪池的选址应避开主房，宜建在居室、厨房的下风向，并离水井、河道或其它地下取水构筑物30米以上，离农村饮用水水源地50米以上且禁止排入。</w:t>
      </w:r>
    </w:p>
    <w:p w14:paraId="5DE0FFA0">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（5）架空线路</w:t>
      </w:r>
    </w:p>
    <w:p w14:paraId="68F1058C">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村庄内电力、电信线路的架设应符合《电力安全工作规程》的要求，电信线路宜进行集中梳理、捆扎或套管处理。同时对架空线路进行整理，保证架空线路整齐划一，保持横向水平，纵向垂直，统一靠墙设置。沿墙体敷设的线路宜采用入槽盒、线杆等方式进行有序规整，符合安全要求及横平竖直美观要求。强电线路宜高于弱电线路，中压线路与弱电线路的垂直距离不小于2.5米，低压线路与弱电线路的垂直距离不小于1.5米。</w:t>
      </w:r>
    </w:p>
    <w:p w14:paraId="407D7B50">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（6）公共区域照明</w:t>
      </w:r>
    </w:p>
    <w:p w14:paraId="58C208BA">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完善公共活动空间和道路照明设施。沿村庄主要道路宜设置路灯。</w:t>
      </w:r>
    </w:p>
    <w:p w14:paraId="0F915DD6">
      <w:pPr>
        <w:widowControl/>
        <w:snapToGrid/>
        <w:spacing w:line="240" w:lineRule="auto"/>
        <w:ind w:firstLine="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（7）其他</w:t>
      </w:r>
    </w:p>
    <w:p w14:paraId="7C51130B">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给水管网、雨水管网、污水管网布置要求、管径大小，供电工程、通信工程布线方式和走向，以及架空线路等基础设施建设要求，村庄规划有规定的从其规定，未规定的需符合项目可行性研究报告。</w:t>
      </w:r>
    </w:p>
    <w:p w14:paraId="0858551D">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4.乡村产业</w:t>
      </w:r>
    </w:p>
    <w:p w14:paraId="28A8BB9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乡村产业项目可参照下表确定控制指标。项目建设单位应按照建设项目规划许可流程进行审查报批，明确规划设计条件，并根据该设计条件形成建设工程设计方案，报县自然资源局审批后实施。</w:t>
      </w:r>
    </w:p>
    <w:p w14:paraId="65545C9B">
      <w:pPr>
        <w:keepNext w:val="0"/>
        <w:keepLines w:val="0"/>
        <w:pageBreakBefore w:val="0"/>
        <w:widowControl w:val="0"/>
        <w:shd w:val="clear"/>
        <w:kinsoku/>
        <w:wordWrap/>
        <w:overflowPunct/>
        <w:topLinePunct w:val="0"/>
        <w:autoSpaceDE/>
        <w:autoSpaceDN/>
        <w:bidi w:val="0"/>
        <w:adjustRightInd w:val="0"/>
        <w:snapToGrid w:val="0"/>
        <w:spacing w:line="520" w:lineRule="exact"/>
        <w:ind w:firstLine="0"/>
        <w:jc w:val="center"/>
        <w:textAlignment w:val="auto"/>
        <w:rPr>
          <w:rFonts w:hint="default" w:ascii="Times New Roman" w:hAnsi="Times New Roman" w:eastAsia="仿宋_GB2312" w:cs="Times New Roman"/>
          <w:snapToGrid w:val="0"/>
          <w:color w:val="auto"/>
          <w:kern w:val="0"/>
          <w:sz w:val="28"/>
          <w:szCs w:val="28"/>
          <w:highlight w:val="none"/>
        </w:rPr>
      </w:pPr>
      <w:r>
        <w:rPr>
          <w:rFonts w:hint="eastAsia" w:ascii="仿宋_GB2312" w:hAnsi="仿宋_GB2312" w:eastAsia="仿宋_GB2312" w:cs="仿宋_GB2312"/>
          <w:snapToGrid w:val="0"/>
          <w:color w:val="auto"/>
          <w:kern w:val="0"/>
          <w:sz w:val="32"/>
          <w:szCs w:val="32"/>
          <w:highlight w:val="none"/>
        </w:rPr>
        <w:t>表</w:t>
      </w:r>
      <w:r>
        <w:rPr>
          <w:rFonts w:hint="eastAsia" w:ascii="仿宋_GB2312" w:hAnsi="仿宋_GB2312" w:eastAsia="仿宋_GB2312" w:cs="仿宋_GB2312"/>
          <w:snapToGrid w:val="0"/>
          <w:color w:val="auto"/>
          <w:kern w:val="0"/>
          <w:sz w:val="32"/>
          <w:szCs w:val="32"/>
          <w:highlight w:val="none"/>
          <w:lang w:val="en-US" w:eastAsia="zh-CN"/>
        </w:rPr>
        <w:t>1</w:t>
      </w:r>
      <w:r>
        <w:rPr>
          <w:rFonts w:hint="eastAsia" w:ascii="仿宋_GB2312" w:hAnsi="仿宋_GB2312" w:eastAsia="仿宋_GB2312" w:cs="仿宋_GB2312"/>
          <w:snapToGrid w:val="0"/>
          <w:color w:val="auto"/>
          <w:kern w:val="0"/>
          <w:sz w:val="32"/>
          <w:szCs w:val="32"/>
          <w:highlight w:val="none"/>
        </w:rPr>
        <w:t xml:space="preserve"> 乡村产业项目建设用地面积指标表</w:t>
      </w:r>
    </w:p>
    <w:tbl>
      <w:tblPr>
        <w:tblStyle w:val="18"/>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368"/>
        <w:gridCol w:w="966"/>
        <w:gridCol w:w="1819"/>
        <w:gridCol w:w="1445"/>
      </w:tblGrid>
      <w:tr w14:paraId="50E7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blHeader/>
          <w:jc w:val="center"/>
        </w:trPr>
        <w:tc>
          <w:tcPr>
            <w:tcW w:w="2499" w:type="pct"/>
            <w:gridSpan w:val="2"/>
            <w:vAlign w:val="center"/>
          </w:tcPr>
          <w:p w14:paraId="610946E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jc w:val="center"/>
              <w:textAlignment w:val="auto"/>
              <w:rPr>
                <w:rFonts w:hint="eastAsia" w:ascii="仿宋_GB2312" w:hAnsi="仿宋_GB2312" w:eastAsia="仿宋_GB2312" w:cs="仿宋_GB2312"/>
                <w:b/>
                <w:bCs/>
                <w:snapToGrid w:val="0"/>
                <w:color w:val="auto"/>
                <w:kern w:val="0"/>
                <w:sz w:val="24"/>
                <w:szCs w:val="24"/>
                <w:highlight w:val="none"/>
              </w:rPr>
            </w:pPr>
            <w:r>
              <w:rPr>
                <w:rFonts w:hint="eastAsia" w:ascii="仿宋_GB2312" w:hAnsi="仿宋_GB2312" w:eastAsia="仿宋_GB2312" w:cs="仿宋_GB2312"/>
                <w:b/>
                <w:bCs/>
                <w:snapToGrid w:val="0"/>
                <w:color w:val="auto"/>
                <w:kern w:val="0"/>
                <w:sz w:val="24"/>
                <w:szCs w:val="24"/>
                <w:highlight w:val="none"/>
              </w:rPr>
              <w:t>类别</w:t>
            </w:r>
          </w:p>
        </w:tc>
        <w:tc>
          <w:tcPr>
            <w:tcW w:w="571" w:type="pct"/>
            <w:vAlign w:val="center"/>
          </w:tcPr>
          <w:p w14:paraId="53BAB74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snapToGrid w:val="0"/>
                <w:color w:val="auto"/>
                <w:kern w:val="0"/>
                <w:sz w:val="24"/>
                <w:szCs w:val="24"/>
                <w:highlight w:val="none"/>
              </w:rPr>
            </w:pPr>
            <w:r>
              <w:rPr>
                <w:rFonts w:hint="eastAsia" w:ascii="仿宋_GB2312" w:hAnsi="仿宋_GB2312" w:eastAsia="仿宋_GB2312" w:cs="仿宋_GB2312"/>
                <w:b/>
                <w:bCs/>
                <w:snapToGrid w:val="0"/>
                <w:color w:val="auto"/>
                <w:kern w:val="0"/>
                <w:sz w:val="24"/>
                <w:szCs w:val="24"/>
                <w:highlight w:val="none"/>
              </w:rPr>
              <w:t>容积率</w:t>
            </w:r>
          </w:p>
        </w:tc>
        <w:tc>
          <w:tcPr>
            <w:tcW w:w="1075" w:type="pct"/>
            <w:vAlign w:val="center"/>
          </w:tcPr>
          <w:p w14:paraId="4F6A688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snapToGrid w:val="0"/>
                <w:color w:val="auto"/>
                <w:kern w:val="0"/>
                <w:sz w:val="24"/>
                <w:szCs w:val="24"/>
                <w:highlight w:val="none"/>
                <w:lang w:val="en-US" w:eastAsia="zh-CN"/>
              </w:rPr>
            </w:pPr>
            <w:r>
              <w:rPr>
                <w:rFonts w:hint="eastAsia" w:ascii="仿宋_GB2312" w:hAnsi="仿宋_GB2312" w:eastAsia="仿宋_GB2312" w:cs="仿宋_GB2312"/>
                <w:b/>
                <w:bCs/>
                <w:snapToGrid w:val="0"/>
                <w:color w:val="auto"/>
                <w:kern w:val="0"/>
                <w:sz w:val="24"/>
                <w:szCs w:val="24"/>
                <w:highlight w:val="none"/>
              </w:rPr>
              <w:t>建筑密度</w:t>
            </w:r>
            <w:r>
              <w:rPr>
                <w:rFonts w:hint="eastAsia" w:ascii="仿宋_GB2312" w:hAnsi="仿宋_GB2312" w:eastAsia="仿宋_GB2312" w:cs="仿宋_GB2312"/>
                <w:b/>
                <w:bCs/>
                <w:snapToGrid w:val="0"/>
                <w:color w:val="auto"/>
                <w:kern w:val="0"/>
                <w:sz w:val="24"/>
                <w:szCs w:val="24"/>
                <w:highlight w:val="none"/>
                <w:lang w:val="en-US" w:eastAsia="zh-CN"/>
              </w:rPr>
              <w:t>/系数</w:t>
            </w:r>
          </w:p>
        </w:tc>
        <w:tc>
          <w:tcPr>
            <w:tcW w:w="854" w:type="pct"/>
            <w:vAlign w:val="center"/>
          </w:tcPr>
          <w:p w14:paraId="48EE9FC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snapToGrid w:val="0"/>
                <w:color w:val="auto"/>
                <w:kern w:val="0"/>
                <w:sz w:val="24"/>
                <w:szCs w:val="24"/>
                <w:highlight w:val="none"/>
              </w:rPr>
            </w:pPr>
            <w:r>
              <w:rPr>
                <w:rFonts w:hint="eastAsia" w:ascii="仿宋_GB2312" w:hAnsi="仿宋_GB2312" w:eastAsia="仿宋_GB2312" w:cs="仿宋_GB2312"/>
                <w:b/>
                <w:bCs/>
                <w:snapToGrid w:val="0"/>
                <w:color w:val="auto"/>
                <w:kern w:val="0"/>
                <w:sz w:val="24"/>
                <w:szCs w:val="24"/>
                <w:highlight w:val="none"/>
              </w:rPr>
              <w:t>建筑高度</w:t>
            </w:r>
          </w:p>
        </w:tc>
      </w:tr>
      <w:tr w14:paraId="62BC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508" w:type="pct"/>
            <w:vAlign w:val="center"/>
          </w:tcPr>
          <w:p w14:paraId="3AB413D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工业</w:t>
            </w:r>
          </w:p>
        </w:tc>
        <w:tc>
          <w:tcPr>
            <w:tcW w:w="1990" w:type="pct"/>
            <w:vAlign w:val="center"/>
          </w:tcPr>
          <w:p w14:paraId="55F1555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一类工业用地</w:t>
            </w:r>
          </w:p>
          <w:p w14:paraId="1B4A008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二类工业用地</w:t>
            </w:r>
          </w:p>
        </w:tc>
        <w:tc>
          <w:tcPr>
            <w:tcW w:w="571" w:type="pct"/>
            <w:vAlign w:val="center"/>
          </w:tcPr>
          <w:p w14:paraId="523A4B5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snapToGrid w:val="0"/>
                <w:color w:val="auto"/>
                <w:kern w:val="0"/>
                <w:sz w:val="24"/>
                <w:szCs w:val="24"/>
                <w:highlight w:val="none"/>
              </w:rPr>
              <w:t>≥0.</w:t>
            </w:r>
            <w:r>
              <w:rPr>
                <w:rFonts w:hint="eastAsia" w:ascii="仿宋_GB2312" w:hAnsi="仿宋_GB2312" w:eastAsia="仿宋_GB2312" w:cs="仿宋_GB2312"/>
                <w:snapToGrid w:val="0"/>
                <w:color w:val="auto"/>
                <w:kern w:val="0"/>
                <w:sz w:val="24"/>
                <w:szCs w:val="24"/>
                <w:highlight w:val="none"/>
                <w:lang w:val="en-US" w:eastAsia="zh-CN"/>
              </w:rPr>
              <w:t>8</w:t>
            </w:r>
          </w:p>
        </w:tc>
        <w:tc>
          <w:tcPr>
            <w:tcW w:w="1075" w:type="pct"/>
            <w:vAlign w:val="center"/>
          </w:tcPr>
          <w:p w14:paraId="289871C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4</w:t>
            </w:r>
            <w:r>
              <w:rPr>
                <w:rFonts w:hint="eastAsia" w:ascii="仿宋_GB2312" w:hAnsi="仿宋_GB2312" w:eastAsia="仿宋_GB2312" w:cs="仿宋_GB2312"/>
                <w:snapToGrid w:val="0"/>
                <w:color w:val="auto"/>
                <w:kern w:val="0"/>
                <w:sz w:val="24"/>
                <w:szCs w:val="24"/>
                <w:highlight w:val="none"/>
              </w:rPr>
              <w:t>0%</w:t>
            </w:r>
          </w:p>
        </w:tc>
        <w:tc>
          <w:tcPr>
            <w:tcW w:w="854" w:type="pct"/>
            <w:vAlign w:val="center"/>
          </w:tcPr>
          <w:p w14:paraId="404A151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≤24米</w:t>
            </w:r>
          </w:p>
        </w:tc>
      </w:tr>
      <w:tr w14:paraId="37CB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508" w:type="pct"/>
            <w:vAlign w:val="center"/>
          </w:tcPr>
          <w:p w14:paraId="2142BA6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物流仓储</w:t>
            </w:r>
          </w:p>
        </w:tc>
        <w:tc>
          <w:tcPr>
            <w:tcW w:w="1990" w:type="pct"/>
            <w:vAlign w:val="center"/>
          </w:tcPr>
          <w:p w14:paraId="5EF0D04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一类物流仓储用地</w:t>
            </w:r>
          </w:p>
          <w:p w14:paraId="02F0271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二类物流仓储用地</w:t>
            </w:r>
          </w:p>
        </w:tc>
        <w:tc>
          <w:tcPr>
            <w:tcW w:w="571" w:type="pct"/>
            <w:vAlign w:val="center"/>
          </w:tcPr>
          <w:p w14:paraId="41C1E01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snapToGrid w:val="0"/>
                <w:color w:val="auto"/>
                <w:kern w:val="0"/>
                <w:sz w:val="24"/>
                <w:szCs w:val="24"/>
                <w:highlight w:val="none"/>
              </w:rPr>
              <w:t>≥0.</w:t>
            </w:r>
            <w:r>
              <w:rPr>
                <w:rFonts w:hint="eastAsia" w:ascii="仿宋_GB2312" w:hAnsi="仿宋_GB2312" w:eastAsia="仿宋_GB2312" w:cs="仿宋_GB2312"/>
                <w:snapToGrid w:val="0"/>
                <w:color w:val="auto"/>
                <w:kern w:val="0"/>
                <w:sz w:val="24"/>
                <w:szCs w:val="24"/>
                <w:highlight w:val="none"/>
                <w:lang w:val="en-US" w:eastAsia="zh-CN"/>
              </w:rPr>
              <w:t>8</w:t>
            </w:r>
          </w:p>
        </w:tc>
        <w:tc>
          <w:tcPr>
            <w:tcW w:w="1075" w:type="pct"/>
            <w:vAlign w:val="center"/>
          </w:tcPr>
          <w:p w14:paraId="3CC28AA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≥40%</w:t>
            </w:r>
          </w:p>
        </w:tc>
        <w:tc>
          <w:tcPr>
            <w:tcW w:w="854" w:type="pct"/>
            <w:vAlign w:val="center"/>
          </w:tcPr>
          <w:p w14:paraId="3FA82D2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≤24米</w:t>
            </w:r>
          </w:p>
        </w:tc>
      </w:tr>
      <w:tr w14:paraId="50F9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08" w:type="pct"/>
            <w:vMerge w:val="restart"/>
            <w:vAlign w:val="center"/>
          </w:tcPr>
          <w:p w14:paraId="2CA0301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商业服务业</w:t>
            </w:r>
          </w:p>
        </w:tc>
        <w:tc>
          <w:tcPr>
            <w:tcW w:w="1990" w:type="pct"/>
            <w:vAlign w:val="center"/>
          </w:tcPr>
          <w:p w14:paraId="4EF63F50">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以农产品批发零售为主的市场</w:t>
            </w:r>
          </w:p>
        </w:tc>
        <w:tc>
          <w:tcPr>
            <w:tcW w:w="571" w:type="pct"/>
            <w:vAlign w:val="center"/>
          </w:tcPr>
          <w:p w14:paraId="27AE7A4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≤1.5</w:t>
            </w:r>
          </w:p>
        </w:tc>
        <w:tc>
          <w:tcPr>
            <w:tcW w:w="1075" w:type="pct"/>
            <w:vAlign w:val="center"/>
          </w:tcPr>
          <w:p w14:paraId="6BEDAA3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snapToGrid w:val="0"/>
                <w:color w:val="auto"/>
                <w:kern w:val="0"/>
                <w:sz w:val="24"/>
                <w:szCs w:val="24"/>
                <w:highlight w:val="none"/>
                <w:lang w:eastAsia="zh-CN"/>
              </w:rPr>
              <w:t>—</w:t>
            </w:r>
          </w:p>
        </w:tc>
        <w:tc>
          <w:tcPr>
            <w:tcW w:w="854" w:type="pct"/>
            <w:vAlign w:val="center"/>
          </w:tcPr>
          <w:p w14:paraId="3B4C6CA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24</w:t>
            </w:r>
            <w:r>
              <w:rPr>
                <w:rFonts w:hint="eastAsia" w:ascii="仿宋_GB2312" w:hAnsi="仿宋_GB2312" w:eastAsia="仿宋_GB2312" w:cs="仿宋_GB2312"/>
                <w:snapToGrid w:val="0"/>
                <w:color w:val="auto"/>
                <w:kern w:val="0"/>
                <w:sz w:val="24"/>
                <w:szCs w:val="24"/>
                <w:highlight w:val="none"/>
              </w:rPr>
              <w:t>米</w:t>
            </w:r>
          </w:p>
        </w:tc>
      </w:tr>
      <w:tr w14:paraId="486E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08" w:type="pct"/>
            <w:vMerge w:val="continue"/>
            <w:vAlign w:val="center"/>
          </w:tcPr>
          <w:p w14:paraId="2136FB8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p>
        </w:tc>
        <w:tc>
          <w:tcPr>
            <w:tcW w:w="1990" w:type="pct"/>
            <w:vAlign w:val="center"/>
          </w:tcPr>
          <w:p w14:paraId="4AE71B3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服务于乡村旅游的农家乐、民宿旅馆、饭店餐馆等接待设施</w:t>
            </w:r>
          </w:p>
        </w:tc>
        <w:tc>
          <w:tcPr>
            <w:tcW w:w="571" w:type="pct"/>
            <w:vAlign w:val="center"/>
          </w:tcPr>
          <w:p w14:paraId="4616ADD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4</w:t>
            </w:r>
            <w:r>
              <w:rPr>
                <w:rFonts w:hint="eastAsia" w:ascii="仿宋_GB2312" w:hAnsi="仿宋_GB2312" w:eastAsia="仿宋_GB2312" w:cs="仿宋_GB2312"/>
                <w:snapToGrid w:val="0"/>
                <w:color w:val="auto"/>
                <w:kern w:val="0"/>
                <w:sz w:val="24"/>
                <w:szCs w:val="24"/>
                <w:highlight w:val="none"/>
              </w:rPr>
              <w:t>.0</w:t>
            </w:r>
          </w:p>
        </w:tc>
        <w:tc>
          <w:tcPr>
            <w:tcW w:w="1075" w:type="pct"/>
            <w:vAlign w:val="center"/>
          </w:tcPr>
          <w:p w14:paraId="2095D53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eastAsia="zh-CN"/>
              </w:rPr>
              <w:t>—</w:t>
            </w:r>
          </w:p>
        </w:tc>
        <w:tc>
          <w:tcPr>
            <w:tcW w:w="854" w:type="pct"/>
            <w:vAlign w:val="center"/>
          </w:tcPr>
          <w:p w14:paraId="24EFE48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≤24米</w:t>
            </w:r>
          </w:p>
        </w:tc>
      </w:tr>
      <w:tr w14:paraId="6A20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508" w:type="pct"/>
            <w:vMerge w:val="continue"/>
            <w:vAlign w:val="center"/>
          </w:tcPr>
          <w:p w14:paraId="56B327C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p>
        </w:tc>
        <w:tc>
          <w:tcPr>
            <w:tcW w:w="1990" w:type="pct"/>
            <w:vAlign w:val="center"/>
          </w:tcPr>
          <w:p w14:paraId="18D7285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服务于村庄的小超市、网吧、理发店、汽修店、电子产品和日用产品修理店、废品回收站、快递物流和农村电子商务网点等商业设施</w:t>
            </w:r>
          </w:p>
        </w:tc>
        <w:tc>
          <w:tcPr>
            <w:tcW w:w="571" w:type="pct"/>
            <w:vAlign w:val="center"/>
          </w:tcPr>
          <w:p w14:paraId="3C70292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1.6</w:t>
            </w:r>
          </w:p>
        </w:tc>
        <w:tc>
          <w:tcPr>
            <w:tcW w:w="1075" w:type="pct"/>
            <w:vAlign w:val="center"/>
          </w:tcPr>
          <w:p w14:paraId="0E84EBE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eastAsia="zh-CN"/>
              </w:rPr>
              <w:t>—</w:t>
            </w:r>
          </w:p>
        </w:tc>
        <w:tc>
          <w:tcPr>
            <w:tcW w:w="854" w:type="pct"/>
            <w:vAlign w:val="center"/>
          </w:tcPr>
          <w:p w14:paraId="4062ABE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≤12米</w:t>
            </w:r>
          </w:p>
        </w:tc>
      </w:tr>
      <w:tr w14:paraId="5C69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508" w:type="pct"/>
            <w:vMerge w:val="continue"/>
            <w:vAlign w:val="center"/>
          </w:tcPr>
          <w:p w14:paraId="7893486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p>
        </w:tc>
        <w:tc>
          <w:tcPr>
            <w:tcW w:w="1990" w:type="pct"/>
            <w:vAlign w:val="center"/>
          </w:tcPr>
          <w:p w14:paraId="4E1230B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服务于乡村旅游的游客接待中心、科普教育、采摘助养、绿道驿站等文旅设施</w:t>
            </w:r>
          </w:p>
        </w:tc>
        <w:tc>
          <w:tcPr>
            <w:tcW w:w="571" w:type="pct"/>
            <w:vAlign w:val="center"/>
          </w:tcPr>
          <w:p w14:paraId="785653A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2.0</w:t>
            </w:r>
          </w:p>
        </w:tc>
        <w:tc>
          <w:tcPr>
            <w:tcW w:w="1075" w:type="pct"/>
            <w:vAlign w:val="center"/>
          </w:tcPr>
          <w:p w14:paraId="372B676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eastAsia="zh-CN"/>
              </w:rPr>
              <w:t>—</w:t>
            </w:r>
          </w:p>
        </w:tc>
        <w:tc>
          <w:tcPr>
            <w:tcW w:w="854" w:type="pct"/>
            <w:vAlign w:val="center"/>
          </w:tcPr>
          <w:p w14:paraId="71ABFB5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rPr>
              <w:t>≤</w:t>
            </w:r>
            <w:r>
              <w:rPr>
                <w:rFonts w:hint="eastAsia" w:ascii="仿宋_GB2312" w:hAnsi="仿宋_GB2312" w:eastAsia="仿宋_GB2312" w:cs="仿宋_GB2312"/>
                <w:snapToGrid w:val="0"/>
                <w:color w:val="auto"/>
                <w:kern w:val="0"/>
                <w:sz w:val="24"/>
                <w:szCs w:val="24"/>
                <w:highlight w:val="none"/>
                <w:lang w:val="en-US" w:eastAsia="zh-CN"/>
              </w:rPr>
              <w:t>24</w:t>
            </w:r>
            <w:r>
              <w:rPr>
                <w:rFonts w:hint="eastAsia" w:ascii="仿宋_GB2312" w:hAnsi="仿宋_GB2312" w:eastAsia="仿宋_GB2312" w:cs="仿宋_GB2312"/>
                <w:snapToGrid w:val="0"/>
                <w:color w:val="auto"/>
                <w:kern w:val="0"/>
                <w:sz w:val="24"/>
                <w:szCs w:val="24"/>
                <w:highlight w:val="none"/>
              </w:rPr>
              <w:t>米</w:t>
            </w:r>
          </w:p>
        </w:tc>
      </w:tr>
    </w:tbl>
    <w:p w14:paraId="583697F2">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67" w:name="_Toc20079"/>
      <w:bookmarkStart w:id="68" w:name="_Toc2484"/>
      <w:bookmarkStart w:id="69" w:name="_Toc16343"/>
      <w:bookmarkStart w:id="70" w:name="_Toc4392"/>
      <w:r>
        <w:rPr>
          <w:rFonts w:hint="default" w:ascii="仿宋_GB2312" w:hAnsi="仿宋_GB2312" w:eastAsia="仿宋_GB2312" w:cs="仿宋_GB2312"/>
          <w:color w:val="auto"/>
          <w:highlight w:val="none"/>
          <w:lang w:val="en-US" w:eastAsia="zh-CN"/>
        </w:rPr>
        <w:t>设施农用地建设须严格限定于农业生产直接相关的生产设施及必要附属设施，严禁建设“大棚房”等非农设施。应符合相关建设标准规范，保障结构及生产安全。必须配套有效的环保设施（尤其是养殖类），确保废弃物达标处理或资源化利用，减少对生态环境的影响。涉及耕地的，应尽可能保护耕作层。用地须依法备案，接受全程监管，停止使用后应及时恢复土地原状或复耕。</w:t>
      </w:r>
    </w:p>
    <w:p w14:paraId="100C82F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采矿项目建设须坚持节约集约用地与生态修复同步原则，强化全周期监管。采用出让、租赁、作价出资等多元供地方式创新，符合露天开采、边采边复等条件的可依法使用临时用地，并确保农用地恢复原种植条件；用地期限不得超过矿业权有效期，分期项目推行“分期报批、循环用地”模式。严格落实生态修复刚性约束，实施“边开采、边修复”，建立矿山生态修复基金账户，临时用地须编制并报批备案土地复垦方案，闭坑后依法履行土地复垦义务恢复生态功能。依托国土空间规划“一张图”及自然资源综合监测系统实施信息化监管，动态跟踪用地合规性，严查未批先建、超占土地等行为。</w:t>
      </w:r>
    </w:p>
    <w:p w14:paraId="69A049EB">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5.地下空间开发利用</w:t>
      </w:r>
    </w:p>
    <w:p w14:paraId="406EE89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鼓励地上与地下空间的一体化开发利用，以合理利用地下空间资源，提高地面环境质量，使地下空间开发利用成为缓解用地紧缺的有效途径。乡村地区地下空间的开发利用应符合国土空间总体规划和相关专项规划（如地下空间利用专项规划）的要求。具体要求如下：</w:t>
      </w:r>
    </w:p>
    <w:p w14:paraId="4ABBBC3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（1）宅基地地下空间的开发利用不得超过批准的宅基地范围，且不得影响周边建筑的安全。</w:t>
      </w:r>
    </w:p>
    <w:p w14:paraId="05EB858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（2）商业、公共服务设施、公共步行通道、人防设施、地下停车场等设施的竖向开发应控制层数，不得超过1层。</w:t>
      </w:r>
    </w:p>
    <w:p w14:paraId="3071691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（3）地下建筑物的退界距离不得小于地下建筑物深度（自室外地面至地下建筑物底板底部的距离）的0.7倍，且最小值不得小于3米。</w:t>
      </w:r>
    </w:p>
    <w:p w14:paraId="2CF295E9">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r>
        <w:rPr>
          <w:rFonts w:hint="default" w:ascii="仿宋_GB2312" w:hAnsi="仿宋_GB2312" w:eastAsia="仿宋_GB2312" w:cs="仿宋_GB2312"/>
          <w:b/>
          <w:bCs/>
          <w:color w:val="auto"/>
          <w:sz w:val="32"/>
          <w:szCs w:val="32"/>
          <w:highlight w:val="none"/>
        </w:rPr>
        <w:t>第1</w:t>
      </w:r>
      <w:r>
        <w:rPr>
          <w:rFonts w:hint="default" w:ascii="仿宋_GB2312" w:hAnsi="仿宋_GB2312" w:eastAsia="仿宋_GB2312" w:cs="仿宋_GB2312"/>
          <w:b/>
          <w:bCs/>
          <w:color w:val="auto"/>
          <w:sz w:val="32"/>
          <w:szCs w:val="32"/>
          <w:highlight w:val="none"/>
          <w:lang w:val="en-US" w:eastAsia="zh-CN"/>
        </w:rPr>
        <w:t>6</w:t>
      </w:r>
      <w:r>
        <w:rPr>
          <w:rFonts w:hint="default" w:ascii="仿宋_GB2312" w:hAnsi="仿宋_GB2312" w:eastAsia="仿宋_GB2312" w:cs="仿宋_GB2312"/>
          <w:b/>
          <w:bCs/>
          <w:color w:val="auto"/>
          <w:sz w:val="32"/>
          <w:szCs w:val="32"/>
          <w:highlight w:val="none"/>
        </w:rPr>
        <w:t>条 建筑临距控制</w:t>
      </w:r>
      <w:bookmarkEnd w:id="67"/>
      <w:bookmarkEnd w:id="68"/>
      <w:bookmarkEnd w:id="69"/>
      <w:bookmarkEnd w:id="70"/>
    </w:p>
    <w:p w14:paraId="3CE396B5">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1.新建乡村建筑临距控制</w:t>
      </w:r>
    </w:p>
    <w:p w14:paraId="258174B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建筑间距应不妨害相邻权、地役权，应保证相邻房屋的正常日照、采光、通风和通行要求，并符合《农村防火规范》（GB 50039-2010）、《建筑防火通用规范》（GB 55037-2022）等相关要求和现行建设标准。若因特殊情况致使间距难以满足上述标准时，应积极采取有效补救措施以满足消防等安全控制要求。</w:t>
      </w:r>
    </w:p>
    <w:p w14:paraId="2F6DB4B0">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bookmarkStart w:id="71" w:name="_Toc17777"/>
      <w:r>
        <w:rPr>
          <w:rFonts w:hint="default" w:ascii="仿宋_GB2312" w:hAnsi="仿宋_GB2312" w:eastAsia="仿宋_GB2312" w:cs="仿宋_GB2312"/>
          <w:color w:val="auto"/>
          <w:sz w:val="32"/>
          <w:szCs w:val="32"/>
          <w:highlight w:val="none"/>
          <w:lang w:val="en-US" w:eastAsia="zh-CN"/>
        </w:rPr>
        <w:t>2.</w:t>
      </w:r>
      <w:bookmarkEnd w:id="71"/>
      <w:r>
        <w:rPr>
          <w:rFonts w:hint="default" w:ascii="仿宋_GB2312" w:hAnsi="仿宋_GB2312" w:eastAsia="仿宋_GB2312" w:cs="仿宋_GB2312"/>
          <w:color w:val="auto"/>
          <w:sz w:val="32"/>
          <w:szCs w:val="32"/>
          <w:highlight w:val="none"/>
          <w:lang w:val="en-US" w:eastAsia="zh-CN"/>
        </w:rPr>
        <w:t>退让道路</w:t>
      </w:r>
    </w:p>
    <w:p w14:paraId="4CE646F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（1）新建、改建、扩建住宅临路方向应与同侧相邻</w:t>
      </w:r>
      <w:r>
        <w:rPr>
          <w:rFonts w:hint="eastAsia" w:ascii="仿宋_GB2312" w:hAnsi="仿宋_GB2312" w:eastAsia="仿宋_GB2312" w:cs="仿宋_GB2312"/>
          <w:color w:val="auto"/>
          <w:highlight w:val="none"/>
          <w:lang w:val="en-US" w:eastAsia="zh-CN"/>
        </w:rPr>
        <w:t>建筑外立面</w:t>
      </w:r>
      <w:r>
        <w:rPr>
          <w:rFonts w:hint="default" w:ascii="仿宋_GB2312" w:hAnsi="仿宋_GB2312" w:eastAsia="仿宋_GB2312" w:cs="仿宋_GB2312"/>
          <w:color w:val="auto"/>
          <w:highlight w:val="none"/>
          <w:lang w:val="en-US" w:eastAsia="zh-CN"/>
        </w:rPr>
        <w:t>边界对齐，保证沿路建筑的整齐美观；</w:t>
      </w:r>
    </w:p>
    <w:p w14:paraId="245AA24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（2）新建、改建、扩建乡村建筑临村庄道路时，建筑及其附属围墙投影范围宜后退村庄道路边线1米以上，临路方向后退距离如村内有约定的，按照约定退让距离执行。</w:t>
      </w:r>
    </w:p>
    <w:p w14:paraId="741F706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（3）在高</w:t>
      </w:r>
      <w:r>
        <w:rPr>
          <w:rFonts w:hint="eastAsia" w:ascii="仿宋_GB2312" w:hAnsi="仿宋_GB2312" w:eastAsia="仿宋_GB2312" w:cs="仿宋_GB2312"/>
          <w:color w:val="auto"/>
          <w:highlight w:val="none"/>
          <w:lang w:val="en-US" w:eastAsia="zh-CN"/>
        </w:rPr>
        <w:t>速公</w:t>
      </w:r>
      <w:r>
        <w:rPr>
          <w:rFonts w:hint="default" w:ascii="仿宋_GB2312" w:hAnsi="仿宋_GB2312" w:eastAsia="仿宋_GB2312" w:cs="仿宋_GB2312"/>
          <w:color w:val="auto"/>
          <w:highlight w:val="none"/>
          <w:lang w:val="en-US" w:eastAsia="zh-CN"/>
        </w:rPr>
        <w:t>路、公路两侧建设的建筑退让应满足《广西壮族自治区实施</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公路法</w:t>
      </w:r>
      <w:r>
        <w:rPr>
          <w:rFonts w:hint="eastAsia" w:ascii="仿宋_GB2312" w:hAnsi="仿宋_GB2312" w:eastAsia="仿宋_GB2312" w:cs="仿宋_GB2312"/>
          <w:color w:val="auto"/>
          <w:highlight w:val="none"/>
          <w:lang w:val="en-US" w:eastAsia="zh-CN"/>
        </w:rPr>
        <w:t>〉</w:t>
      </w:r>
      <w:r>
        <w:rPr>
          <w:rFonts w:hint="default" w:ascii="仿宋_GB2312" w:hAnsi="仿宋_GB2312" w:eastAsia="仿宋_GB2312" w:cs="仿宋_GB2312"/>
          <w:color w:val="auto"/>
          <w:highlight w:val="none"/>
          <w:lang w:val="en-US" w:eastAsia="zh-CN"/>
        </w:rPr>
        <w:t>办法》的有关条款：一般建筑应按下列要求退让公路用地外缘：高速公路互通立交和特大型桥梁50米及以上；高速公路规划红线两侧（包括立交匝道及连接线、收费站）30米及以上；国道20米及以上；省道15米及以上；县道10米及以上；乡道5米及以上。</w:t>
      </w:r>
    </w:p>
    <w:p w14:paraId="6D002D4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4</w:t>
      </w:r>
      <w:r>
        <w:rPr>
          <w:rFonts w:hint="default" w:ascii="仿宋_GB2312" w:hAnsi="仿宋_GB2312" w:eastAsia="仿宋_GB2312" w:cs="仿宋_GB2312"/>
          <w:color w:val="auto"/>
          <w:highlight w:val="none"/>
          <w:lang w:val="en-US" w:eastAsia="zh-CN"/>
        </w:rPr>
        <w:t>）属通村主干路的，从道路外缘起向外的距高标准不少于3米:属村庄内部道路的，从道路外缘起向外的距离标准不少于2米;特殊情况由村民理事会讨论决定，上报村委会备案</w:t>
      </w:r>
      <w:r>
        <w:rPr>
          <w:rFonts w:hint="eastAsia" w:ascii="仿宋_GB2312" w:hAnsi="仿宋_GB2312" w:eastAsia="仿宋_GB2312" w:cs="仿宋_GB2312"/>
          <w:color w:val="auto"/>
          <w:highlight w:val="none"/>
          <w:lang w:val="en-US" w:eastAsia="zh-CN"/>
        </w:rPr>
        <w:t>。</w:t>
      </w:r>
    </w:p>
    <w:p w14:paraId="4475DDFA">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3.退让铁路</w:t>
      </w:r>
    </w:p>
    <w:p w14:paraId="1003971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铁路干线两侧的建（构）筑物与最外侧轨道中心线的距离不得小于30米；铁路支线、专用线两侧的建筑工程与轨道中心线的距离不得小于20米；铁路两侧的围墙与轨道中心线的距离不得小于10米，围墙高度不得高于3米。</w:t>
      </w:r>
    </w:p>
    <w:p w14:paraId="7A1F7A8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（2）沿铁路两侧需建铁路配套设施的，应另设专项报批。</w:t>
      </w:r>
    </w:p>
    <w:p w14:paraId="1EDF224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（3）在铁路道口附近进行建设的，必须符合铁路道口管理的有关规定。</w:t>
      </w:r>
    </w:p>
    <w:p w14:paraId="74B4969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（4）特殊路段的隔离带宽度由规划主管部门会同铁路部门确定。</w:t>
      </w:r>
    </w:p>
    <w:p w14:paraId="3D918E2F">
      <w:pPr>
        <w:pStyle w:val="5"/>
        <w:keepNext/>
        <w:keepLines/>
        <w:pageBreakBefore w:val="0"/>
        <w:widowControl w:val="0"/>
        <w:numPr>
          <w:ilvl w:val="3"/>
          <w:numId w:val="0"/>
        </w:numPr>
        <w:kinsoku/>
        <w:wordWrap/>
        <w:overflowPunct/>
        <w:topLinePunct w:val="0"/>
        <w:autoSpaceDE/>
        <w:autoSpaceDN/>
        <w:bidi w:val="0"/>
        <w:adjustRightInd/>
        <w:snapToGrid/>
        <w:spacing w:before="0" w:after="0" w:line="240" w:lineRule="auto"/>
        <w:ind w:left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4.退让电力线路</w:t>
      </w:r>
    </w:p>
    <w:p w14:paraId="001C3A7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（1）建筑退让架空电力线路的距离不小于表3规定。</w:t>
      </w:r>
    </w:p>
    <w:p w14:paraId="1EF13F2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（2）建筑退让地下电力通道同侧边缘应当不小于0.75米。</w:t>
      </w:r>
    </w:p>
    <w:p w14:paraId="166C33DD">
      <w:pPr>
        <w:keepNext w:val="0"/>
        <w:keepLines w:val="0"/>
        <w:pageBreakBefore w:val="0"/>
        <w:kinsoku/>
        <w:wordWrap/>
        <w:overflowPunct/>
        <w:topLinePunct w:val="0"/>
        <w:autoSpaceDE/>
        <w:autoSpaceDN/>
        <w:bidi w:val="0"/>
        <w:adjustRightInd w:val="0"/>
        <w:snapToGrid w:val="0"/>
        <w:spacing w:line="586" w:lineRule="exact"/>
        <w:ind w:firstLine="0" w:firstLineChars="0"/>
        <w:jc w:val="center"/>
        <w:textAlignment w:val="auto"/>
        <w:rPr>
          <w:rFonts w:hint="default" w:ascii="Times New Roman" w:hAnsi="Times New Roman" w:eastAsia="仿宋_GB2312" w:cs="Times New Roman"/>
          <w:snapToGrid w:val="0"/>
          <w:color w:val="auto"/>
          <w:kern w:val="0"/>
          <w:sz w:val="28"/>
          <w:szCs w:val="28"/>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表3 建筑物退让电力线路距离</w:t>
      </w:r>
    </w:p>
    <w:tbl>
      <w:tblPr>
        <w:tblStyle w:val="18"/>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3159"/>
        <w:gridCol w:w="2859"/>
      </w:tblGrid>
      <w:tr w14:paraId="48DD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blHeader/>
          <w:jc w:val="center"/>
        </w:trPr>
        <w:tc>
          <w:tcPr>
            <w:tcW w:w="1492" w:type="pct"/>
            <w:vAlign w:val="center"/>
          </w:tcPr>
          <w:p w14:paraId="454495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b/>
                <w:bCs/>
                <w:i w:val="0"/>
                <w:iCs w:val="0"/>
                <w:caps w:val="0"/>
                <w:snapToGrid w:val="0"/>
                <w:color w:val="auto"/>
                <w:spacing w:val="0"/>
                <w:kern w:val="0"/>
                <w:sz w:val="24"/>
                <w:szCs w:val="24"/>
                <w:highlight w:val="none"/>
                <w:lang w:val="en-US" w:eastAsia="zh-CN" w:bidi="ar"/>
              </w:rPr>
              <w:t>线路电压等级（kV）</w:t>
            </w:r>
          </w:p>
        </w:tc>
        <w:tc>
          <w:tcPr>
            <w:tcW w:w="1841" w:type="pct"/>
            <w:vAlign w:val="center"/>
          </w:tcPr>
          <w:p w14:paraId="347B5A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b/>
                <w:bCs/>
                <w:i w:val="0"/>
                <w:iCs w:val="0"/>
                <w:caps w:val="0"/>
                <w:snapToGrid w:val="0"/>
                <w:color w:val="auto"/>
                <w:spacing w:val="0"/>
                <w:kern w:val="0"/>
                <w:sz w:val="24"/>
                <w:szCs w:val="24"/>
                <w:highlight w:val="none"/>
                <w:lang w:val="en-US" w:eastAsia="zh-CN" w:bidi="ar"/>
              </w:rPr>
              <w:t>退最近架空电力边导线（米）</w:t>
            </w:r>
          </w:p>
        </w:tc>
        <w:tc>
          <w:tcPr>
            <w:tcW w:w="1666" w:type="pct"/>
            <w:vAlign w:val="center"/>
          </w:tcPr>
          <w:p w14:paraId="22F33B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bCs/>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b/>
                <w:bCs/>
                <w:i w:val="0"/>
                <w:iCs w:val="0"/>
                <w:caps w:val="0"/>
                <w:snapToGrid w:val="0"/>
                <w:color w:val="auto"/>
                <w:spacing w:val="0"/>
                <w:kern w:val="0"/>
                <w:sz w:val="24"/>
                <w:szCs w:val="24"/>
                <w:highlight w:val="none"/>
                <w:lang w:val="en-US" w:eastAsia="zh-CN" w:bidi="ar"/>
              </w:rPr>
              <w:t>退规划高压线走廊中心线（米）</w:t>
            </w:r>
          </w:p>
        </w:tc>
      </w:tr>
      <w:tr w14:paraId="08F4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92" w:type="pct"/>
            <w:vAlign w:val="center"/>
          </w:tcPr>
          <w:p w14:paraId="24E75C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≤10</w:t>
            </w:r>
          </w:p>
        </w:tc>
        <w:tc>
          <w:tcPr>
            <w:tcW w:w="1841" w:type="pct"/>
            <w:vAlign w:val="center"/>
          </w:tcPr>
          <w:p w14:paraId="528F88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2</w:t>
            </w:r>
          </w:p>
        </w:tc>
        <w:tc>
          <w:tcPr>
            <w:tcW w:w="1666" w:type="pct"/>
            <w:vAlign w:val="center"/>
          </w:tcPr>
          <w:p w14:paraId="3CCF3A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5</w:t>
            </w:r>
          </w:p>
        </w:tc>
      </w:tr>
      <w:tr w14:paraId="0215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92" w:type="pct"/>
            <w:vAlign w:val="center"/>
          </w:tcPr>
          <w:p w14:paraId="6B496D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35</w:t>
            </w:r>
          </w:p>
        </w:tc>
        <w:tc>
          <w:tcPr>
            <w:tcW w:w="1841" w:type="pct"/>
            <w:vAlign w:val="center"/>
          </w:tcPr>
          <w:p w14:paraId="4B0F5A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3</w:t>
            </w:r>
          </w:p>
        </w:tc>
        <w:tc>
          <w:tcPr>
            <w:tcW w:w="1666" w:type="pct"/>
            <w:vAlign w:val="center"/>
          </w:tcPr>
          <w:p w14:paraId="7ACBB1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10</w:t>
            </w:r>
          </w:p>
        </w:tc>
      </w:tr>
      <w:tr w14:paraId="3AAC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92" w:type="pct"/>
            <w:vAlign w:val="center"/>
          </w:tcPr>
          <w:p w14:paraId="286C08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66、110</w:t>
            </w:r>
          </w:p>
        </w:tc>
        <w:tc>
          <w:tcPr>
            <w:tcW w:w="1841" w:type="pct"/>
            <w:vAlign w:val="center"/>
          </w:tcPr>
          <w:p w14:paraId="33047C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4</w:t>
            </w:r>
          </w:p>
        </w:tc>
        <w:tc>
          <w:tcPr>
            <w:tcW w:w="1666" w:type="pct"/>
            <w:vAlign w:val="center"/>
          </w:tcPr>
          <w:p w14:paraId="5653B7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12</w:t>
            </w:r>
          </w:p>
        </w:tc>
      </w:tr>
      <w:tr w14:paraId="1176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92" w:type="pct"/>
            <w:vAlign w:val="center"/>
          </w:tcPr>
          <w:p w14:paraId="6B4FCF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220</w:t>
            </w:r>
          </w:p>
        </w:tc>
        <w:tc>
          <w:tcPr>
            <w:tcW w:w="1841" w:type="pct"/>
            <w:vAlign w:val="center"/>
          </w:tcPr>
          <w:p w14:paraId="78BF03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5</w:t>
            </w:r>
          </w:p>
        </w:tc>
        <w:tc>
          <w:tcPr>
            <w:tcW w:w="1666" w:type="pct"/>
            <w:vAlign w:val="center"/>
          </w:tcPr>
          <w:p w14:paraId="09DACA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20</w:t>
            </w:r>
          </w:p>
        </w:tc>
      </w:tr>
      <w:tr w14:paraId="101B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92" w:type="pct"/>
            <w:vAlign w:val="center"/>
          </w:tcPr>
          <w:p w14:paraId="2954C9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330</w:t>
            </w:r>
          </w:p>
        </w:tc>
        <w:tc>
          <w:tcPr>
            <w:tcW w:w="1841" w:type="pct"/>
            <w:vAlign w:val="center"/>
          </w:tcPr>
          <w:p w14:paraId="046196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6</w:t>
            </w:r>
          </w:p>
        </w:tc>
        <w:tc>
          <w:tcPr>
            <w:tcW w:w="1666" w:type="pct"/>
            <w:vAlign w:val="center"/>
          </w:tcPr>
          <w:p w14:paraId="4152F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22</w:t>
            </w:r>
          </w:p>
        </w:tc>
      </w:tr>
      <w:tr w14:paraId="6C0C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92" w:type="pct"/>
            <w:vAlign w:val="center"/>
          </w:tcPr>
          <w:p w14:paraId="7C4962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500</w:t>
            </w:r>
          </w:p>
        </w:tc>
        <w:tc>
          <w:tcPr>
            <w:tcW w:w="1841" w:type="pct"/>
            <w:vAlign w:val="center"/>
          </w:tcPr>
          <w:p w14:paraId="3C7C97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10</w:t>
            </w:r>
          </w:p>
        </w:tc>
        <w:tc>
          <w:tcPr>
            <w:tcW w:w="1666" w:type="pct"/>
            <w:vAlign w:val="center"/>
          </w:tcPr>
          <w:p w14:paraId="5CD1F6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b w:val="0"/>
                <w:bCs w:val="0"/>
                <w:i w:val="0"/>
                <w:iCs w:val="0"/>
                <w:caps w:val="0"/>
                <w:snapToGrid w:val="0"/>
                <w:color w:val="auto"/>
                <w:spacing w:val="0"/>
                <w:kern w:val="0"/>
                <w:sz w:val="24"/>
                <w:szCs w:val="24"/>
                <w:highlight w:val="none"/>
                <w:shd w:val="clear"/>
                <w:vertAlign w:val="baseli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lang w:val="en-US" w:eastAsia="zh-CN" w:bidi="ar"/>
              </w:rPr>
              <w:t>37</w:t>
            </w:r>
          </w:p>
        </w:tc>
      </w:tr>
    </w:tbl>
    <w:p w14:paraId="79DA020E">
      <w:pPr>
        <w:shd w:val="clear"/>
        <w:adjustRightInd w:val="0"/>
        <w:snapToGrid w:val="0"/>
        <w:spacing w:line="360" w:lineRule="auto"/>
        <w:ind w:firstLine="480" w:firstLineChars="200"/>
        <w:rPr>
          <w:rFonts w:hint="default" w:ascii="Times New Roman" w:hAnsi="Times New Roman" w:eastAsia="仿宋" w:cs="Times New Roman"/>
          <w:snapToGrid w:val="0"/>
          <w:color w:val="auto"/>
          <w:kern w:val="0"/>
          <w:sz w:val="21"/>
          <w:szCs w:val="21"/>
          <w:highlight w:val="none"/>
          <w:lang w:val="en-US" w:eastAsia="zh-CN"/>
        </w:rPr>
      </w:pPr>
      <w:r>
        <w:rPr>
          <w:rFonts w:hint="eastAsia" w:ascii="仿宋_GB2312" w:hAnsi="仿宋_GB2312" w:eastAsia="仿宋_GB2312" w:cs="仿宋_GB2312"/>
          <w:i w:val="0"/>
          <w:iCs w:val="0"/>
          <w:caps w:val="0"/>
          <w:snapToGrid w:val="0"/>
          <w:color w:val="auto"/>
          <w:spacing w:val="0"/>
          <w:kern w:val="0"/>
          <w:sz w:val="24"/>
          <w:szCs w:val="24"/>
          <w:highlight w:val="none"/>
          <w:shd w:val="clear" w:fill="auto"/>
          <w:lang w:bidi="ar"/>
        </w:rPr>
        <w:t>注：退最近架空电力边导线数值是电力线路边导线在最大风偏时的建筑物退让最小水平距离值。</w:t>
      </w:r>
    </w:p>
    <w:p w14:paraId="424A6CBE">
      <w:pPr>
        <w:pStyle w:val="4"/>
        <w:numPr>
          <w:ilvl w:val="2"/>
          <w:numId w:val="0"/>
        </w:numPr>
        <w:spacing w:before="160" w:after="80" w:line="240" w:lineRule="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第17条 建筑高度控制</w:t>
      </w:r>
      <w:bookmarkEnd w:id="60"/>
      <w:bookmarkEnd w:id="61"/>
      <w:bookmarkEnd w:id="62"/>
      <w:bookmarkEnd w:id="63"/>
      <w:bookmarkStart w:id="72" w:name="_bookmark14"/>
      <w:bookmarkEnd w:id="72"/>
      <w:bookmarkStart w:id="73" w:name="第二节_建筑高度控制"/>
      <w:bookmarkEnd w:id="73"/>
    </w:p>
    <w:p w14:paraId="67A04B3C">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74" w:name="_Toc196318163"/>
      <w:bookmarkStart w:id="75" w:name="_Toc5837"/>
      <w:bookmarkStart w:id="76" w:name="_Toc30921"/>
      <w:bookmarkStart w:id="77" w:name="_Toc183721556"/>
      <w:r>
        <w:rPr>
          <w:rFonts w:hint="default" w:ascii="仿宋_GB2312" w:hAnsi="仿宋_GB2312" w:eastAsia="仿宋_GB2312" w:cs="仿宋_GB2312"/>
          <w:color w:val="auto"/>
          <w:highlight w:val="none"/>
          <w:lang w:val="en-US" w:eastAsia="zh-CN"/>
        </w:rPr>
        <w:t>1.乡村建筑高度应满足安全、日照、通风等基本要求，如涉及城市重要景观地区、文物保护单位、传统村落、风景名胜区、自然保护区等特定区域，还应符合城市景观、历史文化保护、生态保护等特定的高度管控要求。</w:t>
      </w:r>
    </w:p>
    <w:p w14:paraId="5946575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highlight w:val="none"/>
          <w:lang w:val="en-US" w:eastAsia="zh-CN"/>
        </w:rPr>
        <w:t>2.村庄新建农房</w:t>
      </w:r>
      <w:r>
        <w:rPr>
          <w:rFonts w:hint="default" w:ascii="仿宋_GB2312" w:hAnsi="仿宋_GB2312" w:eastAsia="仿宋_GB2312" w:cs="仿宋_GB2312"/>
          <w:color w:val="auto"/>
          <w:highlight w:val="none"/>
          <w:lang w:val="en-US" w:eastAsia="zh-CN"/>
        </w:rPr>
        <w:t>建筑层数不得超过4层，建筑高度不得超过15米</w:t>
      </w:r>
      <w:r>
        <w:rPr>
          <w:rFonts w:hint="default" w:ascii="仿宋_GB2312" w:hAnsi="仿宋_GB2312" w:eastAsia="仿宋_GB2312" w:cs="仿宋_GB2312"/>
          <w:highlight w:val="none"/>
          <w:lang w:val="en-US" w:eastAsia="zh-CN"/>
        </w:rPr>
        <w:t>。</w:t>
      </w:r>
    </w:p>
    <w:p w14:paraId="08A62B3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w:t>
      </w:r>
      <w:r>
        <w:rPr>
          <w:rFonts w:hint="default" w:ascii="仿宋_GB2312" w:hAnsi="仿宋_GB2312" w:eastAsia="仿宋_GB2312" w:cs="仿宋_GB2312"/>
          <w:color w:val="auto"/>
          <w:highlight w:val="none"/>
          <w:lang w:val="en-US" w:eastAsia="zh-CN"/>
        </w:rPr>
        <w:t>.公共服务设施、经营性</w:t>
      </w:r>
      <w:r>
        <w:rPr>
          <w:rFonts w:hint="eastAsia" w:ascii="仿宋_GB2312" w:hAnsi="仿宋_GB2312" w:eastAsia="仿宋_GB2312" w:cs="仿宋_GB2312"/>
          <w:color w:val="auto"/>
          <w:highlight w:val="none"/>
          <w:lang w:val="en-US" w:eastAsia="zh-CN"/>
        </w:rPr>
        <w:t>建筑限高</w:t>
      </w:r>
      <w:r>
        <w:rPr>
          <w:rFonts w:hint="default" w:ascii="仿宋_GB2312" w:hAnsi="仿宋_GB2312" w:eastAsia="仿宋_GB2312" w:cs="仿宋_GB2312"/>
          <w:color w:val="auto"/>
          <w:highlight w:val="none"/>
          <w:lang w:val="en-US" w:eastAsia="zh-CN"/>
        </w:rPr>
        <w:t>可根据相关技术规范适当增加，建筑高度应符合村庄整体风貌要求。</w:t>
      </w:r>
    </w:p>
    <w:p w14:paraId="7A80D81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4</w:t>
      </w:r>
      <w:r>
        <w:rPr>
          <w:rFonts w:hint="default" w:ascii="仿宋_GB2312" w:hAnsi="仿宋_GB2312" w:eastAsia="仿宋_GB2312" w:cs="仿宋_GB2312"/>
          <w:color w:val="auto"/>
          <w:highlight w:val="none"/>
          <w:lang w:val="en-US" w:eastAsia="zh-CN"/>
        </w:rPr>
        <w:t>.位于风景名胜区、自然保护区、景观道路沿线、江河沿线等重点地区的村庄，以及历史文化名村、传统村落等特色保护类村庄，其建筑高度应根据保护专项规划或上位规划要求进行控制。</w:t>
      </w:r>
    </w:p>
    <w:p w14:paraId="4B4CCF4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5</w:t>
      </w:r>
      <w:r>
        <w:rPr>
          <w:rFonts w:hint="default" w:ascii="仿宋_GB2312" w:hAnsi="仿宋_GB2312" w:eastAsia="仿宋_GB2312" w:cs="仿宋_GB2312"/>
          <w:color w:val="auto"/>
          <w:highlight w:val="none"/>
          <w:lang w:val="en-US" w:eastAsia="zh-CN"/>
        </w:rPr>
        <w:t>.幼儿园建筑层数应≤3层，小学教学建筑层数应≤3层，初中教学建筑层数应≤4层。村级社区生活圈服务要素按《社区生活圈规划技术指南》相关要求执行，建筑高度一般不超过24米。乡村产业项目建筑高度参照表2确定。</w:t>
      </w:r>
    </w:p>
    <w:p w14:paraId="64CF982E">
      <w:pPr>
        <w:pStyle w:val="4"/>
        <w:numPr>
          <w:ilvl w:val="2"/>
          <w:numId w:val="0"/>
        </w:numPr>
        <w:spacing w:before="160" w:after="80" w:line="240" w:lineRule="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第18条 建筑风貌控制</w:t>
      </w:r>
      <w:bookmarkEnd w:id="74"/>
      <w:bookmarkEnd w:id="75"/>
      <w:bookmarkEnd w:id="76"/>
      <w:bookmarkEnd w:id="77"/>
    </w:p>
    <w:p w14:paraId="423E9B7C">
      <w:pPr>
        <w:widowControl/>
        <w:snapToGrid/>
        <w:spacing w:line="240" w:lineRule="auto"/>
        <w:ind w:firstLine="0"/>
        <w:rPr>
          <w:rFonts w:hint="default" w:ascii="仿宋_GB2312" w:hAnsi="仿宋_GB2312" w:eastAsia="仿宋_GB2312" w:cs="仿宋_GB2312"/>
          <w:color w:val="auto"/>
          <w:highlight w:val="none"/>
          <w:lang w:val="en-US" w:eastAsia="zh-CN"/>
        </w:rPr>
      </w:pPr>
      <w:bookmarkStart w:id="78" w:name="第三节_农房风貌控制"/>
      <w:bookmarkEnd w:id="78"/>
      <w:bookmarkStart w:id="79" w:name="_bookmark15"/>
      <w:bookmarkEnd w:id="79"/>
      <w:r>
        <w:rPr>
          <w:rFonts w:hint="default"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en-US" w:eastAsia="zh-CN"/>
        </w:rPr>
        <w:t>乡村建设</w:t>
      </w:r>
      <w:r>
        <w:rPr>
          <w:rFonts w:hint="default" w:ascii="仿宋_GB2312" w:hAnsi="仿宋_GB2312" w:eastAsia="仿宋_GB2312" w:cs="仿宋_GB2312"/>
          <w:color w:val="auto"/>
          <w:highlight w:val="none"/>
          <w:lang w:val="en-US" w:eastAsia="zh-CN"/>
        </w:rPr>
        <w:t>应尊重周边环境和建筑现状，融合村庄整体风貌，有序构建院落、住宅空间，体现地方特色与多民族融合文化特色，按照</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现行农房建设通用图集进行建设，严格实施带图报建和按图验收制度。</w:t>
      </w:r>
    </w:p>
    <w:p w14:paraId="122900F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2.乡村建筑风貌应符合《广西壮族自治区农村房屋特色风貌管控导则》、</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住建部门组织编制的农房建设通用图集和相关农房风貌管控文件的要求，严格落实带图报建和按图验收制度。</w:t>
      </w:r>
    </w:p>
    <w:p w14:paraId="6B51EF2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3.总体呈现继承和发扬</w:t>
      </w:r>
      <w:r>
        <w:rPr>
          <w:rFonts w:hint="eastAsia" w:ascii="仿宋_GB2312" w:hAnsi="仿宋_GB2312" w:eastAsia="仿宋_GB2312" w:cs="仿宋_GB2312"/>
          <w:color w:val="auto"/>
          <w:highlight w:val="none"/>
          <w:lang w:val="en-US" w:eastAsia="zh-CN"/>
        </w:rPr>
        <w:t>资源</w:t>
      </w:r>
      <w:r>
        <w:rPr>
          <w:rFonts w:hint="default" w:ascii="仿宋_GB2312" w:hAnsi="仿宋_GB2312" w:eastAsia="仿宋_GB2312" w:cs="仿宋_GB2312"/>
          <w:color w:val="auto"/>
          <w:highlight w:val="none"/>
          <w:lang w:val="en-US" w:eastAsia="zh-CN"/>
        </w:rPr>
        <w:t>本地特色，体现</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特色文化内涵，鼓励建筑色彩采用灰白、暖黄或暖红色系建筑色彩，必须采用坡屋顶建设，传承桂北民居风格，与山水环境协调。</w:t>
      </w:r>
    </w:p>
    <w:p w14:paraId="5E4E3FF7">
      <w:pPr>
        <w:pStyle w:val="3"/>
        <w:keepNext/>
        <w:keepLines/>
        <w:pageBreakBefore w:val="0"/>
        <w:widowControl w:val="0"/>
        <w:kinsoku/>
        <w:wordWrap/>
        <w:overflowPunct/>
        <w:topLinePunct w:val="0"/>
        <w:autoSpaceDE/>
        <w:autoSpaceDN/>
        <w:bidi w:val="0"/>
        <w:adjustRightInd/>
        <w:snapToGrid/>
        <w:spacing w:before="240" w:after="240" w:line="360" w:lineRule="auto"/>
        <w:ind w:firstLine="643"/>
        <w:jc w:val="center"/>
        <w:textAlignment w:val="auto"/>
        <w:outlineLvl w:val="1"/>
        <w:rPr>
          <w:rFonts w:hint="eastAsia" w:ascii="仿宋_GB2312" w:hAnsi="仿宋_GB2312" w:eastAsia="仿宋_GB2312" w:cs="仿宋_GB2312"/>
          <w:b/>
          <w:bCs/>
          <w:color w:val="auto"/>
          <w:sz w:val="32"/>
          <w:szCs w:val="32"/>
          <w:highlight w:val="none"/>
        </w:rPr>
      </w:pPr>
      <w:bookmarkStart w:id="80" w:name="_Toc19446"/>
      <w:r>
        <w:rPr>
          <w:rFonts w:hint="eastAsia" w:ascii="仿宋_GB2312" w:hAnsi="仿宋_GB2312" w:eastAsia="仿宋_GB2312" w:cs="仿宋_GB2312"/>
          <w:b/>
          <w:bCs/>
          <w:color w:val="auto"/>
          <w:sz w:val="32"/>
          <w:szCs w:val="32"/>
          <w:highlight w:val="none"/>
        </w:rPr>
        <w:t>第四节 其他管控指引</w:t>
      </w:r>
      <w:bookmarkEnd w:id="64"/>
      <w:bookmarkEnd w:id="65"/>
      <w:bookmarkEnd w:id="80"/>
    </w:p>
    <w:p w14:paraId="4998E3F8">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eastAsia" w:ascii="仿宋_GB2312" w:hAnsi="仿宋_GB2312" w:eastAsia="仿宋_GB2312" w:cs="仿宋_GB2312"/>
          <w:b/>
          <w:bCs/>
          <w:color w:val="auto"/>
          <w:sz w:val="32"/>
          <w:szCs w:val="32"/>
          <w:highlight w:val="none"/>
        </w:rPr>
      </w:pPr>
      <w:bookmarkStart w:id="81" w:name="_Toc134"/>
      <w:r>
        <w:rPr>
          <w:rFonts w:hint="eastAsia" w:ascii="仿宋_GB2312" w:hAnsi="仿宋_GB2312" w:eastAsia="仿宋_GB2312" w:cs="仿宋_GB2312"/>
          <w:b/>
          <w:bCs/>
          <w:color w:val="auto"/>
          <w:sz w:val="32"/>
          <w:szCs w:val="32"/>
          <w:highlight w:val="none"/>
        </w:rPr>
        <w:t>第</w:t>
      </w:r>
      <w:r>
        <w:rPr>
          <w:rFonts w:hint="eastAsia" w:ascii="仿宋_GB2312" w:hAnsi="仿宋_GB2312" w:eastAsia="仿宋_GB2312" w:cs="仿宋_GB2312"/>
          <w:b/>
          <w:bCs/>
          <w:color w:val="auto"/>
          <w:sz w:val="32"/>
          <w:szCs w:val="32"/>
          <w:highlight w:val="none"/>
          <w:lang w:val="en-US" w:eastAsia="zh-CN"/>
        </w:rPr>
        <w:t>19</w:t>
      </w:r>
      <w:r>
        <w:rPr>
          <w:rFonts w:hint="eastAsia" w:ascii="仿宋_GB2312" w:hAnsi="仿宋_GB2312" w:eastAsia="仿宋_GB2312" w:cs="仿宋_GB2312"/>
          <w:b/>
          <w:bCs/>
          <w:color w:val="auto"/>
          <w:sz w:val="32"/>
          <w:szCs w:val="32"/>
          <w:highlight w:val="none"/>
        </w:rPr>
        <w:t>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rPr>
        <w:t>历史文化遗产保护</w:t>
      </w:r>
      <w:r>
        <w:rPr>
          <w:rFonts w:hint="eastAsia" w:ascii="仿宋_GB2312" w:hAnsi="仿宋_GB2312" w:eastAsia="仿宋_GB2312" w:cs="仿宋_GB2312"/>
          <w:b/>
          <w:bCs/>
          <w:color w:val="auto"/>
          <w:sz w:val="32"/>
          <w:szCs w:val="32"/>
          <w:highlight w:val="none"/>
          <w:lang w:val="en-US" w:eastAsia="zh-CN"/>
        </w:rPr>
        <w:t>与</w:t>
      </w:r>
      <w:r>
        <w:rPr>
          <w:rFonts w:hint="eastAsia" w:ascii="仿宋_GB2312" w:hAnsi="仿宋_GB2312" w:eastAsia="仿宋_GB2312" w:cs="仿宋_GB2312"/>
          <w:b/>
          <w:bCs/>
          <w:color w:val="auto"/>
          <w:sz w:val="32"/>
          <w:szCs w:val="32"/>
          <w:highlight w:val="none"/>
        </w:rPr>
        <w:t>管控</w:t>
      </w:r>
    </w:p>
    <w:p w14:paraId="1762BCF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历史文化名镇名村、传统村落内的规划及建设应遵守《中华人民共和国文物保护法》《历史文化名城名镇名村保护条例》及已批复的专项规划等要求，进行整体保护，保持传统格局、历史风貌和空间尺度。历史文化名镇名村和传统村落内禁止进行开山、采石、开矿等破坏传统格局和历史风貌的活动；禁止占用保护规划确定保留的园林绿地、河湖水系、道路等；禁止修建生产、储存爆炸性、易燃性、放射性、毒害性、腐蚀性物品的工厂、仓库等设施。</w:t>
      </w:r>
    </w:p>
    <w:p w14:paraId="50353C92">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bookmarkStart w:id="82" w:name="_Toc193377508"/>
      <w:r>
        <w:rPr>
          <w:rFonts w:hint="default" w:ascii="仿宋_GB2312" w:hAnsi="仿宋_GB2312" w:eastAsia="仿宋_GB2312" w:cs="仿宋_GB2312"/>
          <w:b/>
          <w:bCs/>
          <w:color w:val="auto"/>
          <w:sz w:val="32"/>
          <w:szCs w:val="32"/>
          <w:highlight w:val="none"/>
        </w:rPr>
        <w:t>第20条 乡村生态保护修复及国土空间整治管控</w:t>
      </w:r>
      <w:bookmarkEnd w:id="82"/>
    </w:p>
    <w:p w14:paraId="7915BC6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严格落实耕地保护目标，优化耕地布局，强化耕地资源管控，确保耕地数量不减少、质量不降低。实施土地综合整治项目，优化耕地质量，调整农业产业布局，促进乡村振兴。</w:t>
      </w:r>
    </w:p>
    <w:p w14:paraId="4CB37C79">
      <w:pPr>
        <w:widowControl/>
        <w:snapToGrid/>
        <w:spacing w:line="240" w:lineRule="auto"/>
        <w:ind w:firstLine="0"/>
        <w:rPr>
          <w:rFonts w:hint="eastAsia"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开展矿山地质环境恢复治理，推进土地整理、开发与复垦。推进生态修复和环境污染治理，实施建设用地整治，统筹农村居民点建设、产业发展、公共服务、基础设施等用地，支持农村新产业新业态融合发展。落实耕地占补平衡工作，确保重大项目建设用地指标。</w:t>
      </w:r>
    </w:p>
    <w:bookmarkEnd w:id="81"/>
    <w:p w14:paraId="085F6D2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禁止进行开山、采石、开矿、开荒、修坟立碑等破坏景观、植被、地形地貌，危及生态安全的活动；禁止修建储存爆炸性、易燃性、放射性、毒害性、腐蚀性物品的设施；禁止在景物或设施上刻画、涂污；禁止乱扔垃圾及乱排、乱放各类污染物；禁止改变古树名木赖以生存的生态环境条件；禁止填堵河道或改变河道走向以及掘坑填塘；禁止其他被认定为破坏景观、植被和地形地貌的行为。</w:t>
      </w:r>
    </w:p>
    <w:p w14:paraId="28706597">
      <w:pPr>
        <w:pStyle w:val="2"/>
        <w:spacing w:before="240" w:after="240" w:line="360" w:lineRule="auto"/>
        <w:ind w:firstLine="643"/>
        <w:jc w:val="center"/>
        <w:rPr>
          <w:rFonts w:hint="default" w:ascii="黑体" w:hAnsi="黑体" w:eastAsia="黑体" w:cs="黑体"/>
          <w:b/>
          <w:bCs/>
          <w:color w:val="auto"/>
          <w:sz w:val="32"/>
          <w:szCs w:val="32"/>
          <w:highlight w:val="none"/>
        </w:rPr>
      </w:pPr>
      <w:bookmarkStart w:id="83" w:name="_Toc31943"/>
      <w:bookmarkStart w:id="84" w:name="_Toc17747"/>
      <w:bookmarkStart w:id="85" w:name="_Toc4261"/>
      <w:bookmarkStart w:id="86" w:name="_Toc13211"/>
      <w:bookmarkStart w:id="87" w:name="_Toc14434"/>
      <w:bookmarkStart w:id="88" w:name="_Toc27574"/>
      <w:bookmarkStart w:id="89" w:name="_Toc14928"/>
      <w:bookmarkStart w:id="90" w:name="_Toc28999"/>
      <w:bookmarkStart w:id="91" w:name="_Toc28144"/>
      <w:bookmarkStart w:id="92" w:name="_Toc15735"/>
      <w:bookmarkStart w:id="93" w:name="_Toc16675"/>
      <w:bookmarkStart w:id="94" w:name="_Toc11703"/>
      <w:r>
        <w:rPr>
          <w:rFonts w:hint="default" w:ascii="黑体" w:hAnsi="黑体" w:eastAsia="黑体" w:cs="黑体"/>
          <w:b/>
          <w:bCs/>
          <w:color w:val="auto"/>
          <w:sz w:val="32"/>
          <w:szCs w:val="32"/>
          <w:highlight w:val="none"/>
          <w:lang w:val="en-US" w:eastAsia="zh-CN"/>
        </w:rPr>
        <w:t xml:space="preserve">第四章 </w:t>
      </w:r>
      <w:r>
        <w:rPr>
          <w:rFonts w:hint="default" w:ascii="黑体" w:hAnsi="黑体" w:eastAsia="黑体" w:cs="黑体"/>
          <w:b/>
          <w:bCs/>
          <w:color w:val="auto"/>
          <w:sz w:val="32"/>
          <w:szCs w:val="32"/>
          <w:highlight w:val="none"/>
          <w:lang w:eastAsia="zh-CN"/>
        </w:rPr>
        <w:t>重点地块</w:t>
      </w:r>
      <w:r>
        <w:rPr>
          <w:rFonts w:hint="default" w:ascii="黑体" w:hAnsi="黑体" w:eastAsia="黑体" w:cs="黑体"/>
          <w:b/>
          <w:bCs/>
          <w:color w:val="auto"/>
          <w:sz w:val="32"/>
          <w:szCs w:val="32"/>
          <w:highlight w:val="none"/>
        </w:rPr>
        <w:t>图则</w:t>
      </w:r>
      <w:bookmarkEnd w:id="83"/>
      <w:bookmarkEnd w:id="84"/>
      <w:bookmarkEnd w:id="85"/>
      <w:bookmarkEnd w:id="86"/>
      <w:bookmarkEnd w:id="87"/>
      <w:bookmarkEnd w:id="88"/>
      <w:bookmarkEnd w:id="89"/>
      <w:bookmarkEnd w:id="90"/>
      <w:bookmarkEnd w:id="91"/>
      <w:bookmarkEnd w:id="92"/>
      <w:bookmarkEnd w:id="93"/>
      <w:bookmarkEnd w:id="94"/>
    </w:p>
    <w:p w14:paraId="7D3916B4">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bookmarkStart w:id="95" w:name="_Toc23292"/>
      <w:bookmarkStart w:id="96" w:name="_Toc13764"/>
      <w:bookmarkStart w:id="97" w:name="_Toc9690"/>
      <w:r>
        <w:rPr>
          <w:rFonts w:hint="default" w:ascii="仿宋_GB2312" w:hAnsi="仿宋_GB2312" w:eastAsia="仿宋_GB2312" w:cs="仿宋_GB2312"/>
          <w:b/>
          <w:bCs/>
          <w:color w:val="auto"/>
          <w:sz w:val="32"/>
          <w:szCs w:val="32"/>
          <w:highlight w:val="none"/>
        </w:rPr>
        <w:t>第</w:t>
      </w:r>
      <w:r>
        <w:rPr>
          <w:rFonts w:hint="default"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val="en-US" w:eastAsia="zh-CN"/>
        </w:rPr>
        <w:t>1</w:t>
      </w:r>
      <w:r>
        <w:rPr>
          <w:rFonts w:hint="default" w:ascii="仿宋_GB2312" w:hAnsi="仿宋_GB2312" w:eastAsia="仿宋_GB2312" w:cs="仿宋_GB2312"/>
          <w:b/>
          <w:bCs/>
          <w:color w:val="auto"/>
          <w:sz w:val="32"/>
          <w:szCs w:val="32"/>
          <w:highlight w:val="none"/>
        </w:rPr>
        <w:t>条 图则管控</w:t>
      </w:r>
      <w:bookmarkEnd w:id="95"/>
      <w:bookmarkEnd w:id="96"/>
      <w:bookmarkEnd w:id="97"/>
    </w:p>
    <w:p w14:paraId="6074D4E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规划图则所设置的管控要求应在符合相关技术规范和标准的前提下，因地制宜，与村庄风貌及周边环境相协调。经审定的规划图则，是规划管理和行政许可的依据，应按相关数据标准形成矢量数据。其中，村庄改造项目中现状合法建筑的容积率、建筑密度等指标无法达到现行标准和规范时，应在充分征求相关主管部门和规划范围内利害关系人意见的前提下，按照正向优化原则，可在图则中对建筑间距、建筑退距、建筑面宽、建筑密度、日照标准、绿地率、机动车停车位等规划指标进行优化，允许通过技术措施以不低于现状条件为底线进行调整。</w:t>
      </w:r>
    </w:p>
    <w:p w14:paraId="4C919384">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bookmarkStart w:id="98" w:name="_Toc28970"/>
      <w:bookmarkStart w:id="99" w:name="_Toc27053"/>
      <w:bookmarkStart w:id="100" w:name="_Toc32079"/>
      <w:r>
        <w:rPr>
          <w:rFonts w:hint="default" w:ascii="仿宋_GB2312" w:hAnsi="仿宋_GB2312" w:eastAsia="仿宋_GB2312" w:cs="仿宋_GB2312"/>
          <w:b/>
          <w:bCs/>
          <w:color w:val="auto"/>
          <w:sz w:val="32"/>
          <w:szCs w:val="32"/>
          <w:highlight w:val="none"/>
        </w:rPr>
        <w:t>第</w:t>
      </w:r>
      <w:r>
        <w:rPr>
          <w:rFonts w:hint="default"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val="en-US" w:eastAsia="zh-CN"/>
        </w:rPr>
        <w:t>2</w:t>
      </w:r>
      <w:r>
        <w:rPr>
          <w:rFonts w:hint="default" w:ascii="仿宋_GB2312" w:hAnsi="仿宋_GB2312" w:eastAsia="仿宋_GB2312" w:cs="仿宋_GB2312"/>
          <w:b/>
          <w:bCs/>
          <w:color w:val="auto"/>
          <w:sz w:val="32"/>
          <w:szCs w:val="32"/>
          <w:highlight w:val="none"/>
        </w:rPr>
        <w:t>条</w:t>
      </w:r>
      <w:r>
        <w:rPr>
          <w:rFonts w:hint="default" w:ascii="仿宋_GB2312" w:hAnsi="仿宋_GB2312" w:eastAsia="仿宋_GB2312" w:cs="仿宋_GB2312"/>
          <w:b/>
          <w:bCs/>
          <w:color w:val="auto"/>
          <w:sz w:val="32"/>
          <w:szCs w:val="32"/>
          <w:highlight w:val="none"/>
          <w:lang w:val="en-US" w:eastAsia="zh-CN"/>
        </w:rPr>
        <w:t xml:space="preserve"> </w:t>
      </w:r>
      <w:r>
        <w:rPr>
          <w:rFonts w:hint="default" w:ascii="仿宋_GB2312" w:hAnsi="仿宋_GB2312" w:eastAsia="仿宋_GB2312" w:cs="仿宋_GB2312"/>
          <w:b/>
          <w:bCs/>
          <w:color w:val="auto"/>
          <w:sz w:val="32"/>
          <w:szCs w:val="32"/>
          <w:highlight w:val="none"/>
        </w:rPr>
        <w:t>制图要求</w:t>
      </w:r>
      <w:bookmarkEnd w:id="98"/>
      <w:bookmarkEnd w:id="99"/>
      <w:bookmarkEnd w:id="100"/>
    </w:p>
    <w:p w14:paraId="6D3DFF8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规划图则应表达项目的地块位置、用地面积、用地性质、容积率、建筑高度、建筑密度、绿地率、出入口方位、停车场泊位、建筑退让及其他需要配置的基础设施和公共设施控制指标等内容，并可包括建筑形式与风格、历史文化保护和环境保护要求等引导性内容。</w:t>
      </w:r>
    </w:p>
    <w:p w14:paraId="4F810C99">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bookmarkStart w:id="101" w:name="_Toc15489"/>
      <w:bookmarkStart w:id="102" w:name="_Toc27755"/>
      <w:bookmarkStart w:id="103" w:name="_Toc10399"/>
      <w:r>
        <w:rPr>
          <w:rFonts w:hint="default" w:ascii="仿宋_GB2312" w:hAnsi="仿宋_GB2312" w:eastAsia="仿宋_GB2312" w:cs="仿宋_GB2312"/>
          <w:b/>
          <w:bCs/>
          <w:color w:val="auto"/>
          <w:sz w:val="32"/>
          <w:szCs w:val="32"/>
          <w:highlight w:val="none"/>
        </w:rPr>
        <w:t>第</w:t>
      </w:r>
      <w:r>
        <w:rPr>
          <w:rFonts w:hint="default"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val="en-US" w:eastAsia="zh-CN"/>
        </w:rPr>
        <w:t>3</w:t>
      </w:r>
      <w:r>
        <w:rPr>
          <w:rFonts w:hint="default" w:ascii="仿宋_GB2312" w:hAnsi="仿宋_GB2312" w:eastAsia="仿宋_GB2312" w:cs="仿宋_GB2312"/>
          <w:b/>
          <w:bCs/>
          <w:color w:val="auto"/>
          <w:sz w:val="32"/>
          <w:szCs w:val="32"/>
          <w:highlight w:val="none"/>
        </w:rPr>
        <w:t>条</w:t>
      </w:r>
      <w:r>
        <w:rPr>
          <w:rFonts w:hint="default" w:ascii="仿宋_GB2312" w:hAnsi="仿宋_GB2312" w:eastAsia="仿宋_GB2312" w:cs="仿宋_GB2312"/>
          <w:b/>
          <w:bCs/>
          <w:color w:val="auto"/>
          <w:sz w:val="32"/>
          <w:szCs w:val="32"/>
          <w:highlight w:val="none"/>
          <w:lang w:val="en-US" w:eastAsia="zh-CN"/>
        </w:rPr>
        <w:t xml:space="preserve"> </w:t>
      </w:r>
      <w:r>
        <w:rPr>
          <w:rFonts w:hint="default" w:ascii="仿宋_GB2312" w:hAnsi="仿宋_GB2312" w:eastAsia="仿宋_GB2312" w:cs="仿宋_GB2312"/>
          <w:b/>
          <w:bCs/>
          <w:color w:val="auto"/>
          <w:sz w:val="32"/>
          <w:szCs w:val="32"/>
          <w:highlight w:val="none"/>
        </w:rPr>
        <w:t>程序要求</w:t>
      </w:r>
      <w:bookmarkEnd w:id="101"/>
      <w:bookmarkEnd w:id="102"/>
      <w:bookmarkEnd w:id="103"/>
    </w:p>
    <w:p w14:paraId="58274FC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规划图则由乡镇人民政府组织编制，由县自然资源主管部门组织技术审查和论证，由乡镇人民政府组织村（居）民委员会、村（居）民会议或村（居）民代表会议讨论通过，并在村（居）委会内公示栏或乡镇人民政府官方网站公示，公示时间不得少于7日。公示期满无异议后，报</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人民政府批准，经县自然资源主管部门备案后施行。</w:t>
      </w:r>
    </w:p>
    <w:p w14:paraId="3AA23E5C">
      <w:pPr>
        <w:pStyle w:val="2"/>
        <w:spacing w:before="240" w:after="240" w:line="360" w:lineRule="auto"/>
        <w:ind w:firstLine="643"/>
        <w:jc w:val="center"/>
        <w:rPr>
          <w:rFonts w:hint="default" w:ascii="黑体" w:hAnsi="黑体" w:eastAsia="黑体" w:cs="黑体"/>
          <w:b/>
          <w:bCs/>
          <w:color w:val="auto"/>
          <w:sz w:val="32"/>
          <w:szCs w:val="32"/>
          <w:highlight w:val="none"/>
          <w:lang w:val="en-US" w:eastAsia="zh-CN"/>
        </w:rPr>
      </w:pPr>
      <w:bookmarkStart w:id="104" w:name="_Toc26154"/>
      <w:bookmarkStart w:id="105" w:name="_Toc9600"/>
      <w:bookmarkStart w:id="106" w:name="_Toc15405"/>
      <w:bookmarkStart w:id="107" w:name="_Toc18871"/>
      <w:bookmarkStart w:id="108" w:name="_Toc13205"/>
      <w:bookmarkStart w:id="109" w:name="_Toc18180"/>
      <w:bookmarkStart w:id="110" w:name="_Toc19891"/>
      <w:bookmarkStart w:id="111" w:name="_Toc11958"/>
      <w:bookmarkStart w:id="112" w:name="_Toc3495"/>
      <w:bookmarkStart w:id="113" w:name="_Toc32529"/>
      <w:bookmarkStart w:id="114" w:name="_Toc17297"/>
      <w:r>
        <w:rPr>
          <w:rFonts w:hint="default" w:ascii="黑体" w:hAnsi="黑体" w:eastAsia="黑体" w:cs="黑体"/>
          <w:b/>
          <w:bCs/>
          <w:color w:val="auto"/>
          <w:sz w:val="32"/>
          <w:szCs w:val="32"/>
          <w:highlight w:val="none"/>
          <w:lang w:val="en-US" w:eastAsia="zh-CN"/>
        </w:rPr>
        <w:t>第五章 实施管理</w:t>
      </w:r>
      <w:bookmarkEnd w:id="104"/>
      <w:bookmarkEnd w:id="105"/>
      <w:bookmarkEnd w:id="106"/>
      <w:bookmarkEnd w:id="107"/>
      <w:bookmarkEnd w:id="108"/>
      <w:bookmarkEnd w:id="109"/>
      <w:bookmarkEnd w:id="110"/>
      <w:bookmarkEnd w:id="111"/>
      <w:bookmarkEnd w:id="112"/>
      <w:bookmarkEnd w:id="113"/>
      <w:bookmarkEnd w:id="114"/>
    </w:p>
    <w:p w14:paraId="4D5B5537">
      <w:pPr>
        <w:pStyle w:val="4"/>
        <w:keepNext/>
        <w:keepLines/>
        <w:pageBreakBefore w:val="0"/>
        <w:widowControl w:val="0"/>
        <w:numPr>
          <w:ilvl w:val="2"/>
          <w:numId w:val="0"/>
        </w:numPr>
        <w:kinsoku/>
        <w:wordWrap/>
        <w:overflowPunct/>
        <w:topLinePunct w:val="0"/>
        <w:autoSpaceDE/>
        <w:autoSpaceDN/>
        <w:bidi w:val="0"/>
        <w:adjustRightInd/>
        <w:snapToGrid/>
        <w:spacing w:line="360" w:lineRule="auto"/>
        <w:ind w:leftChars="200"/>
        <w:textAlignment w:val="auto"/>
        <w:outlineLvl w:val="2"/>
        <w:rPr>
          <w:rFonts w:hint="default" w:ascii="仿宋_GB2312" w:hAnsi="仿宋_GB2312" w:eastAsia="仿宋_GB2312" w:cs="仿宋_GB2312"/>
          <w:b/>
          <w:bCs/>
          <w:color w:val="auto"/>
          <w:sz w:val="32"/>
          <w:szCs w:val="32"/>
          <w:highlight w:val="none"/>
        </w:rPr>
      </w:pPr>
      <w:bookmarkStart w:id="115" w:name="_Toc12438"/>
      <w:bookmarkStart w:id="116" w:name="_Toc18640"/>
      <w:r>
        <w:rPr>
          <w:rFonts w:hint="default" w:ascii="仿宋_GB2312" w:hAnsi="仿宋_GB2312" w:eastAsia="仿宋_GB2312" w:cs="仿宋_GB2312"/>
          <w:b/>
          <w:bCs/>
          <w:color w:val="auto"/>
          <w:sz w:val="32"/>
          <w:szCs w:val="32"/>
          <w:highlight w:val="none"/>
        </w:rPr>
        <w:t>第2</w:t>
      </w:r>
      <w:r>
        <w:rPr>
          <w:rFonts w:hint="eastAsia" w:ascii="仿宋_GB2312" w:hAnsi="仿宋_GB2312" w:eastAsia="仿宋_GB2312" w:cs="仿宋_GB2312"/>
          <w:b/>
          <w:bCs/>
          <w:color w:val="auto"/>
          <w:sz w:val="32"/>
          <w:szCs w:val="32"/>
          <w:highlight w:val="none"/>
          <w:lang w:val="en-US" w:eastAsia="zh-CN"/>
        </w:rPr>
        <w:t>4</w:t>
      </w:r>
      <w:r>
        <w:rPr>
          <w:rFonts w:hint="default" w:ascii="仿宋_GB2312" w:hAnsi="仿宋_GB2312" w:eastAsia="仿宋_GB2312" w:cs="仿宋_GB2312"/>
          <w:b/>
          <w:bCs/>
          <w:color w:val="auto"/>
          <w:sz w:val="32"/>
          <w:szCs w:val="32"/>
          <w:highlight w:val="none"/>
        </w:rPr>
        <w:t>条 加强实施监督</w:t>
      </w:r>
      <w:bookmarkEnd w:id="115"/>
      <w:bookmarkEnd w:id="116"/>
    </w:p>
    <w:p w14:paraId="2A37689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本规定将保持动态完善，及时总结实践经验，适时进行修订更新，以确保其始终具备高度的针对性和可操作性，为</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乡村建设规划管理工作提供更为精准有效的服务。</w:t>
      </w:r>
    </w:p>
    <w:p w14:paraId="4FFD9B3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本规定印发实施后需修改的，由原组织编制机关按照程序进行修改，并报原审批机关审批。</w:t>
      </w:r>
    </w:p>
    <w:p w14:paraId="41282DBB">
      <w:pPr>
        <w:pStyle w:val="2"/>
        <w:spacing w:before="240" w:after="240" w:line="360" w:lineRule="auto"/>
        <w:ind w:firstLine="643"/>
        <w:jc w:val="center"/>
        <w:rPr>
          <w:rFonts w:hint="default" w:ascii="黑体" w:hAnsi="黑体" w:eastAsia="黑体" w:cs="黑体"/>
          <w:b/>
          <w:bCs/>
          <w:color w:val="auto"/>
          <w:sz w:val="32"/>
          <w:szCs w:val="32"/>
          <w:highlight w:val="none"/>
          <w:lang w:val="en-US" w:eastAsia="zh-CN"/>
        </w:rPr>
      </w:pPr>
      <w:bookmarkStart w:id="117" w:name="_Toc22617"/>
      <w:bookmarkStart w:id="118" w:name="_Toc9890"/>
      <w:bookmarkStart w:id="119" w:name="_Toc13746"/>
      <w:bookmarkStart w:id="120" w:name="_Toc11208"/>
      <w:bookmarkStart w:id="121" w:name="_Toc13197"/>
      <w:bookmarkStart w:id="122" w:name="_Toc10624"/>
      <w:bookmarkStart w:id="123" w:name="_Toc3667"/>
      <w:r>
        <w:rPr>
          <w:rFonts w:hint="default" w:ascii="黑体" w:hAnsi="黑体" w:eastAsia="黑体" w:cs="黑体"/>
          <w:b/>
          <w:bCs/>
          <w:color w:val="auto"/>
          <w:sz w:val="32"/>
          <w:szCs w:val="32"/>
          <w:highlight w:val="none"/>
          <w:lang w:val="en-US" w:eastAsia="zh-CN"/>
        </w:rPr>
        <w:t>第六章 附则</w:t>
      </w:r>
      <w:bookmarkEnd w:id="117"/>
      <w:bookmarkEnd w:id="118"/>
      <w:bookmarkEnd w:id="119"/>
      <w:bookmarkEnd w:id="120"/>
      <w:bookmarkEnd w:id="121"/>
      <w:bookmarkEnd w:id="122"/>
      <w:bookmarkEnd w:id="123"/>
    </w:p>
    <w:p w14:paraId="25CD28A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b/>
          <w:bCs/>
          <w:color w:val="auto"/>
          <w:kern w:val="2"/>
          <w:sz w:val="32"/>
          <w:szCs w:val="32"/>
          <w:highlight w:val="none"/>
          <w:lang w:val="en-US" w:eastAsia="zh-CN" w:bidi="ar-SA"/>
        </w:rPr>
        <w:t>第2</w:t>
      </w:r>
      <w:r>
        <w:rPr>
          <w:rFonts w:hint="eastAsia" w:ascii="仿宋_GB2312" w:hAnsi="仿宋_GB2312" w:eastAsia="仿宋_GB2312" w:cs="仿宋_GB2312"/>
          <w:b/>
          <w:bCs/>
          <w:color w:val="auto"/>
          <w:kern w:val="2"/>
          <w:sz w:val="32"/>
          <w:szCs w:val="32"/>
          <w:highlight w:val="none"/>
          <w:lang w:val="en-US" w:eastAsia="zh-CN" w:bidi="ar-SA"/>
        </w:rPr>
        <w:t>5</w:t>
      </w:r>
      <w:r>
        <w:rPr>
          <w:rFonts w:hint="default" w:ascii="仿宋_GB2312" w:hAnsi="仿宋_GB2312" w:eastAsia="仿宋_GB2312" w:cs="仿宋_GB2312"/>
          <w:b/>
          <w:bCs/>
          <w:color w:val="auto"/>
          <w:kern w:val="2"/>
          <w:sz w:val="32"/>
          <w:szCs w:val="32"/>
          <w:highlight w:val="none"/>
          <w:lang w:val="en-US" w:eastAsia="zh-CN" w:bidi="ar-SA"/>
        </w:rPr>
        <w:t>条</w:t>
      </w:r>
      <w:r>
        <w:rPr>
          <w:rFonts w:hint="default" w:ascii="仿宋_GB2312" w:hAnsi="仿宋_GB2312" w:eastAsia="仿宋_GB2312" w:cs="仿宋_GB2312"/>
          <w:color w:val="auto"/>
          <w:highlight w:val="none"/>
          <w:lang w:val="en-US" w:eastAsia="zh-CN"/>
        </w:rPr>
        <w:t xml:space="preserve"> 本规定中涉及农村宅基地合理布局、用地标准等内容的由农业农村主管部门负责解释；涉及国土空间规划（含村庄规划）编制、乡村建设规划许可等内容的由自然资源主管部门负责解释；涉及农房设计图集编制、建筑风貌管控等内容的由住房城乡建设主管部门负责解释。</w:t>
      </w:r>
    </w:p>
    <w:p w14:paraId="147F1CD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b/>
          <w:bCs/>
          <w:color w:val="auto"/>
          <w:highlight w:val="none"/>
          <w:lang w:val="en-US" w:eastAsia="zh-CN"/>
        </w:rPr>
        <w:t>第2</w:t>
      </w:r>
      <w:r>
        <w:rPr>
          <w:rFonts w:hint="eastAsia" w:ascii="仿宋_GB2312" w:hAnsi="仿宋_GB2312" w:eastAsia="仿宋_GB2312" w:cs="仿宋_GB2312"/>
          <w:b/>
          <w:bCs/>
          <w:color w:val="auto"/>
          <w:highlight w:val="none"/>
          <w:lang w:val="en-US" w:eastAsia="zh-CN"/>
        </w:rPr>
        <w:t>6</w:t>
      </w:r>
      <w:r>
        <w:rPr>
          <w:rFonts w:hint="default" w:ascii="仿宋_GB2312" w:hAnsi="仿宋_GB2312" w:eastAsia="仿宋_GB2312" w:cs="仿宋_GB2312"/>
          <w:b/>
          <w:bCs/>
          <w:color w:val="auto"/>
          <w:highlight w:val="none"/>
          <w:lang w:val="en-US" w:eastAsia="zh-CN"/>
        </w:rPr>
        <w:t>条</w:t>
      </w:r>
      <w:r>
        <w:rPr>
          <w:rFonts w:hint="default" w:ascii="仿宋_GB2312" w:hAnsi="仿宋_GB2312" w:eastAsia="仿宋_GB2312" w:cs="仿宋_GB2312"/>
          <w:color w:val="auto"/>
          <w:highlight w:val="none"/>
          <w:lang w:val="en-US" w:eastAsia="zh-CN"/>
        </w:rPr>
        <w:t xml:space="preserve"> 本规定自印发之日起正式施行，有效期两年。</w:t>
      </w:r>
    </w:p>
    <w:p w14:paraId="49CCC9F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b/>
          <w:bCs/>
          <w:color w:val="auto"/>
          <w:highlight w:val="none"/>
          <w:lang w:val="en-US" w:eastAsia="zh-CN"/>
        </w:rPr>
        <w:t>第2</w:t>
      </w:r>
      <w:r>
        <w:rPr>
          <w:rFonts w:hint="eastAsia" w:ascii="仿宋_GB2312" w:hAnsi="仿宋_GB2312" w:eastAsia="仿宋_GB2312" w:cs="仿宋_GB2312"/>
          <w:b/>
          <w:bCs/>
          <w:color w:val="auto"/>
          <w:highlight w:val="none"/>
          <w:lang w:val="en-US" w:eastAsia="zh-CN"/>
        </w:rPr>
        <w:t>7</w:t>
      </w:r>
      <w:r>
        <w:rPr>
          <w:rFonts w:hint="default" w:ascii="仿宋_GB2312" w:hAnsi="仿宋_GB2312" w:eastAsia="仿宋_GB2312" w:cs="仿宋_GB2312"/>
          <w:b/>
          <w:bCs/>
          <w:color w:val="auto"/>
          <w:highlight w:val="none"/>
          <w:lang w:val="en-US" w:eastAsia="zh-CN"/>
        </w:rPr>
        <w:t>条</w:t>
      </w:r>
      <w:r>
        <w:rPr>
          <w:rFonts w:hint="default" w:ascii="仿宋_GB2312" w:hAnsi="仿宋_GB2312" w:eastAsia="仿宋_GB2312" w:cs="仿宋_GB2312"/>
          <w:color w:val="auto"/>
          <w:highlight w:val="none"/>
          <w:lang w:val="en-US" w:eastAsia="zh-CN"/>
        </w:rPr>
        <w:t xml:space="preserve"> 本规定如与法律法规以及相关政策文件相冲突，或本规定未提及的内容，需遵照国家、自治区及桂林市相关法律规范执行。本规定如与上级文件相冲突的，按上级文件执行。</w:t>
      </w:r>
    </w:p>
    <w:p w14:paraId="41FAD61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b/>
          <w:bCs/>
          <w:color w:val="auto"/>
          <w:highlight w:val="none"/>
          <w:lang w:val="en-US" w:eastAsia="zh-CN"/>
        </w:rPr>
        <w:t>第2</w:t>
      </w:r>
      <w:r>
        <w:rPr>
          <w:rFonts w:hint="eastAsia" w:ascii="仿宋_GB2312" w:hAnsi="仿宋_GB2312" w:eastAsia="仿宋_GB2312" w:cs="仿宋_GB2312"/>
          <w:b/>
          <w:bCs/>
          <w:color w:val="auto"/>
          <w:highlight w:val="none"/>
          <w:lang w:val="en-US" w:eastAsia="zh-CN"/>
        </w:rPr>
        <w:t>8</w:t>
      </w:r>
      <w:r>
        <w:rPr>
          <w:rFonts w:hint="default" w:ascii="仿宋_GB2312" w:hAnsi="仿宋_GB2312" w:eastAsia="仿宋_GB2312" w:cs="仿宋_GB2312"/>
          <w:b/>
          <w:bCs/>
          <w:color w:val="auto"/>
          <w:highlight w:val="none"/>
          <w:lang w:val="en-US" w:eastAsia="zh-CN"/>
        </w:rPr>
        <w:t>条</w:t>
      </w:r>
      <w:r>
        <w:rPr>
          <w:rFonts w:hint="default" w:ascii="仿宋_GB2312" w:hAnsi="仿宋_GB2312" w:eastAsia="仿宋_GB2312" w:cs="仿宋_GB2312"/>
          <w:color w:val="auto"/>
          <w:highlight w:val="none"/>
          <w:lang w:val="en-US" w:eastAsia="zh-CN"/>
        </w:rPr>
        <w:t xml:space="preserve"> 本规定有关用语</w:t>
      </w:r>
    </w:p>
    <w:p w14:paraId="3C1C59D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在执行本规定条文时，对要求严格程度不同的用词说明如下：</w:t>
      </w:r>
    </w:p>
    <w:p w14:paraId="18BFAFE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（一）</w:t>
      </w:r>
      <w:r>
        <w:rPr>
          <w:rFonts w:hint="default" w:ascii="仿宋_GB2312" w:hAnsi="仿宋_GB2312" w:eastAsia="仿宋_GB2312" w:cs="仿宋_GB2312"/>
          <w:color w:val="auto"/>
          <w:highlight w:val="none"/>
          <w:lang w:val="en-US" w:eastAsia="zh-CN"/>
        </w:rPr>
        <w:t>表示很严格，非这样做不可的用词：正面词采用“必须”，反面词采用“严禁”。</w:t>
      </w:r>
    </w:p>
    <w:p w14:paraId="5956FB2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（二）</w:t>
      </w:r>
      <w:r>
        <w:rPr>
          <w:rFonts w:hint="default" w:ascii="仿宋_GB2312" w:hAnsi="仿宋_GB2312" w:eastAsia="仿宋_GB2312" w:cs="仿宋_GB2312"/>
          <w:color w:val="auto"/>
          <w:highlight w:val="none"/>
          <w:lang w:val="en-US" w:eastAsia="zh-CN"/>
        </w:rPr>
        <w:t>表示严格，在正常情况均应这样做的用词：正面词采用“应”，反面词采用“不应”或“不得”。</w:t>
      </w:r>
    </w:p>
    <w:p w14:paraId="62F155F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（三）</w:t>
      </w:r>
      <w:r>
        <w:rPr>
          <w:rFonts w:hint="default" w:ascii="仿宋_GB2312" w:hAnsi="仿宋_GB2312" w:eastAsia="仿宋_GB2312" w:cs="仿宋_GB2312"/>
          <w:color w:val="auto"/>
          <w:highlight w:val="none"/>
          <w:lang w:val="en-US" w:eastAsia="zh-CN"/>
        </w:rPr>
        <w:t>表示允许稍有选择，在条件许可时首先应这样做的用词：正面词采用“宜”，反面词采用“不宜”。</w:t>
      </w:r>
    </w:p>
    <w:p w14:paraId="4F075D6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（四）</w:t>
      </w:r>
      <w:r>
        <w:rPr>
          <w:rFonts w:hint="default" w:ascii="仿宋_GB2312" w:hAnsi="仿宋_GB2312" w:eastAsia="仿宋_GB2312" w:cs="仿宋_GB2312"/>
          <w:color w:val="auto"/>
          <w:highlight w:val="none"/>
          <w:lang w:val="en-US" w:eastAsia="zh-CN"/>
        </w:rPr>
        <w:t>表示有选择，在一定条件下可以这样做的用词，采用“可”。</w:t>
      </w:r>
    </w:p>
    <w:p w14:paraId="6F547BF8">
      <w:pPr>
        <w:widowControl/>
        <w:snapToGrid/>
        <w:spacing w:line="240" w:lineRule="auto"/>
        <w:ind w:firstLine="0"/>
        <w:rPr>
          <w:rFonts w:hint="default" w:ascii="仿宋_GB2312" w:hAnsi="仿宋_GB2312" w:eastAsia="仿宋_GB2312" w:cs="仿宋_GB2312"/>
          <w:color w:val="auto"/>
          <w:highlight w:val="none"/>
          <w:lang w:val="en-US" w:eastAsia="zh-CN"/>
        </w:rPr>
        <w:sectPr>
          <w:footerReference r:id="rId9" w:type="default"/>
          <w:pgSz w:w="11906" w:h="16838"/>
          <w:pgMar w:top="1440" w:right="1800" w:bottom="1440" w:left="1800" w:header="851" w:footer="992" w:gutter="0"/>
          <w:pgNumType w:fmt="decimal" w:start="1"/>
          <w:cols w:space="425" w:num="1"/>
          <w:docGrid w:type="lines" w:linePitch="312" w:charSpace="0"/>
        </w:sectPr>
      </w:pPr>
      <w:r>
        <w:rPr>
          <w:rFonts w:hint="default" w:ascii="仿宋_GB2312" w:hAnsi="仿宋_GB2312" w:eastAsia="仿宋_GB2312" w:cs="仿宋_GB2312"/>
          <w:color w:val="auto"/>
          <w:highlight w:val="none"/>
          <w:lang w:val="en-US" w:eastAsia="zh-CN"/>
        </w:rPr>
        <w:t>条文中指明应按其他有关标准、规范执行的要求为：“应符合……的规定（要求）”或“应按照……执行”，如相关标准、规范有更新，按最新文件要求执行。</w:t>
      </w:r>
    </w:p>
    <w:p w14:paraId="6D0AAB57">
      <w:pPr>
        <w:pStyle w:val="2"/>
        <w:spacing w:before="240" w:after="240" w:line="360" w:lineRule="auto"/>
        <w:ind w:firstLine="643"/>
        <w:jc w:val="center"/>
        <w:rPr>
          <w:rFonts w:hint="default" w:ascii="黑体" w:hAnsi="黑体" w:eastAsia="黑体" w:cs="黑体"/>
          <w:b/>
          <w:bCs/>
          <w:color w:val="auto"/>
          <w:sz w:val="32"/>
          <w:szCs w:val="32"/>
          <w:highlight w:val="none"/>
          <w:lang w:val="en-US" w:eastAsia="zh-CN"/>
        </w:rPr>
      </w:pPr>
      <w:bookmarkStart w:id="124" w:name="_Toc393"/>
      <w:bookmarkStart w:id="125" w:name="_Toc29274"/>
      <w:bookmarkStart w:id="126" w:name="_Toc7585"/>
      <w:bookmarkStart w:id="127" w:name="_Toc14368"/>
      <w:bookmarkStart w:id="128" w:name="_Toc23650"/>
      <w:bookmarkStart w:id="129" w:name="_Toc26563"/>
      <w:bookmarkStart w:id="130" w:name="_Toc11627"/>
      <w:r>
        <w:rPr>
          <w:rFonts w:hint="default" w:ascii="黑体" w:hAnsi="黑体" w:eastAsia="黑体" w:cs="黑体"/>
          <w:b/>
          <w:bCs/>
          <w:color w:val="auto"/>
          <w:sz w:val="32"/>
          <w:szCs w:val="32"/>
          <w:highlight w:val="none"/>
          <w:lang w:val="en-US" w:eastAsia="zh-CN"/>
        </w:rPr>
        <w:t>附录</w:t>
      </w:r>
      <w:bookmarkEnd w:id="124"/>
      <w:bookmarkEnd w:id="125"/>
      <w:bookmarkEnd w:id="126"/>
      <w:bookmarkEnd w:id="127"/>
      <w:bookmarkEnd w:id="128"/>
      <w:bookmarkEnd w:id="129"/>
      <w:bookmarkEnd w:id="130"/>
    </w:p>
    <w:p w14:paraId="462B6ED8">
      <w:pPr>
        <w:pStyle w:val="3"/>
        <w:shd w:val="clear"/>
        <w:bidi w:val="0"/>
        <w:ind w:left="0" w:leftChars="0" w:firstLine="0" w:firstLineChars="0"/>
        <w:jc w:val="center"/>
        <w:rPr>
          <w:rFonts w:hint="default" w:ascii="Times New Roman" w:hAnsi="Times New Roman" w:eastAsia="仿宋" w:cs="Times New Roman"/>
          <w:b/>
          <w:bCs/>
          <w:color w:val="auto"/>
          <w:sz w:val="32"/>
          <w:szCs w:val="32"/>
          <w:highlight w:val="none"/>
          <w:lang w:val="en-US" w:eastAsia="zh-CN"/>
        </w:rPr>
      </w:pPr>
      <w:bookmarkStart w:id="131" w:name="_Toc16803"/>
      <w:bookmarkStart w:id="132" w:name="_Toc23875"/>
      <w:bookmarkStart w:id="133" w:name="_Toc22847"/>
      <w:bookmarkStart w:id="134" w:name="_Toc27791"/>
      <w:bookmarkStart w:id="135" w:name="_Toc4748"/>
      <w:bookmarkStart w:id="136" w:name="_Toc27609"/>
      <w:bookmarkStart w:id="137" w:name="_Toc29105"/>
      <w:r>
        <w:rPr>
          <w:rFonts w:hint="eastAsia" w:ascii="Times New Roman" w:hAnsi="Times New Roman" w:eastAsia="仿宋" w:cs="Times New Roman"/>
          <w:b/>
          <w:bCs/>
          <w:color w:val="auto"/>
          <w:sz w:val="32"/>
          <w:szCs w:val="32"/>
          <w:highlight w:val="none"/>
          <w:lang w:val="en-US" w:eastAsia="zh-CN"/>
        </w:rPr>
        <w:t xml:space="preserve">    </w:t>
      </w:r>
      <w:bookmarkStart w:id="138" w:name="_Toc17111"/>
      <w:r>
        <w:rPr>
          <w:rFonts w:hint="default" w:ascii="Times New Roman" w:hAnsi="Times New Roman" w:eastAsia="仿宋" w:cs="Times New Roman"/>
          <w:b/>
          <w:bCs/>
          <w:color w:val="auto"/>
          <w:sz w:val="32"/>
          <w:szCs w:val="32"/>
          <w:highlight w:val="none"/>
          <w:lang w:val="en-US" w:eastAsia="zh-CN"/>
        </w:rPr>
        <w:t>附录A名词解释</w:t>
      </w:r>
      <w:bookmarkEnd w:id="131"/>
      <w:bookmarkEnd w:id="132"/>
      <w:bookmarkEnd w:id="133"/>
      <w:bookmarkEnd w:id="134"/>
      <w:bookmarkEnd w:id="135"/>
      <w:bookmarkEnd w:id="136"/>
      <w:bookmarkEnd w:id="137"/>
      <w:bookmarkEnd w:id="138"/>
    </w:p>
    <w:p w14:paraId="3DB4FBF7">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39" w:name="_Toc27813"/>
      <w:bookmarkStart w:id="140" w:name="_Toc3874"/>
      <w:bookmarkStart w:id="141" w:name="_Toc17602"/>
      <w:r>
        <w:rPr>
          <w:rFonts w:hint="default" w:ascii="仿宋_GB2312" w:hAnsi="仿宋_GB2312" w:eastAsia="仿宋_GB2312" w:cs="仿宋_GB2312"/>
          <w:b/>
          <w:bCs/>
          <w:color w:val="auto"/>
          <w:highlight w:val="none"/>
          <w:lang w:val="en-US" w:eastAsia="zh-CN"/>
        </w:rPr>
        <w:t>1.农村宅基地</w:t>
      </w:r>
    </w:p>
    <w:p w14:paraId="3C404A8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指农村村民用于建造住宅及其附属设施的集体建设用地，包括住房、附属用房和庭院等用地。</w:t>
      </w:r>
    </w:p>
    <w:p w14:paraId="46847FC2">
      <w:pPr>
        <w:widowControl/>
        <w:snapToGrid/>
        <w:spacing w:line="240" w:lineRule="auto"/>
        <w:ind w:firstLine="0"/>
        <w:rPr>
          <w:rFonts w:hint="default" w:ascii="仿宋_GB2312" w:hAnsi="仿宋_GB2312" w:eastAsia="仿宋_GB2312" w:cs="仿宋_GB2312"/>
          <w:b/>
          <w:bCs/>
          <w:color w:val="auto"/>
          <w:highlight w:val="none"/>
          <w:lang w:val="en-US" w:eastAsia="zh-CN"/>
        </w:rPr>
      </w:pPr>
      <w:r>
        <w:rPr>
          <w:rFonts w:hint="default" w:ascii="仿宋_GB2312" w:hAnsi="仿宋_GB2312" w:eastAsia="仿宋_GB2312" w:cs="仿宋_GB2312"/>
          <w:b/>
          <w:bCs/>
          <w:color w:val="auto"/>
          <w:highlight w:val="none"/>
          <w:lang w:val="en-US" w:eastAsia="zh-CN"/>
        </w:rPr>
        <w:t>2.村庄建设边界</w:t>
      </w:r>
      <w:bookmarkEnd w:id="139"/>
      <w:bookmarkEnd w:id="140"/>
      <w:bookmarkEnd w:id="141"/>
    </w:p>
    <w:p w14:paraId="5F83E2A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指在一定时期内，可以进行村庄开发建设及需要重点管控的国土空间范围，是规划相对集中的农村居民点建设用地以及因村庄建设和发展需要必须实行规划控制的区域。</w:t>
      </w:r>
    </w:p>
    <w:p w14:paraId="4E7015FD">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42" w:name="_Toc28080"/>
      <w:bookmarkStart w:id="143" w:name="_Toc1347"/>
      <w:bookmarkStart w:id="144" w:name="_Toc14654"/>
      <w:r>
        <w:rPr>
          <w:rFonts w:hint="default" w:ascii="仿宋_GB2312" w:hAnsi="仿宋_GB2312" w:eastAsia="仿宋_GB2312" w:cs="仿宋_GB2312"/>
          <w:b/>
          <w:bCs/>
          <w:color w:val="auto"/>
          <w:highlight w:val="none"/>
          <w:lang w:val="en-US" w:eastAsia="zh-CN"/>
        </w:rPr>
        <w:t>3.村庄建设用地</w:t>
      </w:r>
      <w:bookmarkEnd w:id="142"/>
      <w:bookmarkEnd w:id="143"/>
      <w:bookmarkEnd w:id="144"/>
    </w:p>
    <w:p w14:paraId="31F0C07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指乡村居民点，乡村所属的商业服务业、住宅、工业、学校等用地，包括乡镇政府所在地和乡村居民点范围内的其他各类建设用地。</w:t>
      </w:r>
    </w:p>
    <w:p w14:paraId="45D704C1">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45" w:name="_Toc16752"/>
      <w:bookmarkStart w:id="146" w:name="_Toc5505"/>
      <w:bookmarkStart w:id="147" w:name="_Toc24365"/>
      <w:r>
        <w:rPr>
          <w:rFonts w:hint="default" w:ascii="仿宋_GB2312" w:hAnsi="仿宋_GB2312" w:eastAsia="仿宋_GB2312" w:cs="仿宋_GB2312"/>
          <w:b/>
          <w:bCs/>
          <w:color w:val="auto"/>
          <w:highlight w:val="none"/>
          <w:lang w:val="en-US" w:eastAsia="zh-CN"/>
        </w:rPr>
        <w:t>4.一类工业用地</w:t>
      </w:r>
      <w:bookmarkEnd w:id="145"/>
      <w:bookmarkEnd w:id="146"/>
      <w:bookmarkEnd w:id="147"/>
    </w:p>
    <w:p w14:paraId="4E18072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对居住和公共环境基本无干扰、污染和安全隐患，布局无特殊控制要求的工业用地。</w:t>
      </w:r>
    </w:p>
    <w:p w14:paraId="7DFEA372">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48" w:name="_Toc18123"/>
      <w:bookmarkStart w:id="149" w:name="_Toc671"/>
      <w:bookmarkStart w:id="150" w:name="_Toc2759"/>
      <w:r>
        <w:rPr>
          <w:rFonts w:hint="default" w:ascii="仿宋_GB2312" w:hAnsi="仿宋_GB2312" w:eastAsia="仿宋_GB2312" w:cs="仿宋_GB2312"/>
          <w:b/>
          <w:bCs/>
          <w:color w:val="auto"/>
          <w:highlight w:val="none"/>
          <w:lang w:val="en-US" w:eastAsia="zh-CN"/>
        </w:rPr>
        <w:t>5.二类工业用地</w:t>
      </w:r>
      <w:bookmarkEnd w:id="148"/>
      <w:bookmarkEnd w:id="149"/>
      <w:bookmarkEnd w:id="150"/>
    </w:p>
    <w:p w14:paraId="1F9CD0F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对居住和公共环境有一定干扰、污染和安全隐患，不可布局于居住区和公共设施集中区内的工业用地。</w:t>
      </w:r>
    </w:p>
    <w:p w14:paraId="4252AEC0">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51" w:name="_Toc19933"/>
      <w:bookmarkStart w:id="152" w:name="_Toc16517"/>
      <w:bookmarkStart w:id="153" w:name="_Toc4188"/>
      <w:r>
        <w:rPr>
          <w:rFonts w:hint="default" w:ascii="仿宋_GB2312" w:hAnsi="仿宋_GB2312" w:eastAsia="仿宋_GB2312" w:cs="仿宋_GB2312"/>
          <w:b/>
          <w:bCs/>
          <w:color w:val="auto"/>
          <w:highlight w:val="none"/>
          <w:lang w:val="en-US" w:eastAsia="zh-CN"/>
        </w:rPr>
        <w:t>6.一类物流仓储用地</w:t>
      </w:r>
      <w:bookmarkEnd w:id="151"/>
      <w:bookmarkEnd w:id="152"/>
      <w:bookmarkEnd w:id="153"/>
    </w:p>
    <w:p w14:paraId="1EBD726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对居住和公共环境基本无干扰、污染和安全隐患，布局无特殊控制要求的物流仓储用地。</w:t>
      </w:r>
    </w:p>
    <w:p w14:paraId="06EE3AD1">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54" w:name="_Toc5704"/>
      <w:bookmarkStart w:id="155" w:name="_Toc2369"/>
      <w:bookmarkStart w:id="156" w:name="_Toc26709"/>
      <w:r>
        <w:rPr>
          <w:rFonts w:hint="default" w:ascii="仿宋_GB2312" w:hAnsi="仿宋_GB2312" w:eastAsia="仿宋_GB2312" w:cs="仿宋_GB2312"/>
          <w:b/>
          <w:bCs/>
          <w:color w:val="auto"/>
          <w:highlight w:val="none"/>
          <w:lang w:val="en-US" w:eastAsia="zh-CN"/>
        </w:rPr>
        <w:t>7.二类物流仓储用地</w:t>
      </w:r>
      <w:bookmarkEnd w:id="154"/>
      <w:bookmarkEnd w:id="155"/>
      <w:bookmarkEnd w:id="156"/>
    </w:p>
    <w:p w14:paraId="1FB8259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指对居住和公共环境有一定干扰、污染和安全隐患，不可布局于居住区和公共设施集中区内的物流仓储用地。</w:t>
      </w:r>
    </w:p>
    <w:p w14:paraId="5BC4BD51">
      <w:pPr>
        <w:widowControl/>
        <w:snapToGrid/>
        <w:spacing w:line="240" w:lineRule="auto"/>
        <w:ind w:firstLine="0"/>
        <w:rPr>
          <w:rFonts w:hint="default" w:ascii="仿宋_GB2312" w:hAnsi="仿宋_GB2312" w:eastAsia="仿宋_GB2312" w:cs="仿宋_GB2312"/>
          <w:b/>
          <w:bCs/>
          <w:color w:val="auto"/>
          <w:highlight w:val="none"/>
          <w:lang w:val="en-US" w:eastAsia="zh-CN"/>
        </w:rPr>
      </w:pPr>
      <w:r>
        <w:rPr>
          <w:rFonts w:hint="default" w:ascii="仿宋_GB2312" w:hAnsi="仿宋_GB2312" w:eastAsia="仿宋_GB2312" w:cs="仿宋_GB2312"/>
          <w:b/>
          <w:bCs/>
          <w:color w:val="auto"/>
          <w:highlight w:val="none"/>
          <w:lang w:val="en-US" w:eastAsia="zh-CN"/>
        </w:rPr>
        <w:t>8.商业服务业用地</w:t>
      </w:r>
    </w:p>
    <w:p w14:paraId="5AF2A32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指商业、商务金融以及娱乐康体等设施用地，不包括农村社区服务设施用地和城镇社区服务设施用地。</w:t>
      </w:r>
    </w:p>
    <w:p w14:paraId="6D3DE4E3">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57" w:name="_Toc2513"/>
      <w:bookmarkStart w:id="158" w:name="_Toc29897"/>
      <w:bookmarkStart w:id="159" w:name="_Toc11586"/>
      <w:r>
        <w:rPr>
          <w:rFonts w:hint="default" w:ascii="仿宋_GB2312" w:hAnsi="仿宋_GB2312" w:eastAsia="仿宋_GB2312" w:cs="仿宋_GB2312"/>
          <w:b/>
          <w:bCs/>
          <w:color w:val="auto"/>
          <w:highlight w:val="none"/>
          <w:lang w:val="en-US" w:eastAsia="zh-CN"/>
        </w:rPr>
        <w:t>9.容积率</w:t>
      </w:r>
      <w:bookmarkEnd w:id="157"/>
      <w:bookmarkEnd w:id="158"/>
      <w:bookmarkEnd w:id="159"/>
    </w:p>
    <w:p w14:paraId="31F2B63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指某一基地范围内，地面以上各类建筑的建筑面积总和（包括附属建筑物面积，不包括地下建筑面积，架空并对公众开放的建筑底层等建筑面积）与基地总面积的比值。</w:t>
      </w:r>
      <w:bookmarkStart w:id="160" w:name="_Toc23421"/>
      <w:bookmarkStart w:id="161" w:name="_Toc263"/>
      <w:bookmarkStart w:id="162" w:name="_Toc22897"/>
    </w:p>
    <w:p w14:paraId="3640B514">
      <w:pPr>
        <w:widowControl/>
        <w:snapToGrid/>
        <w:spacing w:line="240" w:lineRule="auto"/>
        <w:ind w:firstLine="0"/>
        <w:rPr>
          <w:rFonts w:hint="default" w:ascii="仿宋_GB2312" w:hAnsi="仿宋_GB2312" w:eastAsia="仿宋_GB2312" w:cs="仿宋_GB2312"/>
          <w:b/>
          <w:bCs/>
          <w:color w:val="auto"/>
          <w:highlight w:val="none"/>
          <w:lang w:val="en-US" w:eastAsia="zh-CN"/>
        </w:rPr>
      </w:pPr>
      <w:r>
        <w:rPr>
          <w:rFonts w:hint="default" w:ascii="仿宋_GB2312" w:hAnsi="仿宋_GB2312" w:eastAsia="仿宋_GB2312" w:cs="仿宋_GB2312"/>
          <w:b/>
          <w:bCs/>
          <w:color w:val="auto"/>
          <w:highlight w:val="none"/>
          <w:lang w:val="en-US" w:eastAsia="zh-CN"/>
        </w:rPr>
        <w:t>10.绿地率</w:t>
      </w:r>
      <w:bookmarkEnd w:id="160"/>
      <w:bookmarkEnd w:id="161"/>
      <w:bookmarkEnd w:id="162"/>
    </w:p>
    <w:p w14:paraId="049F7B7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指规划建设用地范围内绿化用地总面积与规划建设用地总面积之比。</w:t>
      </w:r>
    </w:p>
    <w:p w14:paraId="77BD15DC">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63" w:name="_Toc15785"/>
      <w:bookmarkStart w:id="164" w:name="_Toc12010"/>
      <w:bookmarkStart w:id="165" w:name="_Toc25282"/>
      <w:r>
        <w:rPr>
          <w:rFonts w:hint="default" w:ascii="仿宋_GB2312" w:hAnsi="仿宋_GB2312" w:eastAsia="仿宋_GB2312" w:cs="仿宋_GB2312"/>
          <w:b/>
          <w:bCs/>
          <w:color w:val="auto"/>
          <w:highlight w:val="none"/>
          <w:lang w:val="en-US" w:eastAsia="zh-CN"/>
        </w:rPr>
        <w:t>11.建筑高度</w:t>
      </w:r>
      <w:bookmarkEnd w:id="163"/>
      <w:bookmarkEnd w:id="164"/>
      <w:bookmarkEnd w:id="165"/>
    </w:p>
    <w:p w14:paraId="6315DA0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指建筑物室外地面到其檐口或者屋面面层的高度。</w:t>
      </w:r>
    </w:p>
    <w:p w14:paraId="4E74AF68">
      <w:pPr>
        <w:widowControl/>
        <w:snapToGrid/>
        <w:spacing w:line="240" w:lineRule="auto"/>
        <w:ind w:firstLine="0"/>
        <w:rPr>
          <w:rFonts w:hint="default" w:ascii="仿宋_GB2312" w:hAnsi="仿宋_GB2312" w:eastAsia="仿宋_GB2312" w:cs="仿宋_GB2312"/>
          <w:b/>
          <w:bCs/>
          <w:color w:val="auto"/>
          <w:highlight w:val="none"/>
          <w:lang w:val="en-US" w:eastAsia="zh-CN"/>
        </w:rPr>
      </w:pPr>
      <w:bookmarkStart w:id="166" w:name="_Toc17259"/>
      <w:bookmarkStart w:id="167" w:name="_Toc18611"/>
      <w:bookmarkStart w:id="168" w:name="_Toc19425"/>
      <w:r>
        <w:rPr>
          <w:rFonts w:hint="default" w:ascii="仿宋_GB2312" w:hAnsi="仿宋_GB2312" w:eastAsia="仿宋_GB2312" w:cs="仿宋_GB2312"/>
          <w:b/>
          <w:bCs/>
          <w:color w:val="auto"/>
          <w:highlight w:val="none"/>
          <w:lang w:val="en-US" w:eastAsia="zh-CN"/>
        </w:rPr>
        <w:t>12.建筑密度</w:t>
      </w:r>
      <w:bookmarkEnd w:id="166"/>
      <w:bookmarkEnd w:id="167"/>
      <w:bookmarkEnd w:id="168"/>
    </w:p>
    <w:p w14:paraId="5C3C5CA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指某一基地范围内，所有建筑物底层占地面积与基地面积的比率（%）。</w:t>
      </w:r>
    </w:p>
    <w:p w14:paraId="1EE5BBD8">
      <w:pPr>
        <w:widowControl/>
        <w:snapToGrid/>
        <w:spacing w:line="240" w:lineRule="auto"/>
        <w:ind w:firstLine="0"/>
        <w:rPr>
          <w:rFonts w:hint="default" w:ascii="仿宋_GB2312" w:hAnsi="仿宋_GB2312" w:eastAsia="仿宋_GB2312" w:cs="仿宋_GB2312"/>
          <w:b/>
          <w:bCs/>
          <w:color w:val="auto"/>
          <w:highlight w:val="none"/>
          <w:lang w:val="en-US" w:eastAsia="zh-CN"/>
        </w:rPr>
      </w:pPr>
      <w:r>
        <w:rPr>
          <w:rFonts w:hint="default" w:ascii="仿宋_GB2312" w:hAnsi="仿宋_GB2312" w:eastAsia="仿宋_GB2312" w:cs="仿宋_GB2312"/>
          <w:b/>
          <w:bCs/>
          <w:color w:val="auto"/>
          <w:highlight w:val="none"/>
          <w:lang w:val="en-US" w:eastAsia="zh-CN"/>
        </w:rPr>
        <w:t>13.建筑系数</w:t>
      </w:r>
    </w:p>
    <w:p w14:paraId="75398BB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指项目用地范围内各种建筑物、用于生产和直接为生产服务的构筑物占地面积总和与项目总用地面积的比例。</w:t>
      </w:r>
      <w:bookmarkStart w:id="169" w:name="_Toc23737"/>
      <w:bookmarkStart w:id="170" w:name="_Toc23844"/>
      <w:bookmarkStart w:id="171" w:name="_Toc5510"/>
      <w:bookmarkStart w:id="172" w:name="_Toc25062"/>
      <w:bookmarkStart w:id="173" w:name="_Toc15870"/>
    </w:p>
    <w:p w14:paraId="2DEF12D9">
      <w:pPr>
        <w:widowControl/>
        <w:snapToGrid/>
        <w:spacing w:line="240" w:lineRule="auto"/>
        <w:ind w:firstLine="0"/>
        <w:rPr>
          <w:rFonts w:hint="default" w:ascii="仿宋_GB2312" w:hAnsi="仿宋_GB2312" w:eastAsia="仿宋_GB2312" w:cs="仿宋_GB2312"/>
          <w:color w:val="auto"/>
          <w:highlight w:val="none"/>
          <w:lang w:val="en-US" w:eastAsia="zh-CN"/>
        </w:rPr>
      </w:pPr>
    </w:p>
    <w:p w14:paraId="525EA88C">
      <w:pPr>
        <w:widowControl/>
        <w:snapToGrid/>
        <w:spacing w:line="240" w:lineRule="auto"/>
        <w:ind w:firstLine="0"/>
        <w:rPr>
          <w:rFonts w:hint="default" w:ascii="仿宋_GB2312" w:hAnsi="仿宋_GB2312" w:eastAsia="仿宋_GB2312" w:cs="仿宋_GB2312"/>
          <w:color w:val="auto"/>
          <w:highlight w:val="none"/>
          <w:lang w:val="en-US" w:eastAsia="zh-CN"/>
        </w:rPr>
      </w:pPr>
    </w:p>
    <w:p w14:paraId="0782FEFC">
      <w:pPr>
        <w:widowControl/>
        <w:snapToGrid/>
        <w:spacing w:line="240" w:lineRule="auto"/>
        <w:ind w:firstLine="0"/>
        <w:rPr>
          <w:rFonts w:hint="default" w:ascii="仿宋_GB2312" w:hAnsi="仿宋_GB2312" w:eastAsia="仿宋_GB2312" w:cs="仿宋_GB2312"/>
          <w:color w:val="auto"/>
          <w:highlight w:val="none"/>
          <w:lang w:val="en-US" w:eastAsia="zh-CN"/>
        </w:rPr>
      </w:pPr>
    </w:p>
    <w:p w14:paraId="7BD6CDAC">
      <w:pPr>
        <w:widowControl/>
        <w:snapToGrid/>
        <w:spacing w:line="240" w:lineRule="auto"/>
        <w:ind w:firstLine="0"/>
        <w:rPr>
          <w:rFonts w:hint="default" w:ascii="仿宋_GB2312" w:hAnsi="仿宋_GB2312" w:eastAsia="仿宋_GB2312" w:cs="仿宋_GB2312"/>
          <w:color w:val="auto"/>
          <w:highlight w:val="none"/>
          <w:lang w:val="en-US" w:eastAsia="zh-CN"/>
        </w:rPr>
      </w:pPr>
    </w:p>
    <w:p w14:paraId="62759E42">
      <w:pPr>
        <w:widowControl/>
        <w:snapToGrid/>
        <w:spacing w:line="240" w:lineRule="auto"/>
        <w:ind w:firstLine="0"/>
        <w:rPr>
          <w:rFonts w:hint="default" w:ascii="仿宋_GB2312" w:hAnsi="仿宋_GB2312" w:eastAsia="仿宋_GB2312" w:cs="仿宋_GB2312"/>
          <w:color w:val="auto"/>
          <w:highlight w:val="none"/>
          <w:lang w:val="en-US" w:eastAsia="zh-CN"/>
        </w:rPr>
      </w:pPr>
    </w:p>
    <w:p w14:paraId="31D043F5">
      <w:pPr>
        <w:widowControl/>
        <w:snapToGrid/>
        <w:spacing w:line="240" w:lineRule="auto"/>
        <w:ind w:firstLine="0"/>
        <w:rPr>
          <w:rFonts w:hint="default" w:ascii="仿宋_GB2312" w:hAnsi="仿宋_GB2312" w:eastAsia="仿宋_GB2312" w:cs="仿宋_GB2312"/>
          <w:color w:val="auto"/>
          <w:highlight w:val="none"/>
          <w:lang w:val="en-US" w:eastAsia="zh-CN"/>
        </w:rPr>
      </w:pPr>
    </w:p>
    <w:p w14:paraId="40DE9E47">
      <w:pPr>
        <w:widowControl/>
        <w:snapToGrid/>
        <w:spacing w:line="240" w:lineRule="auto"/>
        <w:ind w:firstLine="0"/>
        <w:rPr>
          <w:rFonts w:hint="default" w:ascii="仿宋_GB2312" w:hAnsi="仿宋_GB2312" w:eastAsia="仿宋_GB2312" w:cs="仿宋_GB2312"/>
          <w:color w:val="auto"/>
          <w:highlight w:val="none"/>
          <w:lang w:val="en-US" w:eastAsia="zh-CN"/>
        </w:rPr>
      </w:pPr>
    </w:p>
    <w:p w14:paraId="2E0540F1">
      <w:pPr>
        <w:widowControl/>
        <w:snapToGrid/>
        <w:spacing w:line="240" w:lineRule="auto"/>
        <w:ind w:firstLine="0"/>
        <w:rPr>
          <w:rFonts w:hint="default" w:ascii="仿宋_GB2312" w:hAnsi="仿宋_GB2312" w:eastAsia="仿宋_GB2312" w:cs="仿宋_GB2312"/>
          <w:color w:val="auto"/>
          <w:highlight w:val="none"/>
          <w:lang w:val="en-US" w:eastAsia="zh-CN"/>
        </w:rPr>
      </w:pPr>
    </w:p>
    <w:p w14:paraId="6C6105B4">
      <w:pPr>
        <w:widowControl/>
        <w:snapToGrid/>
        <w:spacing w:line="240" w:lineRule="auto"/>
        <w:ind w:firstLine="0"/>
        <w:rPr>
          <w:rFonts w:hint="default" w:ascii="仿宋_GB2312" w:hAnsi="仿宋_GB2312" w:eastAsia="仿宋_GB2312" w:cs="仿宋_GB2312"/>
          <w:color w:val="auto"/>
          <w:highlight w:val="none"/>
          <w:lang w:val="en-US" w:eastAsia="zh-CN"/>
        </w:rPr>
      </w:pPr>
    </w:p>
    <w:p w14:paraId="7B454321">
      <w:pPr>
        <w:widowControl/>
        <w:snapToGrid/>
        <w:spacing w:line="240" w:lineRule="auto"/>
        <w:ind w:firstLine="0"/>
        <w:rPr>
          <w:rFonts w:hint="default" w:ascii="仿宋_GB2312" w:hAnsi="仿宋_GB2312" w:eastAsia="仿宋_GB2312" w:cs="仿宋_GB2312"/>
          <w:color w:val="auto"/>
          <w:highlight w:val="none"/>
          <w:lang w:val="en-US" w:eastAsia="zh-CN"/>
        </w:rPr>
      </w:pPr>
    </w:p>
    <w:p w14:paraId="33E78D76">
      <w:pPr>
        <w:widowControl/>
        <w:snapToGrid/>
        <w:spacing w:line="240" w:lineRule="auto"/>
        <w:ind w:firstLine="0"/>
        <w:rPr>
          <w:rFonts w:hint="default" w:ascii="仿宋_GB2312" w:hAnsi="仿宋_GB2312" w:eastAsia="仿宋_GB2312" w:cs="仿宋_GB2312"/>
          <w:color w:val="auto"/>
          <w:highlight w:val="none"/>
          <w:lang w:val="en-US" w:eastAsia="zh-CN"/>
        </w:rPr>
      </w:pPr>
    </w:p>
    <w:p w14:paraId="2D755A1B">
      <w:pPr>
        <w:widowControl/>
        <w:snapToGrid/>
        <w:spacing w:line="240" w:lineRule="auto"/>
        <w:ind w:firstLine="0"/>
        <w:rPr>
          <w:rFonts w:hint="default" w:ascii="仿宋_GB2312" w:hAnsi="仿宋_GB2312" w:eastAsia="仿宋_GB2312" w:cs="仿宋_GB2312"/>
          <w:color w:val="auto"/>
          <w:highlight w:val="none"/>
          <w:lang w:val="en-US" w:eastAsia="zh-CN"/>
        </w:rPr>
      </w:pPr>
    </w:p>
    <w:p w14:paraId="60EC464A">
      <w:pPr>
        <w:widowControl/>
        <w:snapToGrid/>
        <w:spacing w:line="240" w:lineRule="auto"/>
        <w:ind w:firstLine="0"/>
        <w:rPr>
          <w:rFonts w:hint="default" w:ascii="仿宋_GB2312" w:hAnsi="仿宋_GB2312" w:eastAsia="仿宋_GB2312" w:cs="仿宋_GB2312"/>
          <w:color w:val="auto"/>
          <w:highlight w:val="none"/>
          <w:lang w:val="en-US" w:eastAsia="zh-CN"/>
        </w:rPr>
      </w:pPr>
    </w:p>
    <w:p w14:paraId="3E162945">
      <w:pPr>
        <w:widowControl/>
        <w:snapToGrid/>
        <w:spacing w:line="240" w:lineRule="auto"/>
        <w:ind w:firstLine="0"/>
        <w:rPr>
          <w:rFonts w:hint="default" w:ascii="仿宋_GB2312" w:hAnsi="仿宋_GB2312" w:eastAsia="仿宋_GB2312" w:cs="仿宋_GB2312"/>
          <w:color w:val="auto"/>
          <w:highlight w:val="none"/>
          <w:lang w:val="en-US" w:eastAsia="zh-CN"/>
        </w:rPr>
      </w:pPr>
    </w:p>
    <w:p w14:paraId="280E9F26">
      <w:pPr>
        <w:widowControl/>
        <w:snapToGrid/>
        <w:spacing w:line="240" w:lineRule="auto"/>
        <w:ind w:firstLine="0"/>
        <w:rPr>
          <w:rFonts w:hint="default" w:ascii="仿宋_GB2312" w:hAnsi="仿宋_GB2312" w:eastAsia="仿宋_GB2312" w:cs="仿宋_GB2312"/>
          <w:color w:val="auto"/>
          <w:highlight w:val="none"/>
          <w:lang w:val="en-US" w:eastAsia="zh-CN"/>
        </w:rPr>
      </w:pPr>
    </w:p>
    <w:p w14:paraId="1858A3D7">
      <w:pPr>
        <w:widowControl/>
        <w:snapToGrid/>
        <w:spacing w:line="240" w:lineRule="auto"/>
        <w:ind w:firstLine="0"/>
        <w:rPr>
          <w:rFonts w:hint="default" w:ascii="仿宋_GB2312" w:hAnsi="仿宋_GB2312" w:eastAsia="仿宋_GB2312" w:cs="仿宋_GB2312"/>
          <w:color w:val="auto"/>
          <w:highlight w:val="none"/>
          <w:lang w:val="en-US" w:eastAsia="zh-CN"/>
        </w:rPr>
      </w:pPr>
    </w:p>
    <w:p w14:paraId="69CEAED3">
      <w:pPr>
        <w:widowControl/>
        <w:snapToGrid/>
        <w:spacing w:line="240" w:lineRule="auto"/>
        <w:ind w:firstLine="0"/>
        <w:rPr>
          <w:rFonts w:hint="default" w:ascii="仿宋_GB2312" w:hAnsi="仿宋_GB2312" w:eastAsia="仿宋_GB2312" w:cs="仿宋_GB2312"/>
          <w:color w:val="auto"/>
          <w:highlight w:val="none"/>
          <w:lang w:val="en-US" w:eastAsia="zh-CN"/>
        </w:rPr>
      </w:pPr>
    </w:p>
    <w:p w14:paraId="3DB41E90">
      <w:pPr>
        <w:widowControl/>
        <w:snapToGrid/>
        <w:spacing w:line="240" w:lineRule="auto"/>
        <w:ind w:firstLine="0"/>
        <w:rPr>
          <w:rFonts w:hint="default" w:ascii="仿宋_GB2312" w:hAnsi="仿宋_GB2312" w:eastAsia="仿宋_GB2312" w:cs="仿宋_GB2312"/>
          <w:color w:val="auto"/>
          <w:highlight w:val="none"/>
          <w:lang w:val="en-US" w:eastAsia="zh-CN"/>
        </w:rPr>
      </w:pPr>
    </w:p>
    <w:p w14:paraId="4B68FB6D">
      <w:pPr>
        <w:pStyle w:val="3"/>
        <w:shd w:val="clear"/>
        <w:bidi w:val="0"/>
        <w:ind w:left="0" w:leftChars="0" w:firstLine="0" w:firstLineChars="0"/>
        <w:jc w:val="center"/>
        <w:rPr>
          <w:rFonts w:hint="default" w:ascii="Times New Roman" w:hAnsi="Times New Roman" w:eastAsia="仿宋" w:cs="Times New Roman"/>
          <w:b/>
          <w:bCs/>
          <w:color w:val="auto"/>
          <w:sz w:val="32"/>
          <w:szCs w:val="32"/>
          <w:highlight w:val="none"/>
          <w:lang w:val="en-US" w:eastAsia="zh-CN"/>
        </w:rPr>
      </w:pPr>
      <w:bookmarkStart w:id="174" w:name="_Toc4973"/>
      <w:r>
        <w:rPr>
          <w:rFonts w:hint="default" w:ascii="Times New Roman" w:hAnsi="Times New Roman" w:eastAsia="仿宋" w:cs="Times New Roman"/>
          <w:b/>
          <w:bCs/>
          <w:color w:val="auto"/>
          <w:sz w:val="32"/>
          <w:szCs w:val="32"/>
          <w:highlight w:val="none"/>
          <w:lang w:val="en-US" w:eastAsia="zh-CN"/>
        </w:rPr>
        <w:t>附录B村庄建设用地指标分解规则</w:t>
      </w:r>
      <w:bookmarkEnd w:id="169"/>
      <w:bookmarkEnd w:id="170"/>
      <w:bookmarkEnd w:id="171"/>
      <w:bookmarkEnd w:id="172"/>
      <w:bookmarkEnd w:id="173"/>
      <w:bookmarkEnd w:id="174"/>
    </w:p>
    <w:p w14:paraId="588BBFD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1.全县域规划村庄建设用地规模不得超过2020年度国土变更调查村庄用地（203图斑）规模。</w:t>
      </w:r>
    </w:p>
    <w:p w14:paraId="5E30D9E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2.各乡镇村庄建设规模原则上不得突破上位国土空间规划分解下达的村庄建设用地指标，原则上以乡镇为单元进行总量控制，内部平衡，确需突破的需进行充分论证。</w:t>
      </w:r>
    </w:p>
    <w:p w14:paraId="516C0D9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3.已编村庄规划且已入库的，以数据库的规划村庄建设用地规模为准。</w:t>
      </w:r>
    </w:p>
    <w:p w14:paraId="2C54EFA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4.已编村庄规划已批但未入库的，原则上以已批（且有书面文件承诺）的规划村庄建设用地规模为分解依据；若乡镇汇总后村庄建设用地规模超出上位国土空间规划下达指标的，需进行调整或论证。</w:t>
      </w:r>
    </w:p>
    <w:p w14:paraId="782C65A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5.指标分解原则上可向乡镇政府所在地的村、重点发展的行政村倾斜，其他一般型行政村指标减量或保持不变。</w:t>
      </w:r>
    </w:p>
    <w:p w14:paraId="3B3D1F8E">
      <w:pPr>
        <w:pStyle w:val="3"/>
        <w:shd w:val="clear"/>
        <w:bidi w:val="0"/>
        <w:ind w:left="0" w:leftChars="0" w:firstLine="0" w:firstLineChars="0"/>
        <w:jc w:val="center"/>
        <w:rPr>
          <w:rFonts w:hint="default" w:ascii="Times New Roman" w:hAnsi="Times New Roman" w:eastAsia="仿宋" w:cs="Times New Roman"/>
          <w:b/>
          <w:bCs/>
          <w:color w:val="auto"/>
          <w:sz w:val="32"/>
          <w:szCs w:val="32"/>
          <w:highlight w:val="none"/>
          <w:lang w:val="en-US" w:eastAsia="zh-CN"/>
        </w:rPr>
      </w:pPr>
      <w:bookmarkStart w:id="175" w:name="_Toc25457"/>
      <w:bookmarkStart w:id="176" w:name="_Toc9001"/>
      <w:bookmarkStart w:id="177" w:name="_Toc23053"/>
      <w:bookmarkStart w:id="178" w:name="_Toc6968"/>
      <w:bookmarkStart w:id="179" w:name="_Toc3859"/>
      <w:bookmarkStart w:id="180" w:name="_Toc14583"/>
      <w:r>
        <w:rPr>
          <w:rFonts w:hint="default" w:ascii="Times New Roman" w:hAnsi="Times New Roman" w:eastAsia="仿宋" w:cs="Times New Roman"/>
          <w:b/>
          <w:bCs/>
          <w:color w:val="auto"/>
          <w:sz w:val="32"/>
          <w:szCs w:val="32"/>
          <w:highlight w:val="none"/>
        </w:rPr>
        <w:br w:type="column"/>
      </w:r>
      <w:r>
        <w:rPr>
          <w:rFonts w:hint="default" w:ascii="Times New Roman" w:hAnsi="Times New Roman" w:eastAsia="仿宋" w:cs="Times New Roman"/>
          <w:b/>
          <w:bCs/>
          <w:color w:val="auto"/>
          <w:sz w:val="32"/>
          <w:szCs w:val="32"/>
          <w:highlight w:val="none"/>
          <w:lang w:val="en-US" w:eastAsia="zh-CN"/>
        </w:rPr>
        <w:t>附录C法律法规、政策文件和标准规范名录</w:t>
      </w:r>
      <w:bookmarkEnd w:id="175"/>
      <w:bookmarkEnd w:id="176"/>
      <w:bookmarkEnd w:id="177"/>
      <w:bookmarkEnd w:id="178"/>
      <w:bookmarkEnd w:id="179"/>
      <w:bookmarkEnd w:id="180"/>
    </w:p>
    <w:p w14:paraId="3B2500AA">
      <w:pPr>
        <w:pStyle w:val="4"/>
        <w:numPr>
          <w:ilvl w:val="2"/>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法律法规</w:t>
      </w:r>
    </w:p>
    <w:p w14:paraId="46197B6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w:t>
      </w:r>
      <w:bookmarkStart w:id="181" w:name="OLE_LINK5"/>
      <w:r>
        <w:rPr>
          <w:rFonts w:hint="default" w:ascii="仿宋_GB2312" w:hAnsi="仿宋_GB2312" w:eastAsia="仿宋_GB2312" w:cs="仿宋_GB2312"/>
          <w:color w:val="auto"/>
          <w:highlight w:val="none"/>
          <w:lang w:val="en-US" w:eastAsia="zh-CN"/>
        </w:rPr>
        <w:t>）</w:t>
      </w:r>
      <w:bookmarkEnd w:id="181"/>
      <w:r>
        <w:rPr>
          <w:rFonts w:hint="default" w:ascii="仿宋_GB2312" w:hAnsi="仿宋_GB2312" w:eastAsia="仿宋_GB2312" w:cs="仿宋_GB2312"/>
          <w:color w:val="auto"/>
          <w:highlight w:val="none"/>
          <w:lang w:val="en-US" w:eastAsia="zh-CN"/>
        </w:rPr>
        <w:t>《中华人民共和国土地管理法》（2020年1月1日起施行）；</w:t>
      </w:r>
    </w:p>
    <w:p w14:paraId="5AA0771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（2）《中华人民共和国城乡规划法》（2019年4月23日起施行）；</w:t>
      </w:r>
    </w:p>
    <w:p w14:paraId="590652B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（3）《中华人民共和国文物保护法》（2025年3月1日起施行）；</w:t>
      </w:r>
    </w:p>
    <w:p w14:paraId="629F7B9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（4）《中华人民共和国土地管理法实施条例》（2021年9月1日起施行）；</w:t>
      </w:r>
    </w:p>
    <w:p w14:paraId="1B550C2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（5）《基本农田保护条例》（2011年1月8日起施行）；</w:t>
      </w:r>
    </w:p>
    <w:p w14:paraId="6C17A56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（6）《中华人民共和国自然保护区条例》（2017年</w:t>
      </w:r>
      <w:r>
        <w:rPr>
          <w:rFonts w:hint="eastAsia" w:ascii="仿宋_GB2312" w:hAnsi="仿宋_GB2312" w:eastAsia="仿宋_GB2312" w:cs="仿宋_GB2312"/>
          <w:color w:val="auto"/>
          <w:highlight w:val="none"/>
          <w:lang w:val="en-US" w:eastAsia="zh-CN"/>
        </w:rPr>
        <w:t>10月7日第二次</w:t>
      </w:r>
      <w:r>
        <w:rPr>
          <w:rFonts w:hint="default" w:ascii="仿宋_GB2312" w:hAnsi="仿宋_GB2312" w:eastAsia="仿宋_GB2312" w:cs="仿宋_GB2312"/>
          <w:color w:val="auto"/>
          <w:highlight w:val="none"/>
          <w:lang w:val="en-US" w:eastAsia="zh-CN"/>
        </w:rPr>
        <w:t>修订）；</w:t>
      </w:r>
    </w:p>
    <w:p w14:paraId="4663C7A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（7）《风景名胜区条例》（</w:t>
      </w:r>
      <w:r>
        <w:rPr>
          <w:rFonts w:hint="eastAsia" w:ascii="仿宋_GB2312" w:hAnsi="仿宋_GB2312" w:eastAsia="仿宋_GB2312" w:cs="仿宋_GB2312"/>
          <w:color w:val="auto"/>
          <w:highlight w:val="none"/>
          <w:lang w:val="en-US" w:eastAsia="zh-CN"/>
        </w:rPr>
        <w:t>2017年修订</w:t>
      </w:r>
      <w:r>
        <w:rPr>
          <w:rFonts w:hint="default" w:ascii="仿宋_GB2312" w:hAnsi="仿宋_GB2312" w:eastAsia="仿宋_GB2312" w:cs="仿宋_GB2312"/>
          <w:color w:val="auto"/>
          <w:highlight w:val="none"/>
          <w:lang w:val="en-US" w:eastAsia="zh-CN"/>
        </w:rPr>
        <w:t>）；</w:t>
      </w:r>
    </w:p>
    <w:p w14:paraId="71B50C1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（8）《历史文化名城名镇名村保护条例》（</w:t>
      </w:r>
      <w:r>
        <w:rPr>
          <w:rFonts w:hint="eastAsia" w:ascii="仿宋_GB2312" w:hAnsi="仿宋_GB2312" w:eastAsia="仿宋_GB2312" w:cs="仿宋_GB2312"/>
          <w:color w:val="auto"/>
          <w:highlight w:val="none"/>
          <w:lang w:val="en-US" w:eastAsia="zh-CN"/>
        </w:rPr>
        <w:t>2017年修订</w:t>
      </w:r>
      <w:r>
        <w:rPr>
          <w:rFonts w:hint="default" w:ascii="仿宋_GB2312" w:hAnsi="仿宋_GB2312" w:eastAsia="仿宋_GB2312" w:cs="仿宋_GB2312"/>
          <w:color w:val="auto"/>
          <w:highlight w:val="none"/>
          <w:lang w:val="en-US" w:eastAsia="zh-CN"/>
        </w:rPr>
        <w:t>）；</w:t>
      </w:r>
    </w:p>
    <w:p w14:paraId="553866D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（9）《公路安全保护条例》（2011年7月1日起施行）；</w:t>
      </w:r>
    </w:p>
    <w:p w14:paraId="6952BDF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（10）《铁路安全管理条例》（2014年1月1日起施行）；</w:t>
      </w:r>
    </w:p>
    <w:p w14:paraId="5CCCF86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（11）《饮用水水源保护区污染防治管理规定（修订）》（201</w:t>
      </w:r>
      <w:r>
        <w:rPr>
          <w:rFonts w:hint="eastAsia" w:ascii="仿宋_GB2312" w:hAnsi="仿宋_GB2312" w:eastAsia="仿宋_GB2312" w:cs="仿宋_GB2312"/>
          <w:color w:val="auto"/>
          <w:highlight w:val="none"/>
          <w:lang w:val="en-US" w:eastAsia="zh-CN"/>
        </w:rPr>
        <w:t>0</w:t>
      </w:r>
      <w:r>
        <w:rPr>
          <w:rFonts w:hint="default" w:ascii="仿宋_GB2312" w:hAnsi="仿宋_GB2312" w:eastAsia="仿宋_GB2312" w:cs="仿宋_GB2312"/>
          <w:color w:val="auto"/>
          <w:highlight w:val="none"/>
          <w:lang w:val="en-US" w:eastAsia="zh-CN"/>
        </w:rPr>
        <w:t>年</w:t>
      </w:r>
      <w:r>
        <w:rPr>
          <w:rFonts w:hint="eastAsia" w:ascii="仿宋_GB2312" w:hAnsi="仿宋_GB2312" w:eastAsia="仿宋_GB2312" w:cs="仿宋_GB2312"/>
          <w:color w:val="auto"/>
          <w:highlight w:val="none"/>
          <w:lang w:val="en-US" w:eastAsia="zh-CN"/>
        </w:rPr>
        <w:t>修正</w:t>
      </w:r>
      <w:r>
        <w:rPr>
          <w:rFonts w:hint="default" w:ascii="仿宋_GB2312" w:hAnsi="仿宋_GB2312" w:eastAsia="仿宋_GB2312" w:cs="仿宋_GB2312"/>
          <w:color w:val="auto"/>
          <w:highlight w:val="none"/>
          <w:lang w:val="en-US" w:eastAsia="zh-CN"/>
        </w:rPr>
        <w:t>）；</w:t>
      </w:r>
    </w:p>
    <w:p w14:paraId="3E63359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（12）《广西壮族自治区高速公路条例》（2022年10月1日起施行）；</w:t>
      </w:r>
    </w:p>
    <w:p w14:paraId="44E4B2B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（13）《广西壮族自治区农村公路管理办法》（2021年5月1日起施行）</w:t>
      </w:r>
      <w:r>
        <w:rPr>
          <w:rFonts w:hint="eastAsia" w:ascii="仿宋_GB2312" w:hAnsi="仿宋_GB2312" w:eastAsia="仿宋_GB2312" w:cs="仿宋_GB2312"/>
          <w:color w:val="auto"/>
          <w:highlight w:val="none"/>
          <w:lang w:val="en-US" w:eastAsia="zh-CN"/>
        </w:rPr>
        <w:t>；</w:t>
      </w:r>
    </w:p>
    <w:p w14:paraId="401122C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（14</w:t>
      </w:r>
      <w:bookmarkStart w:id="182" w:name="OLE_LINK1"/>
      <w:r>
        <w:rPr>
          <w:rFonts w:hint="default" w:ascii="仿宋_GB2312" w:hAnsi="仿宋_GB2312" w:eastAsia="仿宋_GB2312" w:cs="仿宋_GB2312"/>
          <w:color w:val="auto"/>
          <w:highlight w:val="none"/>
          <w:lang w:val="en-US" w:eastAsia="zh-CN"/>
        </w:rPr>
        <w:t>）《广西壮族自治区土地管理条例》</w:t>
      </w:r>
      <w:bookmarkEnd w:id="182"/>
      <w:r>
        <w:rPr>
          <w:rFonts w:hint="default" w:ascii="仿宋_GB2312" w:hAnsi="仿宋_GB2312" w:eastAsia="仿宋_GB2312" w:cs="仿宋_GB2312"/>
          <w:color w:val="auto"/>
          <w:highlight w:val="none"/>
          <w:lang w:val="en-US" w:eastAsia="zh-CN"/>
        </w:rPr>
        <w:t>（2024年1月1日起施行）</w:t>
      </w:r>
      <w:r>
        <w:rPr>
          <w:rFonts w:hint="eastAsia" w:ascii="仿宋_GB2312" w:hAnsi="仿宋_GB2312" w:eastAsia="仿宋_GB2312" w:cs="仿宋_GB2312"/>
          <w:color w:val="auto"/>
          <w:highlight w:val="none"/>
          <w:lang w:val="en-US" w:eastAsia="zh-CN"/>
        </w:rPr>
        <w:t>；</w:t>
      </w:r>
    </w:p>
    <w:p w14:paraId="5B349C3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（15</w:t>
      </w:r>
      <w:bookmarkStart w:id="183" w:name="OLE_LINK2"/>
      <w:r>
        <w:rPr>
          <w:rFonts w:hint="default" w:ascii="仿宋_GB2312" w:hAnsi="仿宋_GB2312" w:eastAsia="仿宋_GB2312" w:cs="仿宋_GB2312"/>
          <w:color w:val="auto"/>
          <w:highlight w:val="none"/>
          <w:lang w:val="en-US" w:eastAsia="zh-CN"/>
        </w:rPr>
        <w:t>）《广西生态保护红线监管办法（试行）》</w:t>
      </w:r>
      <w:bookmarkEnd w:id="183"/>
      <w:r>
        <w:rPr>
          <w:rFonts w:hint="default" w:ascii="仿宋_GB2312" w:hAnsi="仿宋_GB2312" w:eastAsia="仿宋_GB2312" w:cs="仿宋_GB2312"/>
          <w:color w:val="auto"/>
          <w:highlight w:val="none"/>
          <w:lang w:val="en-US" w:eastAsia="zh-CN"/>
        </w:rPr>
        <w:t>（2023年</w:t>
      </w:r>
      <w:r>
        <w:rPr>
          <w:rFonts w:hint="eastAsia" w:ascii="仿宋_GB2312" w:hAnsi="仿宋_GB2312" w:eastAsia="仿宋_GB2312" w:cs="仿宋_GB2312"/>
          <w:color w:val="auto"/>
          <w:highlight w:val="none"/>
          <w:lang w:val="en-US" w:eastAsia="zh-CN"/>
        </w:rPr>
        <w:t>6</w:t>
      </w:r>
      <w:r>
        <w:rPr>
          <w:rFonts w:hint="default" w:ascii="仿宋_GB2312" w:hAnsi="仿宋_GB2312" w:eastAsia="仿宋_GB2312" w:cs="仿宋_GB2312"/>
          <w:color w:val="auto"/>
          <w:highlight w:val="none"/>
          <w:lang w:val="en-US" w:eastAsia="zh-CN"/>
        </w:rPr>
        <w:t>月</w:t>
      </w:r>
      <w:r>
        <w:rPr>
          <w:rFonts w:hint="eastAsia" w:ascii="仿宋_GB2312" w:hAnsi="仿宋_GB2312" w:eastAsia="仿宋_GB2312" w:cs="仿宋_GB2312"/>
          <w:color w:val="auto"/>
          <w:highlight w:val="none"/>
          <w:lang w:val="en-US" w:eastAsia="zh-CN"/>
        </w:rPr>
        <w:t>29</w:t>
      </w:r>
      <w:r>
        <w:rPr>
          <w:rFonts w:hint="default" w:ascii="仿宋_GB2312" w:hAnsi="仿宋_GB2312" w:eastAsia="仿宋_GB2312" w:cs="仿宋_GB2312"/>
          <w:color w:val="auto"/>
          <w:highlight w:val="none"/>
          <w:lang w:val="en-US" w:eastAsia="zh-CN"/>
        </w:rPr>
        <w:t>日起试行）</w:t>
      </w:r>
      <w:r>
        <w:rPr>
          <w:rFonts w:hint="eastAsia" w:ascii="仿宋_GB2312" w:hAnsi="仿宋_GB2312" w:eastAsia="仿宋_GB2312" w:cs="仿宋_GB2312"/>
          <w:color w:val="auto"/>
          <w:highlight w:val="none"/>
          <w:lang w:val="en-US" w:eastAsia="zh-CN"/>
        </w:rPr>
        <w:t>；</w:t>
      </w:r>
    </w:p>
    <w:p w14:paraId="0F70B43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en-US" w:eastAsia="zh-CN"/>
        </w:rPr>
        <w:t>6</w:t>
      </w:r>
      <w:r>
        <w:rPr>
          <w:rFonts w:hint="default" w:ascii="仿宋_GB2312" w:hAnsi="仿宋_GB2312" w:eastAsia="仿宋_GB2312" w:cs="仿宋_GB2312"/>
          <w:color w:val="auto"/>
          <w:highlight w:val="none"/>
          <w:lang w:val="en-US" w:eastAsia="zh-CN"/>
        </w:rPr>
        <w:t>）其他相关法律法规。</w:t>
      </w:r>
    </w:p>
    <w:p w14:paraId="7E1E5C4A">
      <w:pPr>
        <w:pStyle w:val="4"/>
        <w:numPr>
          <w:ilvl w:val="2"/>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标准规范</w:t>
      </w:r>
    </w:p>
    <w:p w14:paraId="3C4F597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（1）《国土空间调查、规划、用途管制用地用海分类指南》；</w:t>
      </w:r>
    </w:p>
    <w:p w14:paraId="287ED19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（2）《社区生活圈规划技术指南》（TD/T1062-2021）；</w:t>
      </w:r>
    </w:p>
    <w:p w14:paraId="7B1B526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（3）《幼儿园建设标准》（建标175-2016）；</w:t>
      </w:r>
    </w:p>
    <w:p w14:paraId="3037B62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（4）《中小学校设计规范》（GB 50099-2011）；</w:t>
      </w:r>
    </w:p>
    <w:p w14:paraId="1134F91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（5）《农村普通中小学校建设标准》（建标109-2008）；</w:t>
      </w:r>
    </w:p>
    <w:p w14:paraId="41756F4C">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（6</w:t>
      </w:r>
      <w:bookmarkStart w:id="184" w:name="OLE_LINK8"/>
      <w:r>
        <w:rPr>
          <w:rFonts w:hint="default" w:ascii="仿宋_GB2312" w:hAnsi="仿宋_GB2312" w:eastAsia="仿宋_GB2312" w:cs="仿宋_GB2312"/>
          <w:color w:val="auto"/>
          <w:highlight w:val="none"/>
          <w:lang w:val="en-US" w:eastAsia="zh-CN"/>
        </w:rPr>
        <w:t>）《托儿所、幼儿园建筑设计规范JGJ 39-2016（2019年版）》</w:t>
      </w:r>
      <w:bookmarkEnd w:id="184"/>
      <w:r>
        <w:rPr>
          <w:rFonts w:hint="default" w:ascii="仿宋_GB2312" w:hAnsi="仿宋_GB2312" w:eastAsia="仿宋_GB2312" w:cs="仿宋_GB2312"/>
          <w:color w:val="auto"/>
          <w:highlight w:val="none"/>
          <w:lang w:val="en-US" w:eastAsia="zh-CN"/>
        </w:rPr>
        <w:t>；</w:t>
      </w:r>
    </w:p>
    <w:p w14:paraId="3BDEE57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（7）《民用建筑通用规范》（GB 55031-2022）；</w:t>
      </w:r>
    </w:p>
    <w:p w14:paraId="0B3B36F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（8）《城乡排水工程项目规范》（GB 55027-2022）；</w:t>
      </w:r>
    </w:p>
    <w:p w14:paraId="0639273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（9）《城市排水工程规划规范》（GB 50318-2017）；</w:t>
      </w:r>
    </w:p>
    <w:p w14:paraId="02CB96C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（10）《生活饮用水卫生标准》（GB5749-2022）；</w:t>
      </w:r>
    </w:p>
    <w:p w14:paraId="6989994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（11）《农村集中式供水卫生规范》（DB45/T2252-2021）；</w:t>
      </w:r>
    </w:p>
    <w:p w14:paraId="6AE81CA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（12）《地下水质量标准》（GB/T14848-2017）；</w:t>
      </w:r>
    </w:p>
    <w:p w14:paraId="73159B0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（13）《农村生活污水处理设施水污染物排放标准》（DB45/2413-2021）；</w:t>
      </w:r>
    </w:p>
    <w:p w14:paraId="773816CD">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（14）《城镇污水处理厂污染物排放标准》（GB 18918-2002）；</w:t>
      </w:r>
    </w:p>
    <w:p w14:paraId="577C27E9">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（15）《村庄绿化技术规程》（DB33/T842-2022）；</w:t>
      </w:r>
    </w:p>
    <w:p w14:paraId="793F9AA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（16）《建筑防火通用规范》（GB 55037-2022）；</w:t>
      </w:r>
    </w:p>
    <w:p w14:paraId="3C4C612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en-US" w:eastAsia="zh-CN"/>
        </w:rPr>
        <w:t>7</w:t>
      </w:r>
      <w:r>
        <w:rPr>
          <w:rFonts w:hint="default" w:ascii="仿宋_GB2312" w:hAnsi="仿宋_GB2312" w:eastAsia="仿宋_GB2312" w:cs="仿宋_GB2312"/>
          <w:color w:val="auto"/>
          <w:highlight w:val="none"/>
          <w:lang w:val="en-US" w:eastAsia="zh-CN"/>
        </w:rPr>
        <w:t>）《地表水环境质量标准》（GB 3838-2002）；</w:t>
      </w:r>
    </w:p>
    <w:p w14:paraId="37013E9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en-US" w:eastAsia="zh-CN"/>
        </w:rPr>
        <w:t>8</w:t>
      </w:r>
      <w:r>
        <w:rPr>
          <w:rFonts w:hint="default" w:ascii="仿宋_GB2312" w:hAnsi="仿宋_GB2312" w:eastAsia="仿宋_GB2312" w:cs="仿宋_GB2312"/>
          <w:color w:val="auto"/>
          <w:highlight w:val="none"/>
          <w:lang w:val="en-US" w:eastAsia="zh-CN"/>
        </w:rPr>
        <w:t>）《广西壮族自治区建设用地控制指标（2021年修订）》；</w:t>
      </w:r>
    </w:p>
    <w:p w14:paraId="2EA2604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val="en-US" w:eastAsia="zh-CN"/>
        </w:rPr>
        <w:t>9</w:t>
      </w:r>
      <w:r>
        <w:rPr>
          <w:rFonts w:hint="default" w:ascii="仿宋_GB2312" w:hAnsi="仿宋_GB2312" w:eastAsia="仿宋_GB2312" w:cs="仿宋_GB2312"/>
          <w:color w:val="auto"/>
          <w:highlight w:val="none"/>
          <w:lang w:val="en-US" w:eastAsia="zh-CN"/>
        </w:rPr>
        <w:t>）《广西壮族自治区义务教育学校办学基本标准（试行）》；</w:t>
      </w:r>
    </w:p>
    <w:p w14:paraId="44C1FBE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20</w:t>
      </w:r>
      <w:r>
        <w:rPr>
          <w:rFonts w:hint="default" w:ascii="仿宋_GB2312" w:hAnsi="仿宋_GB2312" w:eastAsia="仿宋_GB2312" w:cs="仿宋_GB2312"/>
          <w:color w:val="auto"/>
          <w:highlight w:val="none"/>
          <w:lang w:val="en-US" w:eastAsia="zh-CN"/>
        </w:rPr>
        <w:t>）《广西壮族自治区农村房屋特色风貌管控导则》；</w:t>
      </w:r>
    </w:p>
    <w:p w14:paraId="6928987F">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val="en-US" w:eastAsia="zh-CN"/>
        </w:rPr>
        <w:t>1</w:t>
      </w:r>
      <w:r>
        <w:rPr>
          <w:rFonts w:hint="default" w:ascii="仿宋_GB2312" w:hAnsi="仿宋_GB2312" w:eastAsia="仿宋_GB2312" w:cs="仿宋_GB2312"/>
          <w:color w:val="auto"/>
          <w:highlight w:val="none"/>
          <w:lang w:val="en-US" w:eastAsia="zh-CN"/>
        </w:rPr>
        <w:t>）《广西农村公共服务中心建设工程指导手册》；</w:t>
      </w:r>
    </w:p>
    <w:p w14:paraId="4E51260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val="en-US" w:eastAsia="zh-CN"/>
        </w:rPr>
        <w:t>2</w:t>
      </w:r>
      <w:r>
        <w:rPr>
          <w:rFonts w:hint="default" w:ascii="仿宋_GB2312" w:hAnsi="仿宋_GB2312" w:eastAsia="仿宋_GB2312" w:cs="仿宋_GB2312"/>
          <w:color w:val="auto"/>
          <w:highlight w:val="none"/>
          <w:lang w:val="en-US" w:eastAsia="zh-CN"/>
        </w:rPr>
        <w:t>）《广西壮族自治区低成本实用性简易型村庄规划编制技术导则（试行）》；</w:t>
      </w:r>
    </w:p>
    <w:p w14:paraId="1D707E44">
      <w:pPr>
        <w:pStyle w:val="4"/>
        <w:numPr>
          <w:ilvl w:val="2"/>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政策文件</w:t>
      </w:r>
    </w:p>
    <w:p w14:paraId="07BBBDD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（1）中共中央 国务院关于学习运用“千村示范、万村整治”工程经验有力有效推进乡村全面振兴的意见（2024年中央一号文件）；</w:t>
      </w:r>
    </w:p>
    <w:p w14:paraId="4C4065C3">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（2）中共中央 国务院关于建立国土空间规划体系并监督实施的若干意见（中发〔2019〕18号）；</w:t>
      </w:r>
    </w:p>
    <w:p w14:paraId="02D0844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（3）自然资源部 中央农村工作领导小组办公室关于学习运用“千万工程”经验提高村庄规划编制质量和实效的通知（自然资发〔2024〕1号）；</w:t>
      </w:r>
    </w:p>
    <w:p w14:paraId="2ACAB02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（4）自然资源部办公厅关于加强村庄规划促进乡村振兴的通知（自然资办发〔2019〕35号）；</w:t>
      </w:r>
    </w:p>
    <w:p w14:paraId="090D49A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（5）自然资源部关于深化规划用地“多审合一、多证合一”改革的通知（自然资发〔2023〕69号）；</w:t>
      </w:r>
    </w:p>
    <w:p w14:paraId="00B4113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（6）自然资源部办公厅关于印发《乡村振兴用地政策指南（2023年）》的通知（自然资办发〔2023〕48号）；</w:t>
      </w:r>
    </w:p>
    <w:p w14:paraId="79E2DC32">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（7）自然资源部 农业农村部关于保障农村村民住宅建设合理用地的通知（自然资发〔2020〕128号）</w:t>
      </w:r>
      <w:r>
        <w:rPr>
          <w:rFonts w:hint="eastAsia" w:ascii="仿宋_GB2312" w:hAnsi="仿宋_GB2312" w:eastAsia="仿宋_GB2312" w:cs="仿宋_GB2312"/>
          <w:color w:val="auto"/>
          <w:highlight w:val="none"/>
          <w:lang w:val="en-US" w:eastAsia="zh-CN"/>
        </w:rPr>
        <w:t>；</w:t>
      </w:r>
    </w:p>
    <w:p w14:paraId="272A809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（8）自然资源部 农业农村部 国家林业和草原局联合印发《关于严格耕地用途管制有关问题的通知》（自然资发〔2021〕166号）；</w:t>
      </w:r>
    </w:p>
    <w:p w14:paraId="76592D78">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（9）《产业结构调整指导目录（2024年本）》（中华人民共和国国家发展和改革委员会令第 7 号）；</w:t>
      </w:r>
    </w:p>
    <w:p w14:paraId="43D28A24">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（10）《自然资源要素支撑产业高质量发展指导目录（2024年本）》（自然资发〔2024〕273号）；</w:t>
      </w:r>
    </w:p>
    <w:p w14:paraId="76A1DD75">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（11）自然资源部 国家发展改革委 农业农村部关于保障和规范农村一二三产业融合发展用地的通知（自然资发〔2021〕16号）；</w:t>
      </w:r>
    </w:p>
    <w:p w14:paraId="607E672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（12）自治区党委 自治区人民政府关于印发《广西建立国土空间规划体系并监督实施的实施方案》的通知（桂发〔2019〕23号）；</w:t>
      </w:r>
    </w:p>
    <w:p w14:paraId="1525A766">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（13）自治区</w:t>
      </w:r>
      <w:r>
        <w:rPr>
          <w:rFonts w:hint="eastAsia" w:ascii="仿宋_GB2312" w:hAnsi="仿宋_GB2312" w:eastAsia="仿宋_GB2312" w:cs="仿宋_GB2312"/>
          <w:color w:val="auto"/>
          <w:highlight w:val="none"/>
          <w:lang w:val="en-US" w:eastAsia="zh-CN"/>
        </w:rPr>
        <w:t>住房和城乡建设厅</w:t>
      </w:r>
      <w:r>
        <w:rPr>
          <w:rFonts w:hint="default" w:ascii="仿宋_GB2312" w:hAnsi="仿宋_GB2312" w:eastAsia="仿宋_GB2312" w:cs="仿宋_GB2312"/>
          <w:color w:val="auto"/>
          <w:highlight w:val="none"/>
          <w:lang w:val="en-US" w:eastAsia="zh-CN"/>
        </w:rPr>
        <w:t xml:space="preserve"> 自治区自然资源厅 自治区农业农村厅关于印发加强我区农房管控的实施意见的通知（桂建发〔2020〕3号）；</w:t>
      </w:r>
    </w:p>
    <w:p w14:paraId="40A9F9E7">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（14）自然资源厅 中共广西壮族自治区委员会农村工作领导小组办公室关于学习运用“千万工程”经验做好2024年村庄规划编制实施工作的通知（桂自然资发〔2024〕16号）；</w:t>
      </w:r>
    </w:p>
    <w:p w14:paraId="47ECB66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（15）自然资源厅关于强化村庄规划编制实施助力乡村振兴的通知（桂自然资发〔2023〕39号）；</w:t>
      </w:r>
    </w:p>
    <w:p w14:paraId="7804C59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（16</w:t>
      </w:r>
      <w:bookmarkStart w:id="185" w:name="OLE_LINK12"/>
      <w:r>
        <w:rPr>
          <w:rFonts w:hint="default" w:ascii="仿宋_GB2312" w:hAnsi="仿宋_GB2312" w:eastAsia="仿宋_GB2312" w:cs="仿宋_GB2312"/>
          <w:color w:val="auto"/>
          <w:highlight w:val="none"/>
          <w:lang w:val="en-US" w:eastAsia="zh-CN"/>
        </w:rPr>
        <w:t>）</w:t>
      </w:r>
      <w:bookmarkEnd w:id="185"/>
      <w:r>
        <w:rPr>
          <w:rFonts w:hint="default" w:ascii="仿宋_GB2312" w:hAnsi="仿宋_GB2312" w:eastAsia="仿宋_GB2312" w:cs="仿宋_GB2312"/>
          <w:color w:val="auto"/>
          <w:highlight w:val="none"/>
          <w:lang w:val="en-US" w:eastAsia="zh-CN"/>
        </w:rPr>
        <w:t>桂林市人民政府关于印发桂林市郊区村庄规划与农房管控实施办法的通知（市政规〔2021〕21号）；</w:t>
      </w:r>
    </w:p>
    <w:p w14:paraId="2AAD9946">
      <w:pPr>
        <w:pStyle w:val="4"/>
        <w:numPr>
          <w:ilvl w:val="2"/>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相关规划</w:t>
      </w:r>
    </w:p>
    <w:p w14:paraId="06E7ECD0">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（1）《桂林市国土空间总体规划（2021—2035年）》；</w:t>
      </w:r>
    </w:p>
    <w:p w14:paraId="4154BEDA">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国土空间总体规划（2021—2035年）》；</w:t>
      </w:r>
    </w:p>
    <w:p w14:paraId="0DBA51C1">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3</w:t>
      </w: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资源县</w:t>
      </w:r>
      <w:r>
        <w:rPr>
          <w:rFonts w:hint="default" w:ascii="仿宋_GB2312" w:hAnsi="仿宋_GB2312" w:eastAsia="仿宋_GB2312" w:cs="仿宋_GB2312"/>
          <w:color w:val="auto"/>
          <w:highlight w:val="none"/>
          <w:lang w:val="en-US" w:eastAsia="zh-CN"/>
        </w:rPr>
        <w:t>国民经济和社会发展第十四个五年规划和2035年远景目标纲要》；</w:t>
      </w:r>
    </w:p>
    <w:p w14:paraId="7525FB7E">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4</w:t>
      </w:r>
      <w:r>
        <w:rPr>
          <w:rFonts w:hint="default" w:ascii="仿宋_GB2312" w:hAnsi="仿宋_GB2312" w:eastAsia="仿宋_GB2312" w:cs="仿宋_GB2312"/>
          <w:color w:val="auto"/>
          <w:highlight w:val="none"/>
          <w:lang w:val="en-US" w:eastAsia="zh-CN"/>
        </w:rPr>
        <w:t>）《桂林世界级旅游城市建设发展规划》；</w:t>
      </w:r>
    </w:p>
    <w:p w14:paraId="41C214FB">
      <w:pPr>
        <w:widowControl/>
        <w:snapToGrid/>
        <w:spacing w:line="240" w:lineRule="auto"/>
        <w:ind w:firstLine="0"/>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lang w:val="en-US" w:eastAsia="zh-CN"/>
        </w:rPr>
        <w:t>5</w:t>
      </w:r>
      <w:r>
        <w:rPr>
          <w:rFonts w:hint="default" w:ascii="仿宋_GB2312" w:hAnsi="仿宋_GB2312" w:eastAsia="仿宋_GB2312" w:cs="仿宋_GB2312"/>
          <w:color w:val="auto"/>
          <w:highlight w:val="none"/>
          <w:lang w:val="en-US" w:eastAsia="zh-CN"/>
        </w:rPr>
        <w:t>）其他相关规划。</w:t>
      </w:r>
    </w:p>
    <w:p w14:paraId="4841A36B">
      <w:pPr>
        <w:pStyle w:val="3"/>
        <w:shd w:val="clear"/>
        <w:bidi w:val="0"/>
        <w:ind w:left="0" w:leftChars="0" w:firstLine="0" w:firstLineChars="0"/>
        <w:jc w:val="center"/>
        <w:rPr>
          <w:rFonts w:hint="default" w:ascii="Times New Roman" w:hAnsi="Times New Roman" w:eastAsia="仿宋" w:cs="Times New Roman"/>
          <w:b/>
          <w:bCs/>
          <w:color w:val="auto"/>
          <w:sz w:val="32"/>
          <w:szCs w:val="32"/>
          <w:highlight w:val="none"/>
          <w:lang w:val="en-US" w:eastAsia="zh-CN"/>
        </w:rPr>
      </w:pPr>
      <w:bookmarkStart w:id="186" w:name="_Toc32164"/>
      <w:bookmarkStart w:id="187" w:name="_Toc22975"/>
      <w:bookmarkStart w:id="188" w:name="_Toc3761"/>
      <w:bookmarkStart w:id="189" w:name="_Toc5415"/>
      <w:bookmarkStart w:id="190" w:name="_Toc32499"/>
      <w:bookmarkStart w:id="191" w:name="_Toc6181"/>
      <w:bookmarkStart w:id="192" w:name="_Toc25166"/>
      <w:bookmarkStart w:id="193" w:name="_Toc8050"/>
      <w:bookmarkStart w:id="194" w:name="_Toc8612"/>
      <w:bookmarkStart w:id="195" w:name="_Toc14212"/>
      <w:bookmarkStart w:id="196" w:name="_Toc11171"/>
      <w:bookmarkStart w:id="197" w:name="_Toc29346"/>
      <w:bookmarkStart w:id="198" w:name="_Toc16415"/>
      <w:r>
        <w:rPr>
          <w:rFonts w:hint="eastAsia" w:ascii="Times New Roman" w:hAnsi="Times New Roman" w:eastAsia="仿宋" w:cs="Times New Roman"/>
          <w:b/>
          <w:bCs/>
          <w:color w:val="auto"/>
          <w:sz w:val="32"/>
          <w:szCs w:val="32"/>
          <w:highlight w:val="none"/>
          <w:lang w:val="en-US" w:eastAsia="zh-CN"/>
        </w:rPr>
        <w:t>附录</w:t>
      </w:r>
      <w:r>
        <w:rPr>
          <w:rFonts w:hint="default" w:ascii="Times New Roman" w:hAnsi="Times New Roman" w:eastAsia="仿宋" w:cs="Times New Roman"/>
          <w:b/>
          <w:bCs/>
          <w:color w:val="auto"/>
          <w:sz w:val="32"/>
          <w:szCs w:val="32"/>
          <w:highlight w:val="none"/>
          <w:lang w:val="en-US" w:eastAsia="zh-CN"/>
        </w:rPr>
        <w:t>D乡村地区重点地块图则样图</w:t>
      </w:r>
      <w:bookmarkEnd w:id="186"/>
      <w:bookmarkEnd w:id="187"/>
      <w:bookmarkEnd w:id="188"/>
      <w:bookmarkEnd w:id="189"/>
      <w:bookmarkEnd w:id="190"/>
      <w:bookmarkEnd w:id="191"/>
      <w:bookmarkEnd w:id="192"/>
      <w:bookmarkEnd w:id="193"/>
    </w:p>
    <w:p w14:paraId="63CD8FB8">
      <w:pPr>
        <w:widowControl/>
        <w:snapToGrid/>
        <w:spacing w:line="240" w:lineRule="auto"/>
        <w:ind w:firstLine="0"/>
        <w:jc w:val="center"/>
        <w:rPr>
          <w:rFonts w:hint="default" w:ascii="仿宋_GB2312" w:hAnsi="仿宋_GB2312" w:eastAsia="仿宋_GB2312" w:cs="仿宋_GB2312"/>
          <w:color w:val="auto"/>
          <w:highlight w:val="none"/>
          <w:lang w:val="en-US" w:eastAsia="zh-CN"/>
        </w:rPr>
      </w:pPr>
      <w:r>
        <w:rPr>
          <w:rFonts w:hint="default" w:ascii="仿宋_GB2312" w:hAnsi="仿宋_GB2312" w:eastAsia="仿宋_GB2312" w:cs="仿宋_GB2312"/>
          <w:color w:val="auto"/>
          <w:highlight w:val="none"/>
          <w:lang w:val="en-US" w:eastAsia="zh-CN"/>
        </w:rPr>
        <w:t>乡村地区重点地块图则样图</w:t>
      </w:r>
    </w:p>
    <w:p w14:paraId="152B79CA">
      <w:pPr>
        <w:pStyle w:val="7"/>
        <w:shd w:val="clear"/>
        <w:ind w:left="0"/>
        <w:rPr>
          <w:rFonts w:hint="default" w:ascii="Times New Roman" w:hAnsi="Times New Roman" w:cs="Times New Roman"/>
          <w:color w:val="auto"/>
          <w:sz w:val="20"/>
          <w:highlight w:val="none"/>
        </w:rPr>
      </w:pPr>
      <w:r>
        <w:rPr>
          <w:rFonts w:hint="default" w:ascii="Times New Roman" w:hAnsi="Times New Roman" w:cs="Times New Roman"/>
          <w:color w:val="auto"/>
          <w:highlight w:val="none"/>
        </w:rPr>
        <w:drawing>
          <wp:anchor distT="0" distB="0" distL="0" distR="0" simplePos="0" relativeHeight="251661312" behindDoc="0" locked="0" layoutInCell="1" allowOverlap="1">
            <wp:simplePos x="0" y="0"/>
            <wp:positionH relativeFrom="page">
              <wp:posOffset>1007745</wp:posOffset>
            </wp:positionH>
            <wp:positionV relativeFrom="paragraph">
              <wp:posOffset>87630</wp:posOffset>
            </wp:positionV>
            <wp:extent cx="5387975" cy="3886200"/>
            <wp:effectExtent l="0" t="0" r="6985" b="0"/>
            <wp:wrapTopAndBottom/>
            <wp:docPr id="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a:picLocks noChangeAspect="1"/>
                    </pic:cNvPicPr>
                  </pic:nvPicPr>
                  <pic:blipFill>
                    <a:blip r:embed="rId15" cstate="print"/>
                    <a:stretch>
                      <a:fillRect/>
                    </a:stretch>
                  </pic:blipFill>
                  <pic:spPr>
                    <a:xfrm>
                      <a:off x="0" y="0"/>
                      <a:ext cx="5387975" cy="3886200"/>
                    </a:xfrm>
                    <a:prstGeom prst="rect">
                      <a:avLst/>
                    </a:prstGeom>
                  </pic:spPr>
                </pic:pic>
              </a:graphicData>
            </a:graphic>
          </wp:anchor>
        </w:drawing>
      </w:r>
    </w:p>
    <w:p w14:paraId="20192727">
      <w:pPr>
        <w:shd w:val="clear"/>
        <w:rPr>
          <w:rFonts w:hint="default" w:ascii="Times New Roman" w:hAnsi="Times New Roman" w:cs="Times New Roman"/>
          <w:color w:val="auto"/>
          <w:highlight w:val="none"/>
        </w:rPr>
      </w:pPr>
    </w:p>
    <w:p w14:paraId="0133BC79">
      <w:pPr>
        <w:widowControl/>
        <w:shd w:val="clear"/>
        <w:spacing w:line="360" w:lineRule="auto"/>
        <w:jc w:val="center"/>
        <w:rPr>
          <w:rFonts w:hint="default" w:ascii="Times New Roman" w:hAnsi="Times New Roman" w:eastAsia="仿宋" w:cs="Times New Roman"/>
          <w:color w:val="auto"/>
          <w:kern w:val="0"/>
          <w:sz w:val="32"/>
          <w:szCs w:val="32"/>
          <w:highlight w:val="none"/>
          <w:lang w:bidi="ar"/>
        </w:rPr>
        <w:sectPr>
          <w:footerReference r:id="rId10" w:type="default"/>
          <w:pgSz w:w="11906" w:h="16838"/>
          <w:pgMar w:top="1440" w:right="1800" w:bottom="1440" w:left="1800" w:header="851" w:footer="992" w:gutter="0"/>
          <w:pgNumType w:fmt="decimal"/>
          <w:cols w:space="425" w:num="1"/>
          <w:docGrid w:type="lines" w:linePitch="312" w:charSpace="0"/>
        </w:sectPr>
      </w:pPr>
    </w:p>
    <w:p w14:paraId="707F9929">
      <w:pPr>
        <w:pStyle w:val="3"/>
        <w:shd w:val="clear"/>
        <w:bidi w:val="0"/>
        <w:spacing w:before="0" w:after="0" w:line="240" w:lineRule="auto"/>
        <w:ind w:left="0" w:leftChars="0" w:firstLine="0" w:firstLineChars="0"/>
        <w:jc w:val="center"/>
        <w:rPr>
          <w:rFonts w:hint="eastAsia" w:ascii="Times New Roman" w:hAnsi="Times New Roman" w:eastAsia="仿宋" w:cs="Times New Roman"/>
          <w:b/>
          <w:bCs/>
          <w:color w:val="auto"/>
          <w:sz w:val="32"/>
          <w:szCs w:val="32"/>
          <w:highlight w:val="none"/>
          <w:lang w:val="en-US" w:eastAsia="zh-CN"/>
        </w:rPr>
      </w:pPr>
      <w:r>
        <w:rPr>
          <w:rFonts w:hint="eastAsia" w:ascii="Times New Roman" w:hAnsi="Times New Roman" w:eastAsia="仿宋" w:cs="Times New Roman"/>
          <w:b/>
          <w:bCs/>
          <w:color w:val="auto"/>
          <w:sz w:val="32"/>
          <w:szCs w:val="32"/>
          <w:highlight w:val="none"/>
          <w:lang w:val="en-US" w:eastAsia="zh-CN"/>
        </w:rPr>
        <w:t>附录E资源县村庄建设用地指标分解表</w:t>
      </w:r>
      <w:bookmarkEnd w:id="194"/>
      <w:bookmarkEnd w:id="195"/>
      <w:bookmarkEnd w:id="196"/>
      <w:bookmarkEnd w:id="197"/>
      <w:bookmarkEnd w:id="198"/>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1"/>
        <w:gridCol w:w="1577"/>
        <w:gridCol w:w="1612"/>
        <w:gridCol w:w="2879"/>
        <w:gridCol w:w="1730"/>
      </w:tblGrid>
      <w:tr w14:paraId="724E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40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序号</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B4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乡镇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BA1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行政村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D16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规划基期年建设用地面积（公顷）</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04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拟分配指标</w:t>
            </w:r>
          </w:p>
        </w:tc>
      </w:tr>
      <w:tr w14:paraId="5DBEA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E0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299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资源镇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E88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大埠街社区</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F32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457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r>
      <w:tr w14:paraId="51676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E8D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441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F2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沈滩社区</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841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9.5246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D2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8.5246</w:t>
            </w:r>
          </w:p>
        </w:tc>
      </w:tr>
      <w:tr w14:paraId="150CC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862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25C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C56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城关村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0B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2.5073</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F3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2.0073</w:t>
            </w:r>
          </w:p>
        </w:tc>
      </w:tr>
      <w:tr w14:paraId="1761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BC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39E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22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大合村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8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11.8270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3B3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10.8270</w:t>
            </w:r>
          </w:p>
        </w:tc>
      </w:tr>
      <w:tr w14:paraId="1B22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2F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457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292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修睦村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AB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56.1992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DB2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51.1992</w:t>
            </w:r>
          </w:p>
        </w:tc>
      </w:tr>
      <w:tr w14:paraId="529B2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E3C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537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97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晓锦村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496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60.5119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D27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66.0119</w:t>
            </w:r>
          </w:p>
        </w:tc>
      </w:tr>
      <w:tr w14:paraId="55C06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39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E49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A7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同禾村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44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51.2532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AE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49.2532</w:t>
            </w:r>
          </w:p>
        </w:tc>
      </w:tr>
      <w:tr w14:paraId="1AFB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FAB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EA5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866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金山村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8C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27.8031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5D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32.8031</w:t>
            </w:r>
          </w:p>
        </w:tc>
      </w:tr>
      <w:tr w14:paraId="3403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ED1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2212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749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永兴村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4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52.0904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C8D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53.0904</w:t>
            </w:r>
          </w:p>
        </w:tc>
      </w:tr>
      <w:tr w14:paraId="5796B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BF1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EFC5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2E1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石溪村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DE9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39.7243</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D5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35.7243</w:t>
            </w:r>
          </w:p>
        </w:tc>
      </w:tr>
      <w:tr w14:paraId="68FAE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A41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A8C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696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文洞村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9A9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46.1426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4AC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47.1426</w:t>
            </w:r>
          </w:p>
        </w:tc>
      </w:tr>
      <w:tr w14:paraId="46F13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320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E1E7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05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马家村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E5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47.0562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08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44.0562</w:t>
            </w:r>
          </w:p>
        </w:tc>
      </w:tr>
      <w:tr w14:paraId="5C71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EFD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335B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F41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官洞村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15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29.8420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60E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27.8420</w:t>
            </w:r>
          </w:p>
        </w:tc>
      </w:tr>
      <w:tr w14:paraId="0C7D9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D79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C7C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123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浦田村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0C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29.4490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99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27.4490</w:t>
            </w:r>
          </w:p>
        </w:tc>
      </w:tr>
      <w:tr w14:paraId="6D0C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3A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7D2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829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天门村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109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37.4292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285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34.4292</w:t>
            </w:r>
          </w:p>
        </w:tc>
      </w:tr>
      <w:tr w14:paraId="2B1C4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0A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76BB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D9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石溪头村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266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26.8359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84F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24.8359</w:t>
            </w:r>
          </w:p>
        </w:tc>
      </w:tr>
      <w:tr w14:paraId="06EC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282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5B5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BE4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12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528.1958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C8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515.1959</w:t>
            </w:r>
          </w:p>
        </w:tc>
      </w:tr>
      <w:tr w14:paraId="0662F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52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8BB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中峰镇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38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车田湾村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E5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81.9235</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4CC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84.9235</w:t>
            </w:r>
          </w:p>
        </w:tc>
      </w:tr>
      <w:tr w14:paraId="774FD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A7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70AB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437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大庄田村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2E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147.1852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C19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153.1852</w:t>
            </w:r>
          </w:p>
        </w:tc>
      </w:tr>
      <w:tr w14:paraId="0F6D7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A7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559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E5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C3F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72.4369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01A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75.4369</w:t>
            </w:r>
          </w:p>
        </w:tc>
      </w:tr>
      <w:tr w14:paraId="745F4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E0E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B5C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18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官田村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D9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81.3527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CC7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82.3527</w:t>
            </w:r>
          </w:p>
        </w:tc>
      </w:tr>
      <w:tr w14:paraId="2675A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B08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588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5BA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枫木村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8B6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87.6520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596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89.6520</w:t>
            </w:r>
          </w:p>
        </w:tc>
      </w:tr>
      <w:tr w14:paraId="57A07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91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E9E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39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上洞村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B9E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23.4090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67B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18.4090</w:t>
            </w:r>
          </w:p>
        </w:tc>
      </w:tr>
      <w:tr w14:paraId="69ADE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CB5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E11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ED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八坊村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F6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56.8288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F55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50.8288</w:t>
            </w:r>
          </w:p>
        </w:tc>
      </w:tr>
      <w:tr w14:paraId="6004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D6B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4F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2C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福景村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C95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14.5322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78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11.5322</w:t>
            </w:r>
          </w:p>
        </w:tc>
      </w:tr>
      <w:tr w14:paraId="4239B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CE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A19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D0C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社岭村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5D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30.1709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BA1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20.1709</w:t>
            </w:r>
          </w:p>
        </w:tc>
      </w:tr>
      <w:tr w14:paraId="24500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55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E2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78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大源村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EF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28.4156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A3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23.4156</w:t>
            </w:r>
          </w:p>
        </w:tc>
      </w:tr>
      <w:tr w14:paraId="0F403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30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1FCA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D9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农林场越城岭林场</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486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1.8178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19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0.8178</w:t>
            </w:r>
          </w:p>
        </w:tc>
      </w:tr>
      <w:tr w14:paraId="75B55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37C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79B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280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FDA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625.7246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9D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610.7246</w:t>
            </w:r>
          </w:p>
        </w:tc>
      </w:tr>
      <w:tr w14:paraId="43E3B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98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A95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梅溪镇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E2D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金新亭社区</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87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2D9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r>
      <w:tr w14:paraId="413A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5BD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766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8DF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大坨村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51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50.9431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BE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57.9431</w:t>
            </w:r>
          </w:p>
        </w:tc>
      </w:tr>
      <w:tr w14:paraId="3342C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B7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1A5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00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胡家田村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2E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27.5754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F3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25.5754</w:t>
            </w:r>
          </w:p>
        </w:tc>
      </w:tr>
      <w:tr w14:paraId="0B3C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9E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4A99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741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梅溪村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43F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63.2348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9E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61.2348</w:t>
            </w:r>
          </w:p>
        </w:tc>
      </w:tr>
      <w:tr w14:paraId="7B9E6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8C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2F0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1E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随滩村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C5D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47.7626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8F3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44.7624</w:t>
            </w:r>
          </w:p>
        </w:tc>
      </w:tr>
      <w:tr w14:paraId="43F6C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8E0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839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696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坪水底村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5C3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60.0988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9E7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57.0988</w:t>
            </w:r>
          </w:p>
        </w:tc>
      </w:tr>
      <w:tr w14:paraId="367BD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7B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2B4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D7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咸水口村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8B7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34.6110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77C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33.6110</w:t>
            </w:r>
          </w:p>
        </w:tc>
      </w:tr>
      <w:tr w14:paraId="424D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33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A12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ED6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铜座村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D11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39.6548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44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37.6548</w:t>
            </w:r>
          </w:p>
        </w:tc>
      </w:tr>
      <w:tr w14:paraId="74A0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E7C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EB8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86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大滩头村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B72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33.3579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CD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31.3579</w:t>
            </w:r>
          </w:p>
        </w:tc>
      </w:tr>
      <w:tr w14:paraId="2D5E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9B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70E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51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茶坪村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3D6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14.2750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36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11.2750</w:t>
            </w:r>
          </w:p>
        </w:tc>
      </w:tr>
      <w:tr w14:paraId="16539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5F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FBDE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DB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戈洞坪村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9ED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30.8894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010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27.8894</w:t>
            </w:r>
          </w:p>
        </w:tc>
      </w:tr>
      <w:tr w14:paraId="2E835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299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8539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E9E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三茶村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C2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38.6910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4DC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40.6910</w:t>
            </w:r>
          </w:p>
        </w:tc>
      </w:tr>
      <w:tr w14:paraId="543A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575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410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E5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咸水洞村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FB1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39.3084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C0C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40.3084</w:t>
            </w:r>
          </w:p>
        </w:tc>
      </w:tr>
      <w:tr w14:paraId="3FFD2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5DD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E6C3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B74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沙坪村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38A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10.6591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9B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8.6591</w:t>
            </w:r>
          </w:p>
        </w:tc>
      </w:tr>
      <w:tr w14:paraId="1F3F3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A0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4E9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464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122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491.0612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C6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478.0611</w:t>
            </w:r>
          </w:p>
        </w:tc>
      </w:tr>
      <w:tr w14:paraId="462AA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942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EBF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瓜里乡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BAE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瓜里村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AB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46.6624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42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49.6624</w:t>
            </w:r>
          </w:p>
        </w:tc>
      </w:tr>
      <w:tr w14:paraId="3DBCC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521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E8C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BDD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1D1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49.6443</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D6A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45.6443</w:t>
            </w:r>
          </w:p>
        </w:tc>
      </w:tr>
      <w:tr w14:paraId="3CDDC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DD3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5390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1C8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白水村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01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35.1610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C1D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32.1610</w:t>
            </w:r>
          </w:p>
        </w:tc>
      </w:tr>
      <w:tr w14:paraId="52BE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18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A892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C8D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水头村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CA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38.1282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FA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35.1282</w:t>
            </w:r>
          </w:p>
        </w:tc>
      </w:tr>
      <w:tr w14:paraId="0E16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6C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CFF6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38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田洞里村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EF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13.2382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99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10.2382</w:t>
            </w:r>
          </w:p>
        </w:tc>
      </w:tr>
      <w:tr w14:paraId="1FE88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F2E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BFEE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B9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大坪头村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2C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11.9261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A95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9.9261</w:t>
            </w:r>
          </w:p>
        </w:tc>
      </w:tr>
      <w:tr w14:paraId="63FBE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DB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EFEA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0C1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义林村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ED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54.8814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D7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50.8814</w:t>
            </w:r>
          </w:p>
        </w:tc>
      </w:tr>
      <w:tr w14:paraId="0D5A2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78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46E5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8B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文溪村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894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52.0044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EB5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48.0044</w:t>
            </w:r>
          </w:p>
        </w:tc>
      </w:tr>
      <w:tr w14:paraId="6969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789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2C6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BD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金江村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368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21.8336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6D7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23.8336</w:t>
            </w:r>
          </w:p>
        </w:tc>
      </w:tr>
      <w:tr w14:paraId="1167E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3D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0319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C94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白竹村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A2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44.5889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F4A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39.5889</w:t>
            </w:r>
          </w:p>
        </w:tc>
      </w:tr>
      <w:tr w14:paraId="294FC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33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2B0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4D8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香草村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A38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13.1661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0E8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9.1661</w:t>
            </w:r>
          </w:p>
        </w:tc>
      </w:tr>
      <w:tr w14:paraId="40B53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691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2F8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EB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D4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381.2350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030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354.2346</w:t>
            </w:r>
          </w:p>
        </w:tc>
      </w:tr>
      <w:tr w14:paraId="23DA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57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57</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E8F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车田苗族乡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2AB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幸福里社区</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5BA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19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0.0000</w:t>
            </w:r>
          </w:p>
        </w:tc>
      </w:tr>
      <w:tr w14:paraId="64A30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1E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F2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CBB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车田村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19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70.8771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B36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74.8767</w:t>
            </w:r>
          </w:p>
        </w:tc>
      </w:tr>
      <w:tr w14:paraId="3E220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4B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4D8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02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木厂村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18E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35.4032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6A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30.4032</w:t>
            </w:r>
          </w:p>
        </w:tc>
      </w:tr>
      <w:tr w14:paraId="6316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3F1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9C3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EA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白洞村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7A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20.2070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860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16.2070</w:t>
            </w:r>
          </w:p>
        </w:tc>
      </w:tr>
      <w:tr w14:paraId="6A053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AC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474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4F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黄龙村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04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31.3282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48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29.3282</w:t>
            </w:r>
          </w:p>
        </w:tc>
      </w:tr>
      <w:tr w14:paraId="70E71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850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941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F7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石寨村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A0A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31.1741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D9B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29.1741</w:t>
            </w:r>
          </w:p>
        </w:tc>
      </w:tr>
      <w:tr w14:paraId="5432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A6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08D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149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黄宝村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3C9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41.0277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A82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38.0277</w:t>
            </w:r>
          </w:p>
        </w:tc>
      </w:tr>
      <w:tr w14:paraId="3B9F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5D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7F66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809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龙塘村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853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44.3138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033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41.3138</w:t>
            </w:r>
          </w:p>
        </w:tc>
      </w:tr>
      <w:tr w14:paraId="447A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645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2D8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5A6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粗石村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FCE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33.8852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D9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30.8852</w:t>
            </w:r>
          </w:p>
        </w:tc>
      </w:tr>
      <w:tr w14:paraId="5719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71A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E6F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13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海棠村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CE8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38.4711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4BA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34.4711</w:t>
            </w:r>
          </w:p>
        </w:tc>
      </w:tr>
      <w:tr w14:paraId="1CE6C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B88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61B2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F1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脚古冲村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574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43.9993</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0A9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44.9993</w:t>
            </w:r>
          </w:p>
        </w:tc>
      </w:tr>
      <w:tr w14:paraId="3B7A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387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68</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1EF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D8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坪寨村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C93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28.0048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AB8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25.0048</w:t>
            </w:r>
          </w:p>
        </w:tc>
      </w:tr>
      <w:tr w14:paraId="205D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49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888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6E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田头水村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E1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22.4336</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2CB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19.4336</w:t>
            </w:r>
          </w:p>
        </w:tc>
      </w:tr>
      <w:tr w14:paraId="0B1E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F54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1CF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562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C4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441.1252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7D6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414.1247</w:t>
            </w:r>
          </w:p>
        </w:tc>
      </w:tr>
      <w:tr w14:paraId="32075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98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71</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7D2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两水苗族乡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9E9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凤水村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EC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47.1339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3C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42.1339</w:t>
            </w:r>
          </w:p>
        </w:tc>
      </w:tr>
      <w:tr w14:paraId="2D32E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3FD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B86E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DA4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社水村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53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41.8467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75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36.8467</w:t>
            </w:r>
          </w:p>
        </w:tc>
      </w:tr>
      <w:tr w14:paraId="3F30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69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5F0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274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和平村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EA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35.4478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794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28.4478</w:t>
            </w:r>
          </w:p>
        </w:tc>
      </w:tr>
      <w:tr w14:paraId="3F06A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A24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74</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2B5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ED9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烟竹村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71E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31.2621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DD8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24.2621</w:t>
            </w:r>
          </w:p>
        </w:tc>
      </w:tr>
      <w:tr w14:paraId="30E86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72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75</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041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9BD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白石村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96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33.1134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BA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27.1134</w:t>
            </w:r>
          </w:p>
        </w:tc>
      </w:tr>
      <w:tr w14:paraId="48893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8A3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76</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C44C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05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塘洞村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C1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45.3571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93D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46.3571</w:t>
            </w:r>
          </w:p>
        </w:tc>
      </w:tr>
      <w:tr w14:paraId="385F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C8D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77</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56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5F8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6BA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234.1602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FA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205.1610</w:t>
            </w:r>
          </w:p>
        </w:tc>
      </w:tr>
      <w:tr w14:paraId="634FF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EFE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78</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9E7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河口瑶族乡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54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立才坪村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AFA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13.1488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E03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9.1488</w:t>
            </w:r>
          </w:p>
        </w:tc>
      </w:tr>
      <w:tr w14:paraId="6691F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5E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79</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BA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0D1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大湾村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19E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12.1844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6BB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7.1844</w:t>
            </w:r>
          </w:p>
        </w:tc>
      </w:tr>
      <w:tr w14:paraId="7031C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AD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4B9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54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猴背村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AF5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28.6418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662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22.6418</w:t>
            </w:r>
          </w:p>
        </w:tc>
      </w:tr>
      <w:tr w14:paraId="5EDC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389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81</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8F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A01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葱坪村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A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71.1937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129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63.1937</w:t>
            </w:r>
          </w:p>
        </w:tc>
      </w:tr>
      <w:tr w14:paraId="76E2C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3D4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82</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80BD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10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高山村</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0A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9.1172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43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6.1172</w:t>
            </w:r>
          </w:p>
        </w:tc>
      </w:tr>
      <w:tr w14:paraId="644C7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CDE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83</w:t>
            </w: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D99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A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小计</w:t>
            </w: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9B7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134.2858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8C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108.2859</w:t>
            </w:r>
          </w:p>
        </w:tc>
      </w:tr>
      <w:tr w14:paraId="0D3B7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6A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84</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D3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合计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506F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i w:val="0"/>
                <w:iCs w:val="0"/>
                <w:color w:val="000000"/>
                <w:sz w:val="24"/>
                <w:szCs w:val="24"/>
                <w:u w:val="none"/>
              </w:rPr>
            </w:pPr>
          </w:p>
        </w:tc>
        <w:tc>
          <w:tcPr>
            <w:tcW w:w="1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D12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2835.7878</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2AB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2685.7878</w:t>
            </w:r>
          </w:p>
        </w:tc>
      </w:tr>
    </w:tbl>
    <w:p w14:paraId="1643386F">
      <w:pPr>
        <w:rPr>
          <w:rFonts w:hint="eastAsia"/>
          <w:color w:val="auto"/>
          <w:highlight w:val="none"/>
        </w:rPr>
      </w:pPr>
    </w:p>
    <w:p w14:paraId="00C5DA09">
      <w:pPr>
        <w:widowControl/>
        <w:ind w:firstLine="0" w:firstLineChars="0"/>
        <w:textAlignment w:val="center"/>
        <w:rPr>
          <w:rStyle w:val="32"/>
          <w:rFonts w:hint="eastAsia" w:ascii="仿宋" w:hAnsi="仿宋" w:eastAsia="仿宋" w:cs="仿宋"/>
          <w:color w:val="auto"/>
          <w:highlight w:val="none"/>
          <w:lang w:bidi="ar"/>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6289451">
      <w:pPr>
        <w:widowControl/>
        <w:ind w:firstLine="0" w:firstLineChars="0"/>
        <w:textAlignment w:val="center"/>
        <w:rPr>
          <w:rStyle w:val="32"/>
          <w:rFonts w:hint="eastAsia" w:ascii="仿宋" w:hAnsi="仿宋" w:eastAsia="仿宋" w:cs="仿宋"/>
          <w:color w:val="auto"/>
          <w:highlight w:val="none"/>
          <w:lang w:bidi="ar"/>
        </w:rPr>
      </w:pPr>
    </w:p>
    <w:p w14:paraId="54A46A64">
      <w:pPr>
        <w:pStyle w:val="3"/>
        <w:shd w:val="clear"/>
        <w:bidi w:val="0"/>
        <w:ind w:left="0" w:leftChars="0" w:firstLine="0" w:firstLineChars="0"/>
        <w:jc w:val="center"/>
        <w:rPr>
          <w:rFonts w:hint="eastAsia" w:ascii="Times New Roman" w:hAnsi="Times New Roman" w:eastAsia="仿宋" w:cs="Times New Roman"/>
          <w:b/>
          <w:bCs/>
          <w:color w:val="auto"/>
          <w:sz w:val="32"/>
          <w:szCs w:val="32"/>
          <w:highlight w:val="none"/>
          <w:lang w:val="en-US" w:eastAsia="zh-CN"/>
        </w:rPr>
      </w:pPr>
      <w:bookmarkStart w:id="199" w:name="_Toc26985"/>
      <w:bookmarkStart w:id="200" w:name="_Toc3264"/>
      <w:bookmarkStart w:id="201" w:name="_Toc15276"/>
      <w:bookmarkStart w:id="202" w:name="_Toc31429"/>
      <w:bookmarkStart w:id="203" w:name="_Toc24267"/>
      <w:r>
        <w:rPr>
          <w:rFonts w:hint="eastAsia" w:ascii="Times New Roman" w:hAnsi="Times New Roman" w:eastAsia="仿宋" w:cs="Times New Roman"/>
          <w:b/>
          <w:bCs/>
          <w:color w:val="auto"/>
          <w:sz w:val="32"/>
          <w:szCs w:val="32"/>
          <w:highlight w:val="none"/>
          <w:lang w:val="en-US" w:eastAsia="zh-CN"/>
        </w:rPr>
        <w:t>附录F</w:t>
      </w:r>
      <w:bookmarkEnd w:id="199"/>
      <w:bookmarkEnd w:id="200"/>
      <w:bookmarkEnd w:id="201"/>
      <w:bookmarkEnd w:id="202"/>
      <w:bookmarkEnd w:id="203"/>
      <w:r>
        <w:rPr>
          <w:rFonts w:hint="eastAsia" w:ascii="Times New Roman" w:hAnsi="Times New Roman" w:eastAsia="仿宋" w:cs="Times New Roman"/>
          <w:b/>
          <w:bCs/>
          <w:color w:val="auto"/>
          <w:sz w:val="32"/>
          <w:szCs w:val="32"/>
          <w:highlight w:val="none"/>
          <w:lang w:val="en-US" w:eastAsia="zh-CN"/>
        </w:rPr>
        <w:t>资源县</w:t>
      </w:r>
      <w:r>
        <w:rPr>
          <w:rFonts w:hint="default" w:ascii="Times New Roman" w:hAnsi="Times New Roman" w:eastAsia="仿宋" w:cs="Times New Roman"/>
          <w:b/>
          <w:bCs/>
          <w:color w:val="auto"/>
          <w:sz w:val="32"/>
          <w:szCs w:val="32"/>
          <w:highlight w:val="none"/>
          <w:lang w:val="en-US" w:eastAsia="zh-CN"/>
        </w:rPr>
        <w:t>村庄分类、历史文化名村及传统村落一览表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9"/>
        <w:gridCol w:w="1391"/>
        <w:gridCol w:w="2485"/>
        <w:gridCol w:w="4605"/>
        <w:gridCol w:w="4863"/>
      </w:tblGrid>
      <w:tr w14:paraId="22C4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vMerge w:val="restart"/>
            <w:shd w:val="clear" w:color="auto" w:fill="auto"/>
            <w:vAlign w:val="center"/>
          </w:tcPr>
          <w:p w14:paraId="26FDD6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91" w:type="pct"/>
            <w:vMerge w:val="restart"/>
            <w:shd w:val="clear" w:color="auto" w:fill="auto"/>
            <w:vAlign w:val="center"/>
          </w:tcPr>
          <w:p w14:paraId="189057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乡（镇）</w:t>
            </w:r>
          </w:p>
        </w:tc>
        <w:tc>
          <w:tcPr>
            <w:tcW w:w="877" w:type="pct"/>
            <w:vMerge w:val="restart"/>
            <w:shd w:val="clear" w:color="auto" w:fill="auto"/>
            <w:vAlign w:val="center"/>
          </w:tcPr>
          <w:p w14:paraId="04B421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行政村（社区）名称</w:t>
            </w:r>
          </w:p>
        </w:tc>
        <w:tc>
          <w:tcPr>
            <w:tcW w:w="1625" w:type="pct"/>
            <w:vMerge w:val="restart"/>
            <w:shd w:val="clear" w:color="auto" w:fill="auto"/>
            <w:vAlign w:val="center"/>
          </w:tcPr>
          <w:p w14:paraId="4ED580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村庄分类</w:t>
            </w:r>
          </w:p>
        </w:tc>
        <w:tc>
          <w:tcPr>
            <w:tcW w:w="1716" w:type="pct"/>
            <w:vMerge w:val="restart"/>
            <w:shd w:val="clear" w:color="auto" w:fill="auto"/>
            <w:vAlign w:val="center"/>
          </w:tcPr>
          <w:p w14:paraId="25925F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历史文化名村及传统村落</w:t>
            </w:r>
          </w:p>
        </w:tc>
      </w:tr>
      <w:tr w14:paraId="6A4F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vMerge w:val="continue"/>
            <w:shd w:val="clear" w:color="auto" w:fill="auto"/>
            <w:vAlign w:val="center"/>
          </w:tcPr>
          <w:p w14:paraId="40D6630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491" w:type="pct"/>
            <w:vMerge w:val="continue"/>
            <w:shd w:val="clear" w:color="auto" w:fill="auto"/>
            <w:vAlign w:val="center"/>
          </w:tcPr>
          <w:p w14:paraId="10F6F3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877" w:type="pct"/>
            <w:vMerge w:val="continue"/>
            <w:shd w:val="clear" w:color="auto" w:fill="auto"/>
            <w:vAlign w:val="center"/>
          </w:tcPr>
          <w:p w14:paraId="46342F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1625" w:type="pct"/>
            <w:vMerge w:val="continue"/>
            <w:shd w:val="clear" w:color="auto" w:fill="auto"/>
            <w:vAlign w:val="center"/>
          </w:tcPr>
          <w:p w14:paraId="4EE8AF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1716" w:type="pct"/>
            <w:vMerge w:val="continue"/>
            <w:shd w:val="clear" w:color="auto" w:fill="auto"/>
            <w:vAlign w:val="center"/>
          </w:tcPr>
          <w:p w14:paraId="39C2ADD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r>
      <w:tr w14:paraId="1A6C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vMerge w:val="continue"/>
            <w:shd w:val="clear" w:color="auto" w:fill="auto"/>
            <w:vAlign w:val="center"/>
          </w:tcPr>
          <w:p w14:paraId="482097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491" w:type="pct"/>
            <w:vMerge w:val="continue"/>
            <w:shd w:val="clear" w:color="auto" w:fill="auto"/>
            <w:vAlign w:val="center"/>
          </w:tcPr>
          <w:p w14:paraId="774194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877" w:type="pct"/>
            <w:vMerge w:val="continue"/>
            <w:shd w:val="clear" w:color="auto" w:fill="auto"/>
            <w:vAlign w:val="center"/>
          </w:tcPr>
          <w:p w14:paraId="1314394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1625" w:type="pct"/>
            <w:vMerge w:val="continue"/>
            <w:shd w:val="clear" w:color="auto" w:fill="auto"/>
            <w:vAlign w:val="center"/>
          </w:tcPr>
          <w:p w14:paraId="7BA42B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c>
          <w:tcPr>
            <w:tcW w:w="1716" w:type="pct"/>
            <w:vMerge w:val="continue"/>
            <w:shd w:val="clear" w:color="auto" w:fill="auto"/>
            <w:vAlign w:val="center"/>
          </w:tcPr>
          <w:p w14:paraId="5AD5120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u w:val="none"/>
              </w:rPr>
            </w:pPr>
          </w:p>
        </w:tc>
      </w:tr>
      <w:tr w14:paraId="49A0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24B703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91" w:type="pct"/>
            <w:vMerge w:val="restart"/>
            <w:shd w:val="clear" w:color="auto" w:fill="auto"/>
            <w:vAlign w:val="center"/>
          </w:tcPr>
          <w:p w14:paraId="706ACA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资源镇</w:t>
            </w:r>
          </w:p>
        </w:tc>
        <w:tc>
          <w:tcPr>
            <w:tcW w:w="877" w:type="pct"/>
            <w:shd w:val="clear" w:color="auto" w:fill="auto"/>
            <w:vAlign w:val="center"/>
          </w:tcPr>
          <w:p w14:paraId="491EBD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大埠街社区</w:t>
            </w:r>
          </w:p>
        </w:tc>
        <w:tc>
          <w:tcPr>
            <w:tcW w:w="1625" w:type="pct"/>
            <w:shd w:val="clear" w:color="auto" w:fill="auto"/>
            <w:vAlign w:val="center"/>
          </w:tcPr>
          <w:p w14:paraId="1C4719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vAlign w:val="center"/>
          </w:tcPr>
          <w:p w14:paraId="6BF28A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772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F654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91" w:type="pct"/>
            <w:vMerge w:val="continue"/>
            <w:shd w:val="clear" w:color="auto" w:fill="auto"/>
            <w:vAlign w:val="center"/>
          </w:tcPr>
          <w:p w14:paraId="4CC8585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D8B0C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沈滩社区</w:t>
            </w:r>
          </w:p>
        </w:tc>
        <w:tc>
          <w:tcPr>
            <w:tcW w:w="1625" w:type="pct"/>
            <w:shd w:val="clear" w:color="auto" w:fill="auto"/>
            <w:vAlign w:val="center"/>
          </w:tcPr>
          <w:p w14:paraId="136C61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66E517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60C4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4CF93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91" w:type="pct"/>
            <w:vMerge w:val="continue"/>
            <w:shd w:val="clear" w:color="auto" w:fill="auto"/>
            <w:vAlign w:val="center"/>
          </w:tcPr>
          <w:p w14:paraId="100849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BCC30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城关村</w:t>
            </w:r>
          </w:p>
        </w:tc>
        <w:tc>
          <w:tcPr>
            <w:tcW w:w="1625" w:type="pct"/>
            <w:shd w:val="clear" w:color="auto" w:fill="auto"/>
            <w:vAlign w:val="center"/>
          </w:tcPr>
          <w:p w14:paraId="29AF4A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12FA00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075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79E9D6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91" w:type="pct"/>
            <w:vMerge w:val="continue"/>
            <w:shd w:val="clear" w:color="auto" w:fill="auto"/>
            <w:vAlign w:val="center"/>
          </w:tcPr>
          <w:p w14:paraId="044027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FD511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大合村</w:t>
            </w:r>
          </w:p>
        </w:tc>
        <w:tc>
          <w:tcPr>
            <w:tcW w:w="1625" w:type="pct"/>
            <w:shd w:val="clear" w:color="auto" w:fill="auto"/>
            <w:vAlign w:val="center"/>
          </w:tcPr>
          <w:p w14:paraId="117E20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2B1412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2FB4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6F560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91" w:type="pct"/>
            <w:vMerge w:val="continue"/>
            <w:shd w:val="clear" w:color="auto" w:fill="auto"/>
            <w:vAlign w:val="center"/>
          </w:tcPr>
          <w:p w14:paraId="3A0FE6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7B478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修睦村</w:t>
            </w:r>
          </w:p>
        </w:tc>
        <w:tc>
          <w:tcPr>
            <w:tcW w:w="1625" w:type="pct"/>
            <w:shd w:val="clear" w:color="auto" w:fill="auto"/>
            <w:vAlign w:val="center"/>
          </w:tcPr>
          <w:p w14:paraId="45199B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0A0B37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D18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136F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91" w:type="pct"/>
            <w:vMerge w:val="continue"/>
            <w:shd w:val="clear" w:color="auto" w:fill="auto"/>
            <w:vAlign w:val="center"/>
          </w:tcPr>
          <w:p w14:paraId="235E9EB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8324F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晓锦村</w:t>
            </w:r>
          </w:p>
        </w:tc>
        <w:tc>
          <w:tcPr>
            <w:tcW w:w="1625" w:type="pct"/>
            <w:shd w:val="clear" w:color="auto" w:fill="auto"/>
            <w:vAlign w:val="center"/>
          </w:tcPr>
          <w:p w14:paraId="05C8B5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58F75F0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C8D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58DCEA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91" w:type="pct"/>
            <w:vMerge w:val="continue"/>
            <w:shd w:val="clear" w:color="auto" w:fill="auto"/>
            <w:vAlign w:val="center"/>
          </w:tcPr>
          <w:p w14:paraId="4FA6D3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2A2B0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同禾村</w:t>
            </w:r>
          </w:p>
        </w:tc>
        <w:tc>
          <w:tcPr>
            <w:tcW w:w="1625" w:type="pct"/>
            <w:shd w:val="clear" w:color="auto" w:fill="auto"/>
            <w:vAlign w:val="center"/>
          </w:tcPr>
          <w:p w14:paraId="5DEEDB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7AF858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DD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0D824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91" w:type="pct"/>
            <w:vMerge w:val="continue"/>
            <w:shd w:val="clear" w:color="auto" w:fill="auto"/>
            <w:vAlign w:val="center"/>
          </w:tcPr>
          <w:p w14:paraId="66A171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62FAD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金山村</w:t>
            </w:r>
          </w:p>
        </w:tc>
        <w:tc>
          <w:tcPr>
            <w:tcW w:w="1625" w:type="pct"/>
            <w:shd w:val="clear" w:color="auto" w:fill="auto"/>
            <w:vAlign w:val="center"/>
          </w:tcPr>
          <w:p w14:paraId="31B8F1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2753AF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564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B7479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91" w:type="pct"/>
            <w:vMerge w:val="continue"/>
            <w:shd w:val="clear" w:color="auto" w:fill="auto"/>
            <w:vAlign w:val="center"/>
          </w:tcPr>
          <w:p w14:paraId="311662A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788B4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永兴村</w:t>
            </w:r>
          </w:p>
        </w:tc>
        <w:tc>
          <w:tcPr>
            <w:tcW w:w="1625" w:type="pct"/>
            <w:shd w:val="clear" w:color="auto" w:fill="auto"/>
            <w:vAlign w:val="center"/>
          </w:tcPr>
          <w:p w14:paraId="782182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52E68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047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6A8347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91" w:type="pct"/>
            <w:vMerge w:val="continue"/>
            <w:shd w:val="clear" w:color="auto" w:fill="auto"/>
            <w:vAlign w:val="center"/>
          </w:tcPr>
          <w:p w14:paraId="042094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92A69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石溪村</w:t>
            </w:r>
          </w:p>
        </w:tc>
        <w:tc>
          <w:tcPr>
            <w:tcW w:w="1625" w:type="pct"/>
            <w:shd w:val="clear" w:color="auto" w:fill="auto"/>
            <w:vAlign w:val="center"/>
          </w:tcPr>
          <w:p w14:paraId="052C3D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720DD2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643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432724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91" w:type="pct"/>
            <w:vMerge w:val="continue"/>
            <w:shd w:val="clear" w:color="auto" w:fill="auto"/>
            <w:vAlign w:val="center"/>
          </w:tcPr>
          <w:p w14:paraId="73DE450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24BBB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文洞村</w:t>
            </w:r>
          </w:p>
        </w:tc>
        <w:tc>
          <w:tcPr>
            <w:tcW w:w="1625" w:type="pct"/>
            <w:shd w:val="clear" w:color="auto" w:fill="auto"/>
            <w:vAlign w:val="center"/>
          </w:tcPr>
          <w:p w14:paraId="7C797F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42B17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5EF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F1875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91" w:type="pct"/>
            <w:vMerge w:val="continue"/>
            <w:shd w:val="clear" w:color="auto" w:fill="auto"/>
            <w:vAlign w:val="center"/>
          </w:tcPr>
          <w:p w14:paraId="7F93B6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7107A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马家村</w:t>
            </w:r>
          </w:p>
        </w:tc>
        <w:tc>
          <w:tcPr>
            <w:tcW w:w="1625" w:type="pct"/>
            <w:shd w:val="clear" w:color="auto" w:fill="auto"/>
            <w:vAlign w:val="center"/>
          </w:tcPr>
          <w:p w14:paraId="124337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3BAB38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3094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448048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91" w:type="pct"/>
            <w:vMerge w:val="continue"/>
            <w:shd w:val="clear" w:color="auto" w:fill="auto"/>
            <w:vAlign w:val="center"/>
          </w:tcPr>
          <w:p w14:paraId="7308C8E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3BD2B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官洞村</w:t>
            </w:r>
          </w:p>
        </w:tc>
        <w:tc>
          <w:tcPr>
            <w:tcW w:w="1625" w:type="pct"/>
            <w:shd w:val="clear" w:color="auto" w:fill="auto"/>
            <w:vAlign w:val="center"/>
          </w:tcPr>
          <w:p w14:paraId="0EF7CF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280CA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CE8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0B1C0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91" w:type="pct"/>
            <w:vMerge w:val="continue"/>
            <w:shd w:val="clear" w:color="auto" w:fill="auto"/>
            <w:vAlign w:val="center"/>
          </w:tcPr>
          <w:p w14:paraId="3AFAD69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C099E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浦田村</w:t>
            </w:r>
          </w:p>
        </w:tc>
        <w:tc>
          <w:tcPr>
            <w:tcW w:w="1625" w:type="pct"/>
            <w:shd w:val="clear" w:color="auto" w:fill="auto"/>
            <w:vAlign w:val="center"/>
          </w:tcPr>
          <w:p w14:paraId="5A4D02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2B2CD0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59A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5B622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91" w:type="pct"/>
            <w:vMerge w:val="continue"/>
            <w:shd w:val="clear" w:color="auto" w:fill="auto"/>
            <w:vAlign w:val="center"/>
          </w:tcPr>
          <w:p w14:paraId="0A304CF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82364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天门村</w:t>
            </w:r>
          </w:p>
        </w:tc>
        <w:tc>
          <w:tcPr>
            <w:tcW w:w="1625" w:type="pct"/>
            <w:shd w:val="clear" w:color="auto" w:fill="auto"/>
            <w:vAlign w:val="center"/>
          </w:tcPr>
          <w:p w14:paraId="70CEA9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7BDD6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FC6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6440C1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91" w:type="pct"/>
            <w:vMerge w:val="continue"/>
            <w:shd w:val="clear" w:color="auto" w:fill="auto"/>
            <w:vAlign w:val="center"/>
          </w:tcPr>
          <w:p w14:paraId="5B37B71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40B2A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石溪头村</w:t>
            </w:r>
          </w:p>
        </w:tc>
        <w:tc>
          <w:tcPr>
            <w:tcW w:w="1625" w:type="pct"/>
            <w:shd w:val="clear" w:color="auto" w:fill="auto"/>
            <w:vAlign w:val="center"/>
          </w:tcPr>
          <w:p w14:paraId="0B7A6F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68F20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AC8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39D3C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91" w:type="pct"/>
            <w:vMerge w:val="continue"/>
            <w:shd w:val="clear" w:color="auto" w:fill="auto"/>
            <w:vAlign w:val="center"/>
          </w:tcPr>
          <w:p w14:paraId="6ADF77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71A89C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0ABC588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251F5E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743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5834D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91" w:type="pct"/>
            <w:vMerge w:val="restart"/>
            <w:shd w:val="clear" w:color="auto" w:fill="auto"/>
            <w:vAlign w:val="center"/>
          </w:tcPr>
          <w:p w14:paraId="2FB7C6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中峰镇</w:t>
            </w:r>
          </w:p>
        </w:tc>
        <w:tc>
          <w:tcPr>
            <w:tcW w:w="877" w:type="pct"/>
            <w:shd w:val="clear" w:color="auto" w:fill="auto"/>
            <w:vAlign w:val="center"/>
          </w:tcPr>
          <w:p w14:paraId="77B690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车田湾村</w:t>
            </w:r>
          </w:p>
        </w:tc>
        <w:tc>
          <w:tcPr>
            <w:tcW w:w="1625" w:type="pct"/>
            <w:shd w:val="clear" w:color="auto" w:fill="auto"/>
            <w:vAlign w:val="center"/>
          </w:tcPr>
          <w:p w14:paraId="4E13F3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1CFB70C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1B4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680229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91" w:type="pct"/>
            <w:vMerge w:val="continue"/>
            <w:shd w:val="clear" w:color="auto" w:fill="auto"/>
            <w:vAlign w:val="center"/>
          </w:tcPr>
          <w:p w14:paraId="27B8A8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0D888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大庄田村</w:t>
            </w:r>
          </w:p>
        </w:tc>
        <w:tc>
          <w:tcPr>
            <w:tcW w:w="1625" w:type="pct"/>
            <w:shd w:val="clear" w:color="auto" w:fill="auto"/>
            <w:vAlign w:val="center"/>
          </w:tcPr>
          <w:p w14:paraId="08A1D0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25B962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28D3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D4B87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91" w:type="pct"/>
            <w:vMerge w:val="continue"/>
            <w:shd w:val="clear" w:color="auto" w:fill="auto"/>
            <w:vAlign w:val="center"/>
          </w:tcPr>
          <w:p w14:paraId="76D60A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28AA4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中峰村</w:t>
            </w:r>
          </w:p>
        </w:tc>
        <w:tc>
          <w:tcPr>
            <w:tcW w:w="1625" w:type="pct"/>
            <w:shd w:val="clear" w:color="auto" w:fill="auto"/>
            <w:vAlign w:val="center"/>
          </w:tcPr>
          <w:p w14:paraId="52B744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7900AB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E8A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1D62E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91" w:type="pct"/>
            <w:vMerge w:val="continue"/>
            <w:shd w:val="clear" w:color="auto" w:fill="auto"/>
            <w:vAlign w:val="center"/>
          </w:tcPr>
          <w:p w14:paraId="07FF76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A0396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官田村</w:t>
            </w:r>
          </w:p>
        </w:tc>
        <w:tc>
          <w:tcPr>
            <w:tcW w:w="1625" w:type="pct"/>
            <w:shd w:val="clear" w:color="auto" w:fill="auto"/>
            <w:vAlign w:val="center"/>
          </w:tcPr>
          <w:p w14:paraId="00B6CC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28ECC3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900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68423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91" w:type="pct"/>
            <w:vMerge w:val="continue"/>
            <w:shd w:val="clear" w:color="auto" w:fill="auto"/>
            <w:vAlign w:val="center"/>
          </w:tcPr>
          <w:p w14:paraId="5E0A9B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A48A3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枫木村</w:t>
            </w:r>
          </w:p>
        </w:tc>
        <w:tc>
          <w:tcPr>
            <w:tcW w:w="1625" w:type="pct"/>
            <w:shd w:val="clear" w:color="auto" w:fill="auto"/>
            <w:vAlign w:val="center"/>
          </w:tcPr>
          <w:p w14:paraId="186BA7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城郊融合型</w:t>
            </w:r>
          </w:p>
        </w:tc>
        <w:tc>
          <w:tcPr>
            <w:tcW w:w="1716" w:type="pct"/>
            <w:shd w:val="clear" w:color="auto" w:fill="auto"/>
            <w:noWrap/>
            <w:vAlign w:val="center"/>
          </w:tcPr>
          <w:p w14:paraId="54AD19E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DBB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1D8036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91" w:type="pct"/>
            <w:vMerge w:val="continue"/>
            <w:shd w:val="clear" w:color="auto" w:fill="auto"/>
            <w:vAlign w:val="center"/>
          </w:tcPr>
          <w:p w14:paraId="064BA7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0DA25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上洞村</w:t>
            </w:r>
          </w:p>
        </w:tc>
        <w:tc>
          <w:tcPr>
            <w:tcW w:w="1625" w:type="pct"/>
            <w:shd w:val="clear" w:color="auto" w:fill="auto"/>
            <w:vAlign w:val="center"/>
          </w:tcPr>
          <w:p w14:paraId="414ED7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A7624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003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86E9E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491" w:type="pct"/>
            <w:vMerge w:val="continue"/>
            <w:shd w:val="clear" w:color="auto" w:fill="auto"/>
            <w:vAlign w:val="center"/>
          </w:tcPr>
          <w:p w14:paraId="256E626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301CB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八坊村</w:t>
            </w:r>
          </w:p>
        </w:tc>
        <w:tc>
          <w:tcPr>
            <w:tcW w:w="1625" w:type="pct"/>
            <w:shd w:val="clear" w:color="auto" w:fill="auto"/>
            <w:vAlign w:val="center"/>
          </w:tcPr>
          <w:p w14:paraId="6882D8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EAC4A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950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6F7A9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91" w:type="pct"/>
            <w:vMerge w:val="continue"/>
            <w:shd w:val="clear" w:color="auto" w:fill="auto"/>
            <w:vAlign w:val="center"/>
          </w:tcPr>
          <w:p w14:paraId="0E30356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AD431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福景村</w:t>
            </w:r>
          </w:p>
        </w:tc>
        <w:tc>
          <w:tcPr>
            <w:tcW w:w="1625" w:type="pct"/>
            <w:shd w:val="clear" w:color="auto" w:fill="auto"/>
            <w:vAlign w:val="center"/>
          </w:tcPr>
          <w:p w14:paraId="0C8D72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3AA0FD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ADD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4AC684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491" w:type="pct"/>
            <w:vMerge w:val="continue"/>
            <w:shd w:val="clear" w:color="auto" w:fill="auto"/>
            <w:vAlign w:val="center"/>
          </w:tcPr>
          <w:p w14:paraId="79F0A08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2E672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社岭村</w:t>
            </w:r>
          </w:p>
        </w:tc>
        <w:tc>
          <w:tcPr>
            <w:tcW w:w="1625" w:type="pct"/>
            <w:shd w:val="clear" w:color="auto" w:fill="auto"/>
            <w:vAlign w:val="center"/>
          </w:tcPr>
          <w:p w14:paraId="70EFCE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761B25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834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67EC0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91" w:type="pct"/>
            <w:vMerge w:val="continue"/>
            <w:shd w:val="clear" w:color="auto" w:fill="auto"/>
            <w:vAlign w:val="center"/>
          </w:tcPr>
          <w:p w14:paraId="0BAF2B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17C9B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大源村</w:t>
            </w:r>
          </w:p>
        </w:tc>
        <w:tc>
          <w:tcPr>
            <w:tcW w:w="1625" w:type="pct"/>
            <w:shd w:val="clear" w:color="auto" w:fill="auto"/>
            <w:vAlign w:val="center"/>
          </w:tcPr>
          <w:p w14:paraId="06B77D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0548C9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85D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6E9D36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91" w:type="pct"/>
            <w:vMerge w:val="continue"/>
            <w:shd w:val="clear" w:color="auto" w:fill="auto"/>
            <w:vAlign w:val="center"/>
          </w:tcPr>
          <w:p w14:paraId="422BD9A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0D8A0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农林场越城岭林场</w:t>
            </w:r>
          </w:p>
        </w:tc>
        <w:tc>
          <w:tcPr>
            <w:tcW w:w="1625" w:type="pct"/>
            <w:shd w:val="clear" w:color="auto" w:fill="auto"/>
            <w:noWrap/>
            <w:vAlign w:val="center"/>
          </w:tcPr>
          <w:p w14:paraId="408EE6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716" w:type="pct"/>
            <w:shd w:val="clear" w:color="auto" w:fill="auto"/>
            <w:noWrap/>
            <w:vAlign w:val="center"/>
          </w:tcPr>
          <w:p w14:paraId="40B685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787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D58AF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91" w:type="pct"/>
            <w:vMerge w:val="continue"/>
            <w:shd w:val="clear" w:color="auto" w:fill="auto"/>
            <w:vAlign w:val="center"/>
          </w:tcPr>
          <w:p w14:paraId="3E81EF7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67251C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40E84A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5AF418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73D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B2807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91" w:type="pct"/>
            <w:vMerge w:val="restart"/>
            <w:shd w:val="clear" w:color="auto" w:fill="auto"/>
            <w:vAlign w:val="center"/>
          </w:tcPr>
          <w:p w14:paraId="70AF4B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梅溪镇</w:t>
            </w:r>
          </w:p>
        </w:tc>
        <w:tc>
          <w:tcPr>
            <w:tcW w:w="877" w:type="pct"/>
            <w:shd w:val="clear" w:color="auto" w:fill="auto"/>
            <w:vAlign w:val="center"/>
          </w:tcPr>
          <w:p w14:paraId="613EDA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金新亭社区</w:t>
            </w:r>
          </w:p>
        </w:tc>
        <w:tc>
          <w:tcPr>
            <w:tcW w:w="1625" w:type="pct"/>
            <w:shd w:val="clear" w:color="auto" w:fill="auto"/>
            <w:vAlign w:val="center"/>
          </w:tcPr>
          <w:p w14:paraId="0207C2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16DEE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2CA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EB13B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91" w:type="pct"/>
            <w:vMerge w:val="continue"/>
            <w:shd w:val="clear" w:color="auto" w:fill="auto"/>
            <w:vAlign w:val="center"/>
          </w:tcPr>
          <w:p w14:paraId="4186F51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9F08C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大坨村</w:t>
            </w:r>
          </w:p>
        </w:tc>
        <w:tc>
          <w:tcPr>
            <w:tcW w:w="1625" w:type="pct"/>
            <w:shd w:val="clear" w:color="auto" w:fill="auto"/>
            <w:vAlign w:val="center"/>
          </w:tcPr>
          <w:p w14:paraId="550F3A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0CFF38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43CF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7E256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491" w:type="pct"/>
            <w:vMerge w:val="continue"/>
            <w:shd w:val="clear" w:color="auto" w:fill="auto"/>
            <w:vAlign w:val="center"/>
          </w:tcPr>
          <w:p w14:paraId="2EF8DB9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19F1E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胡家田村</w:t>
            </w:r>
          </w:p>
        </w:tc>
        <w:tc>
          <w:tcPr>
            <w:tcW w:w="1625" w:type="pct"/>
            <w:shd w:val="clear" w:color="auto" w:fill="auto"/>
            <w:vAlign w:val="center"/>
          </w:tcPr>
          <w:p w14:paraId="1D1557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F7048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7F9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CB6A9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491" w:type="pct"/>
            <w:vMerge w:val="continue"/>
            <w:shd w:val="clear" w:color="auto" w:fill="auto"/>
            <w:vAlign w:val="center"/>
          </w:tcPr>
          <w:p w14:paraId="2678DF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044C1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梅溪村</w:t>
            </w:r>
          </w:p>
        </w:tc>
        <w:tc>
          <w:tcPr>
            <w:tcW w:w="1625" w:type="pct"/>
            <w:shd w:val="clear" w:color="auto" w:fill="auto"/>
            <w:vAlign w:val="center"/>
          </w:tcPr>
          <w:p w14:paraId="7ED7F3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1194DFF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BF5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45525C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491" w:type="pct"/>
            <w:vMerge w:val="continue"/>
            <w:shd w:val="clear" w:color="auto" w:fill="auto"/>
            <w:vAlign w:val="center"/>
          </w:tcPr>
          <w:p w14:paraId="115240E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73083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随滩村</w:t>
            </w:r>
          </w:p>
        </w:tc>
        <w:tc>
          <w:tcPr>
            <w:tcW w:w="1625" w:type="pct"/>
            <w:shd w:val="clear" w:color="auto" w:fill="auto"/>
            <w:vAlign w:val="center"/>
          </w:tcPr>
          <w:p w14:paraId="53E417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2DDB0E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157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5BB2C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491" w:type="pct"/>
            <w:vMerge w:val="continue"/>
            <w:shd w:val="clear" w:color="auto" w:fill="auto"/>
            <w:vAlign w:val="center"/>
          </w:tcPr>
          <w:p w14:paraId="300BA2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6EE8E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坪水底村</w:t>
            </w:r>
          </w:p>
        </w:tc>
        <w:tc>
          <w:tcPr>
            <w:tcW w:w="1625" w:type="pct"/>
            <w:shd w:val="clear" w:color="auto" w:fill="auto"/>
            <w:vAlign w:val="center"/>
          </w:tcPr>
          <w:p w14:paraId="27038C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3F02CC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4FF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F1847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491" w:type="pct"/>
            <w:vMerge w:val="continue"/>
            <w:shd w:val="clear" w:color="auto" w:fill="auto"/>
            <w:vAlign w:val="center"/>
          </w:tcPr>
          <w:p w14:paraId="6C733F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ADD4B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咸水口村</w:t>
            </w:r>
          </w:p>
        </w:tc>
        <w:tc>
          <w:tcPr>
            <w:tcW w:w="1625" w:type="pct"/>
            <w:shd w:val="clear" w:color="auto" w:fill="auto"/>
            <w:vAlign w:val="center"/>
          </w:tcPr>
          <w:p w14:paraId="22AE8B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2F5383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A1C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ED056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491" w:type="pct"/>
            <w:vMerge w:val="continue"/>
            <w:shd w:val="clear" w:color="auto" w:fill="auto"/>
            <w:vAlign w:val="center"/>
          </w:tcPr>
          <w:p w14:paraId="2F6F49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95C8A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铜座村</w:t>
            </w:r>
          </w:p>
        </w:tc>
        <w:tc>
          <w:tcPr>
            <w:tcW w:w="1625" w:type="pct"/>
            <w:shd w:val="clear" w:color="auto" w:fill="auto"/>
            <w:vAlign w:val="center"/>
          </w:tcPr>
          <w:p w14:paraId="2D21DE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09A278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752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52A7A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491" w:type="pct"/>
            <w:vMerge w:val="continue"/>
            <w:shd w:val="clear" w:color="auto" w:fill="auto"/>
            <w:vAlign w:val="center"/>
          </w:tcPr>
          <w:p w14:paraId="196E36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AA2D8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大滩头村</w:t>
            </w:r>
          </w:p>
        </w:tc>
        <w:tc>
          <w:tcPr>
            <w:tcW w:w="1625" w:type="pct"/>
            <w:shd w:val="clear" w:color="auto" w:fill="auto"/>
            <w:vAlign w:val="center"/>
          </w:tcPr>
          <w:p w14:paraId="77404F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3E3B89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525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19FCA4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491" w:type="pct"/>
            <w:vMerge w:val="continue"/>
            <w:shd w:val="clear" w:color="auto" w:fill="auto"/>
            <w:vAlign w:val="center"/>
          </w:tcPr>
          <w:p w14:paraId="675DF17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835C2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茶坪村</w:t>
            </w:r>
          </w:p>
        </w:tc>
        <w:tc>
          <w:tcPr>
            <w:tcW w:w="1625" w:type="pct"/>
            <w:shd w:val="clear" w:color="auto" w:fill="auto"/>
            <w:vAlign w:val="center"/>
          </w:tcPr>
          <w:p w14:paraId="10D943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48ACC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82D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76755A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491" w:type="pct"/>
            <w:vMerge w:val="continue"/>
            <w:shd w:val="clear" w:color="auto" w:fill="auto"/>
            <w:vAlign w:val="center"/>
          </w:tcPr>
          <w:p w14:paraId="397DF51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0F1A67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戈洞坪村</w:t>
            </w:r>
          </w:p>
        </w:tc>
        <w:tc>
          <w:tcPr>
            <w:tcW w:w="1625" w:type="pct"/>
            <w:shd w:val="clear" w:color="auto" w:fill="auto"/>
            <w:vAlign w:val="center"/>
          </w:tcPr>
          <w:p w14:paraId="52B934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28DC06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5BF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C12AA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491" w:type="pct"/>
            <w:vMerge w:val="continue"/>
            <w:shd w:val="clear" w:color="auto" w:fill="auto"/>
            <w:vAlign w:val="center"/>
          </w:tcPr>
          <w:p w14:paraId="1D4F196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02604E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三茶村</w:t>
            </w:r>
          </w:p>
        </w:tc>
        <w:tc>
          <w:tcPr>
            <w:tcW w:w="1625" w:type="pct"/>
            <w:shd w:val="clear" w:color="auto" w:fill="auto"/>
            <w:vAlign w:val="center"/>
          </w:tcPr>
          <w:p w14:paraId="708F3E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1C30BA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2749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34366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491" w:type="pct"/>
            <w:vMerge w:val="continue"/>
            <w:shd w:val="clear" w:color="auto" w:fill="auto"/>
            <w:vAlign w:val="center"/>
          </w:tcPr>
          <w:p w14:paraId="7B7E83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D61B1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咸水洞村</w:t>
            </w:r>
          </w:p>
        </w:tc>
        <w:tc>
          <w:tcPr>
            <w:tcW w:w="1625" w:type="pct"/>
            <w:shd w:val="clear" w:color="auto" w:fill="auto"/>
            <w:vAlign w:val="center"/>
          </w:tcPr>
          <w:p w14:paraId="534D6D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2BE1DF9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445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6B24E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491" w:type="pct"/>
            <w:vMerge w:val="continue"/>
            <w:shd w:val="clear" w:color="auto" w:fill="auto"/>
            <w:vAlign w:val="center"/>
          </w:tcPr>
          <w:p w14:paraId="306DD89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66460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沙坪村</w:t>
            </w:r>
          </w:p>
        </w:tc>
        <w:tc>
          <w:tcPr>
            <w:tcW w:w="1625" w:type="pct"/>
            <w:shd w:val="clear" w:color="auto" w:fill="auto"/>
            <w:vAlign w:val="center"/>
          </w:tcPr>
          <w:p w14:paraId="10B0E2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7D57BF9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C77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898F0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491" w:type="pct"/>
            <w:vMerge w:val="continue"/>
            <w:shd w:val="clear" w:color="auto" w:fill="auto"/>
            <w:vAlign w:val="center"/>
          </w:tcPr>
          <w:p w14:paraId="2D02A62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19C1AC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vAlign w:val="center"/>
          </w:tcPr>
          <w:p w14:paraId="5284C6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35CDD3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2202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45D187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491" w:type="pct"/>
            <w:vMerge w:val="restart"/>
            <w:shd w:val="clear" w:color="auto" w:fill="auto"/>
            <w:vAlign w:val="center"/>
          </w:tcPr>
          <w:p w14:paraId="4CEFA3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瓜里乡</w:t>
            </w:r>
          </w:p>
        </w:tc>
        <w:tc>
          <w:tcPr>
            <w:tcW w:w="877" w:type="pct"/>
            <w:shd w:val="clear" w:color="auto" w:fill="auto"/>
            <w:vAlign w:val="center"/>
          </w:tcPr>
          <w:p w14:paraId="4612F1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瓜里村</w:t>
            </w:r>
          </w:p>
        </w:tc>
        <w:tc>
          <w:tcPr>
            <w:tcW w:w="1625" w:type="pct"/>
            <w:shd w:val="clear" w:color="auto" w:fill="auto"/>
            <w:noWrap/>
            <w:vAlign w:val="center"/>
          </w:tcPr>
          <w:p w14:paraId="71FCB3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64543D8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E3D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7BCC5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491" w:type="pct"/>
            <w:vMerge w:val="continue"/>
            <w:shd w:val="clear" w:color="auto" w:fill="auto"/>
            <w:vAlign w:val="center"/>
          </w:tcPr>
          <w:p w14:paraId="60E454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C5DB5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大田村</w:t>
            </w:r>
          </w:p>
        </w:tc>
        <w:tc>
          <w:tcPr>
            <w:tcW w:w="1625" w:type="pct"/>
            <w:shd w:val="clear" w:color="auto" w:fill="auto"/>
            <w:noWrap/>
            <w:vAlign w:val="center"/>
          </w:tcPr>
          <w:p w14:paraId="7A2BAD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AF355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CFE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36D4D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491" w:type="pct"/>
            <w:vMerge w:val="continue"/>
            <w:shd w:val="clear" w:color="auto" w:fill="auto"/>
            <w:vAlign w:val="center"/>
          </w:tcPr>
          <w:p w14:paraId="12C4FF4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32C62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白水村</w:t>
            </w:r>
          </w:p>
        </w:tc>
        <w:tc>
          <w:tcPr>
            <w:tcW w:w="1625" w:type="pct"/>
            <w:shd w:val="clear" w:color="auto" w:fill="auto"/>
            <w:noWrap/>
            <w:vAlign w:val="center"/>
          </w:tcPr>
          <w:p w14:paraId="14A32E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24449FC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89A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F96A6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491" w:type="pct"/>
            <w:vMerge w:val="continue"/>
            <w:shd w:val="clear" w:color="auto" w:fill="auto"/>
            <w:vAlign w:val="center"/>
          </w:tcPr>
          <w:p w14:paraId="1515A6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B95A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水头村</w:t>
            </w:r>
          </w:p>
        </w:tc>
        <w:tc>
          <w:tcPr>
            <w:tcW w:w="1625" w:type="pct"/>
            <w:shd w:val="clear" w:color="auto" w:fill="auto"/>
            <w:noWrap/>
            <w:vAlign w:val="center"/>
          </w:tcPr>
          <w:p w14:paraId="67FD9C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E82560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4AF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4B13E1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491" w:type="pct"/>
            <w:vMerge w:val="continue"/>
            <w:shd w:val="clear" w:color="auto" w:fill="auto"/>
            <w:vAlign w:val="center"/>
          </w:tcPr>
          <w:p w14:paraId="15BB8C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53548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田洞里村</w:t>
            </w:r>
          </w:p>
        </w:tc>
        <w:tc>
          <w:tcPr>
            <w:tcW w:w="1625" w:type="pct"/>
            <w:shd w:val="clear" w:color="auto" w:fill="auto"/>
            <w:noWrap/>
            <w:vAlign w:val="center"/>
          </w:tcPr>
          <w:p w14:paraId="2A96F8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0ED252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79F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11549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491" w:type="pct"/>
            <w:vMerge w:val="continue"/>
            <w:shd w:val="clear" w:color="auto" w:fill="auto"/>
            <w:vAlign w:val="center"/>
          </w:tcPr>
          <w:p w14:paraId="1360A27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96369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大坪头村</w:t>
            </w:r>
          </w:p>
        </w:tc>
        <w:tc>
          <w:tcPr>
            <w:tcW w:w="1625" w:type="pct"/>
            <w:shd w:val="clear" w:color="auto" w:fill="auto"/>
            <w:noWrap/>
            <w:vAlign w:val="center"/>
          </w:tcPr>
          <w:p w14:paraId="1C7EED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11B56A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2217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5B8B56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491" w:type="pct"/>
            <w:vMerge w:val="continue"/>
            <w:shd w:val="clear" w:color="auto" w:fill="auto"/>
            <w:vAlign w:val="center"/>
          </w:tcPr>
          <w:p w14:paraId="6429365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A6763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义林村</w:t>
            </w:r>
          </w:p>
        </w:tc>
        <w:tc>
          <w:tcPr>
            <w:tcW w:w="1625" w:type="pct"/>
            <w:shd w:val="clear" w:color="auto" w:fill="auto"/>
            <w:noWrap/>
            <w:vAlign w:val="center"/>
          </w:tcPr>
          <w:p w14:paraId="5FFA33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4F354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AB9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17F46B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491" w:type="pct"/>
            <w:vMerge w:val="continue"/>
            <w:shd w:val="clear" w:color="auto" w:fill="auto"/>
            <w:vAlign w:val="center"/>
          </w:tcPr>
          <w:p w14:paraId="55E658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83C2F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文溪村</w:t>
            </w:r>
          </w:p>
        </w:tc>
        <w:tc>
          <w:tcPr>
            <w:tcW w:w="1625" w:type="pct"/>
            <w:shd w:val="clear" w:color="auto" w:fill="auto"/>
            <w:noWrap/>
            <w:vAlign w:val="center"/>
          </w:tcPr>
          <w:p w14:paraId="42D27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261FF5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E3A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B72E8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491" w:type="pct"/>
            <w:vMerge w:val="continue"/>
            <w:shd w:val="clear" w:color="auto" w:fill="auto"/>
            <w:vAlign w:val="center"/>
          </w:tcPr>
          <w:p w14:paraId="353E51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451E6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金江村</w:t>
            </w:r>
          </w:p>
        </w:tc>
        <w:tc>
          <w:tcPr>
            <w:tcW w:w="1625" w:type="pct"/>
            <w:shd w:val="clear" w:color="auto" w:fill="auto"/>
            <w:noWrap/>
            <w:vAlign w:val="center"/>
          </w:tcPr>
          <w:p w14:paraId="498B12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B7A6D1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3E7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3A47F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491" w:type="pct"/>
            <w:vMerge w:val="continue"/>
            <w:shd w:val="clear" w:color="auto" w:fill="auto"/>
            <w:vAlign w:val="center"/>
          </w:tcPr>
          <w:p w14:paraId="7D302F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3F9DDC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白竹村</w:t>
            </w:r>
          </w:p>
        </w:tc>
        <w:tc>
          <w:tcPr>
            <w:tcW w:w="1625" w:type="pct"/>
            <w:shd w:val="clear" w:color="auto" w:fill="auto"/>
            <w:noWrap/>
            <w:vAlign w:val="center"/>
          </w:tcPr>
          <w:p w14:paraId="429EEE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7FF21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EDB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51313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491" w:type="pct"/>
            <w:vMerge w:val="continue"/>
            <w:shd w:val="clear" w:color="auto" w:fill="auto"/>
            <w:vAlign w:val="center"/>
          </w:tcPr>
          <w:p w14:paraId="20CF1D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3BC92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香草村</w:t>
            </w:r>
          </w:p>
        </w:tc>
        <w:tc>
          <w:tcPr>
            <w:tcW w:w="1625" w:type="pct"/>
            <w:shd w:val="clear" w:color="auto" w:fill="auto"/>
            <w:noWrap/>
            <w:vAlign w:val="center"/>
          </w:tcPr>
          <w:p w14:paraId="56B399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E247D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F2B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9A5FB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491" w:type="pct"/>
            <w:vMerge w:val="continue"/>
            <w:shd w:val="clear" w:color="auto" w:fill="auto"/>
            <w:vAlign w:val="center"/>
          </w:tcPr>
          <w:p w14:paraId="45E5CC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540045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4CEFF5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72BB3EE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7DFD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2903D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491" w:type="pct"/>
            <w:vMerge w:val="restart"/>
            <w:shd w:val="clear" w:color="auto" w:fill="auto"/>
            <w:vAlign w:val="center"/>
          </w:tcPr>
          <w:p w14:paraId="69D93A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车田苗族乡</w:t>
            </w:r>
          </w:p>
        </w:tc>
        <w:tc>
          <w:tcPr>
            <w:tcW w:w="877" w:type="pct"/>
            <w:shd w:val="clear" w:color="auto" w:fill="auto"/>
            <w:vAlign w:val="center"/>
          </w:tcPr>
          <w:p w14:paraId="5266B5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幸福里社区</w:t>
            </w:r>
          </w:p>
        </w:tc>
        <w:tc>
          <w:tcPr>
            <w:tcW w:w="1625" w:type="pct"/>
            <w:shd w:val="clear" w:color="auto" w:fill="auto"/>
            <w:noWrap/>
            <w:vAlign w:val="center"/>
          </w:tcPr>
          <w:p w14:paraId="3AE1C5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092FE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E50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9B3B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491" w:type="pct"/>
            <w:vMerge w:val="continue"/>
            <w:shd w:val="clear" w:color="auto" w:fill="auto"/>
            <w:vAlign w:val="center"/>
          </w:tcPr>
          <w:p w14:paraId="285750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2D21E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车田村</w:t>
            </w:r>
          </w:p>
        </w:tc>
        <w:tc>
          <w:tcPr>
            <w:tcW w:w="1625" w:type="pct"/>
            <w:shd w:val="clear" w:color="auto" w:fill="auto"/>
            <w:noWrap/>
            <w:vAlign w:val="center"/>
          </w:tcPr>
          <w:p w14:paraId="0FCD97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30EC9A2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C6F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218A3F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491" w:type="pct"/>
            <w:vMerge w:val="continue"/>
            <w:shd w:val="clear" w:color="auto" w:fill="auto"/>
            <w:vAlign w:val="center"/>
          </w:tcPr>
          <w:p w14:paraId="22FB9F9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C0BAE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木厂村</w:t>
            </w:r>
          </w:p>
        </w:tc>
        <w:tc>
          <w:tcPr>
            <w:tcW w:w="1625" w:type="pct"/>
            <w:shd w:val="clear" w:color="auto" w:fill="auto"/>
            <w:noWrap/>
            <w:vAlign w:val="center"/>
          </w:tcPr>
          <w:p w14:paraId="24642F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1B3D2B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DF9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86F65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491" w:type="pct"/>
            <w:vMerge w:val="continue"/>
            <w:shd w:val="clear" w:color="auto" w:fill="auto"/>
            <w:vAlign w:val="center"/>
          </w:tcPr>
          <w:p w14:paraId="2AA528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4972A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白洞村</w:t>
            </w:r>
          </w:p>
        </w:tc>
        <w:tc>
          <w:tcPr>
            <w:tcW w:w="1625" w:type="pct"/>
            <w:shd w:val="clear" w:color="auto" w:fill="auto"/>
            <w:noWrap/>
            <w:vAlign w:val="center"/>
          </w:tcPr>
          <w:p w14:paraId="7415F5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7222C7B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335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F2F1F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491" w:type="pct"/>
            <w:vMerge w:val="continue"/>
            <w:shd w:val="clear" w:color="auto" w:fill="auto"/>
            <w:vAlign w:val="center"/>
          </w:tcPr>
          <w:p w14:paraId="441D96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F5657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黄龙村</w:t>
            </w:r>
          </w:p>
        </w:tc>
        <w:tc>
          <w:tcPr>
            <w:tcW w:w="1625" w:type="pct"/>
            <w:shd w:val="clear" w:color="auto" w:fill="auto"/>
            <w:noWrap/>
            <w:vAlign w:val="center"/>
          </w:tcPr>
          <w:p w14:paraId="2B0556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741093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211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E24EC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491" w:type="pct"/>
            <w:vMerge w:val="continue"/>
            <w:shd w:val="clear" w:color="auto" w:fill="auto"/>
            <w:vAlign w:val="center"/>
          </w:tcPr>
          <w:p w14:paraId="752DA2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47446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石寨村</w:t>
            </w:r>
          </w:p>
        </w:tc>
        <w:tc>
          <w:tcPr>
            <w:tcW w:w="1625" w:type="pct"/>
            <w:shd w:val="clear" w:color="auto" w:fill="auto"/>
            <w:noWrap/>
            <w:vAlign w:val="center"/>
          </w:tcPr>
          <w:p w14:paraId="15CF9A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6E4030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02C2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0CC52E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491" w:type="pct"/>
            <w:vMerge w:val="continue"/>
            <w:shd w:val="clear" w:color="auto" w:fill="auto"/>
            <w:vAlign w:val="center"/>
          </w:tcPr>
          <w:p w14:paraId="61036C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4C6DD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黄宝村</w:t>
            </w:r>
          </w:p>
        </w:tc>
        <w:tc>
          <w:tcPr>
            <w:tcW w:w="1625" w:type="pct"/>
            <w:shd w:val="clear" w:color="auto" w:fill="auto"/>
            <w:noWrap/>
            <w:vAlign w:val="center"/>
          </w:tcPr>
          <w:p w14:paraId="01507E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100405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B40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16567F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491" w:type="pct"/>
            <w:vMerge w:val="continue"/>
            <w:shd w:val="clear" w:color="auto" w:fill="auto"/>
            <w:vAlign w:val="center"/>
          </w:tcPr>
          <w:p w14:paraId="7ACCDB8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065234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龙塘村</w:t>
            </w:r>
          </w:p>
        </w:tc>
        <w:tc>
          <w:tcPr>
            <w:tcW w:w="1625" w:type="pct"/>
            <w:shd w:val="clear" w:color="auto" w:fill="auto"/>
            <w:noWrap/>
            <w:vAlign w:val="center"/>
          </w:tcPr>
          <w:p w14:paraId="139AF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39664B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6CB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E6754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491" w:type="pct"/>
            <w:vMerge w:val="continue"/>
            <w:shd w:val="clear" w:color="auto" w:fill="auto"/>
            <w:vAlign w:val="center"/>
          </w:tcPr>
          <w:p w14:paraId="4555BA1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727F28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粗石村</w:t>
            </w:r>
          </w:p>
        </w:tc>
        <w:tc>
          <w:tcPr>
            <w:tcW w:w="1625" w:type="pct"/>
            <w:shd w:val="clear" w:color="auto" w:fill="auto"/>
            <w:noWrap/>
            <w:vAlign w:val="center"/>
          </w:tcPr>
          <w:p w14:paraId="79AF99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5BFBC47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F18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5CB0FB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491" w:type="pct"/>
            <w:vMerge w:val="continue"/>
            <w:shd w:val="clear" w:color="auto" w:fill="auto"/>
            <w:vAlign w:val="center"/>
          </w:tcPr>
          <w:p w14:paraId="4AA5A1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0E9424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海棠村</w:t>
            </w:r>
          </w:p>
        </w:tc>
        <w:tc>
          <w:tcPr>
            <w:tcW w:w="1625" w:type="pct"/>
            <w:shd w:val="clear" w:color="auto" w:fill="auto"/>
            <w:noWrap/>
            <w:vAlign w:val="center"/>
          </w:tcPr>
          <w:p w14:paraId="3C6C9D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0B435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9D8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755D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491" w:type="pct"/>
            <w:vMerge w:val="continue"/>
            <w:shd w:val="clear" w:color="auto" w:fill="auto"/>
            <w:vAlign w:val="center"/>
          </w:tcPr>
          <w:p w14:paraId="4413444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51284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脚古冲村</w:t>
            </w:r>
          </w:p>
        </w:tc>
        <w:tc>
          <w:tcPr>
            <w:tcW w:w="1625" w:type="pct"/>
            <w:shd w:val="clear" w:color="auto" w:fill="auto"/>
            <w:noWrap/>
            <w:vAlign w:val="center"/>
          </w:tcPr>
          <w:p w14:paraId="554B01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0D716F1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59BD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56BB8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491" w:type="pct"/>
            <w:vMerge w:val="continue"/>
            <w:shd w:val="clear" w:color="auto" w:fill="auto"/>
            <w:vAlign w:val="center"/>
          </w:tcPr>
          <w:p w14:paraId="72E130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00F5F4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坪寨村</w:t>
            </w:r>
          </w:p>
        </w:tc>
        <w:tc>
          <w:tcPr>
            <w:tcW w:w="1625" w:type="pct"/>
            <w:shd w:val="clear" w:color="auto" w:fill="auto"/>
            <w:noWrap/>
            <w:vAlign w:val="center"/>
          </w:tcPr>
          <w:p w14:paraId="705CEA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29D9C2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43F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F1DA0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491" w:type="pct"/>
            <w:vMerge w:val="continue"/>
            <w:shd w:val="clear" w:color="auto" w:fill="auto"/>
            <w:vAlign w:val="center"/>
          </w:tcPr>
          <w:p w14:paraId="7FA6C8D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822B7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田头水村</w:t>
            </w:r>
          </w:p>
        </w:tc>
        <w:tc>
          <w:tcPr>
            <w:tcW w:w="1625" w:type="pct"/>
            <w:shd w:val="clear" w:color="auto" w:fill="auto"/>
            <w:noWrap/>
            <w:vAlign w:val="center"/>
          </w:tcPr>
          <w:p w14:paraId="54CCCA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4B9F6B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220A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712E0E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491" w:type="pct"/>
            <w:vMerge w:val="continue"/>
            <w:shd w:val="clear" w:color="auto" w:fill="auto"/>
            <w:vAlign w:val="center"/>
          </w:tcPr>
          <w:p w14:paraId="602C4F9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6234EE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150897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077065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285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244896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491" w:type="pct"/>
            <w:vMerge w:val="restart"/>
            <w:shd w:val="clear" w:color="auto" w:fill="auto"/>
            <w:vAlign w:val="center"/>
          </w:tcPr>
          <w:p w14:paraId="70775F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两水苗族乡</w:t>
            </w:r>
          </w:p>
        </w:tc>
        <w:tc>
          <w:tcPr>
            <w:tcW w:w="877" w:type="pct"/>
            <w:shd w:val="clear" w:color="auto" w:fill="auto"/>
            <w:vAlign w:val="center"/>
          </w:tcPr>
          <w:p w14:paraId="0424DA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凤水村</w:t>
            </w:r>
          </w:p>
        </w:tc>
        <w:tc>
          <w:tcPr>
            <w:tcW w:w="1625" w:type="pct"/>
            <w:shd w:val="clear" w:color="auto" w:fill="auto"/>
            <w:noWrap/>
            <w:vAlign w:val="center"/>
          </w:tcPr>
          <w:p w14:paraId="7EEFE1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4A38343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82D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4B617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491" w:type="pct"/>
            <w:vMerge w:val="continue"/>
            <w:shd w:val="clear" w:color="auto" w:fill="auto"/>
            <w:vAlign w:val="center"/>
          </w:tcPr>
          <w:p w14:paraId="41499B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BEB1D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社水村</w:t>
            </w:r>
          </w:p>
        </w:tc>
        <w:tc>
          <w:tcPr>
            <w:tcW w:w="1625" w:type="pct"/>
            <w:shd w:val="clear" w:color="auto" w:fill="auto"/>
            <w:noWrap/>
            <w:vAlign w:val="center"/>
          </w:tcPr>
          <w:p w14:paraId="009258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5AA9BF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中国传统村落、广西传统村落</w:t>
            </w:r>
          </w:p>
        </w:tc>
      </w:tr>
      <w:tr w14:paraId="56DE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0BEF5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491" w:type="pct"/>
            <w:vMerge w:val="continue"/>
            <w:shd w:val="clear" w:color="auto" w:fill="auto"/>
            <w:vAlign w:val="center"/>
          </w:tcPr>
          <w:p w14:paraId="1FD5911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69D9C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和平村</w:t>
            </w:r>
          </w:p>
        </w:tc>
        <w:tc>
          <w:tcPr>
            <w:tcW w:w="1625" w:type="pct"/>
            <w:shd w:val="clear" w:color="auto" w:fill="auto"/>
            <w:noWrap/>
            <w:vAlign w:val="center"/>
          </w:tcPr>
          <w:p w14:paraId="7DFB05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295347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62F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1C279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491" w:type="pct"/>
            <w:vMerge w:val="continue"/>
            <w:shd w:val="clear" w:color="auto" w:fill="auto"/>
            <w:vAlign w:val="center"/>
          </w:tcPr>
          <w:p w14:paraId="0D3F9B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9D2F5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烟竹村</w:t>
            </w:r>
          </w:p>
        </w:tc>
        <w:tc>
          <w:tcPr>
            <w:tcW w:w="1625" w:type="pct"/>
            <w:shd w:val="clear" w:color="auto" w:fill="auto"/>
            <w:noWrap/>
            <w:vAlign w:val="center"/>
          </w:tcPr>
          <w:p w14:paraId="7571C3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7B715D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12C2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7DD6B8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491" w:type="pct"/>
            <w:vMerge w:val="continue"/>
            <w:shd w:val="clear" w:color="auto" w:fill="auto"/>
            <w:vAlign w:val="center"/>
          </w:tcPr>
          <w:p w14:paraId="3B454E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7AA4C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白石村</w:t>
            </w:r>
          </w:p>
        </w:tc>
        <w:tc>
          <w:tcPr>
            <w:tcW w:w="1625" w:type="pct"/>
            <w:shd w:val="clear" w:color="auto" w:fill="auto"/>
            <w:noWrap/>
            <w:vAlign w:val="center"/>
          </w:tcPr>
          <w:p w14:paraId="260A06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066DB4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724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8E982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491" w:type="pct"/>
            <w:vMerge w:val="continue"/>
            <w:shd w:val="clear" w:color="auto" w:fill="auto"/>
            <w:vAlign w:val="center"/>
          </w:tcPr>
          <w:p w14:paraId="24E1693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473D31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塘洞村</w:t>
            </w:r>
          </w:p>
        </w:tc>
        <w:tc>
          <w:tcPr>
            <w:tcW w:w="1625" w:type="pct"/>
            <w:shd w:val="clear" w:color="auto" w:fill="auto"/>
            <w:noWrap/>
            <w:vAlign w:val="center"/>
          </w:tcPr>
          <w:p w14:paraId="19D854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64438A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广西传统村落</w:t>
            </w:r>
          </w:p>
        </w:tc>
      </w:tr>
      <w:tr w14:paraId="24E2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6AFB5A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491" w:type="pct"/>
            <w:vMerge w:val="continue"/>
            <w:shd w:val="clear" w:color="auto" w:fill="auto"/>
            <w:vAlign w:val="center"/>
          </w:tcPr>
          <w:p w14:paraId="34DEDBD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715554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01C29C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4329572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16DE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1B7B03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491" w:type="pct"/>
            <w:vMerge w:val="restart"/>
            <w:shd w:val="clear" w:color="auto" w:fill="auto"/>
            <w:vAlign w:val="center"/>
          </w:tcPr>
          <w:p w14:paraId="2B0386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河口瑶族乡</w:t>
            </w:r>
          </w:p>
        </w:tc>
        <w:tc>
          <w:tcPr>
            <w:tcW w:w="877" w:type="pct"/>
            <w:shd w:val="clear" w:color="auto" w:fill="auto"/>
            <w:vAlign w:val="center"/>
          </w:tcPr>
          <w:p w14:paraId="12D287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立才坪村</w:t>
            </w:r>
          </w:p>
        </w:tc>
        <w:tc>
          <w:tcPr>
            <w:tcW w:w="1625" w:type="pct"/>
            <w:shd w:val="clear" w:color="auto" w:fill="auto"/>
            <w:noWrap/>
            <w:vAlign w:val="center"/>
          </w:tcPr>
          <w:p w14:paraId="02A5F5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181E22E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0699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9" w:type="pct"/>
            <w:shd w:val="clear" w:color="auto" w:fill="auto"/>
            <w:vAlign w:val="center"/>
          </w:tcPr>
          <w:p w14:paraId="24FCBF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491" w:type="pct"/>
            <w:vMerge w:val="continue"/>
            <w:shd w:val="clear" w:color="auto" w:fill="auto"/>
            <w:vAlign w:val="center"/>
          </w:tcPr>
          <w:p w14:paraId="1DECF4D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1E95CC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大湾村</w:t>
            </w:r>
          </w:p>
        </w:tc>
        <w:tc>
          <w:tcPr>
            <w:tcW w:w="1625" w:type="pct"/>
            <w:shd w:val="clear" w:color="auto" w:fill="auto"/>
            <w:vAlign w:val="center"/>
          </w:tcPr>
          <w:p w14:paraId="2BA744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162016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678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485B9B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491" w:type="pct"/>
            <w:vMerge w:val="continue"/>
            <w:shd w:val="clear" w:color="auto" w:fill="auto"/>
            <w:vAlign w:val="center"/>
          </w:tcPr>
          <w:p w14:paraId="2ACF711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5AA6F1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猴背村</w:t>
            </w:r>
          </w:p>
        </w:tc>
        <w:tc>
          <w:tcPr>
            <w:tcW w:w="1625" w:type="pct"/>
            <w:shd w:val="clear" w:color="auto" w:fill="auto"/>
            <w:noWrap/>
            <w:vAlign w:val="center"/>
          </w:tcPr>
          <w:p w14:paraId="34F91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聚集提升型</w:t>
            </w:r>
          </w:p>
        </w:tc>
        <w:tc>
          <w:tcPr>
            <w:tcW w:w="1716" w:type="pct"/>
            <w:shd w:val="clear" w:color="auto" w:fill="auto"/>
            <w:noWrap/>
            <w:vAlign w:val="center"/>
          </w:tcPr>
          <w:p w14:paraId="78D9FC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458D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3F38EE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491" w:type="pct"/>
            <w:vMerge w:val="continue"/>
            <w:shd w:val="clear" w:color="auto" w:fill="auto"/>
            <w:vAlign w:val="center"/>
          </w:tcPr>
          <w:p w14:paraId="352275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202276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葱坪村</w:t>
            </w:r>
          </w:p>
        </w:tc>
        <w:tc>
          <w:tcPr>
            <w:tcW w:w="1625" w:type="pct"/>
            <w:shd w:val="clear" w:color="auto" w:fill="auto"/>
            <w:noWrap/>
            <w:vAlign w:val="center"/>
          </w:tcPr>
          <w:p w14:paraId="3D8F76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特色保护型</w:t>
            </w:r>
          </w:p>
        </w:tc>
        <w:tc>
          <w:tcPr>
            <w:tcW w:w="1716" w:type="pct"/>
            <w:shd w:val="clear" w:color="auto" w:fill="auto"/>
            <w:noWrap/>
            <w:vAlign w:val="center"/>
          </w:tcPr>
          <w:p w14:paraId="2AB800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中国传统村落、广西传统村落</w:t>
            </w:r>
          </w:p>
        </w:tc>
      </w:tr>
      <w:tr w14:paraId="42CE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0E7BFE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491" w:type="pct"/>
            <w:vMerge w:val="continue"/>
            <w:shd w:val="clear" w:color="auto" w:fill="auto"/>
            <w:vAlign w:val="center"/>
          </w:tcPr>
          <w:p w14:paraId="27BEC1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vAlign w:val="center"/>
          </w:tcPr>
          <w:p w14:paraId="620525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高山村</w:t>
            </w:r>
          </w:p>
        </w:tc>
        <w:tc>
          <w:tcPr>
            <w:tcW w:w="1625" w:type="pct"/>
            <w:shd w:val="clear" w:color="auto" w:fill="auto"/>
            <w:noWrap/>
            <w:vAlign w:val="center"/>
          </w:tcPr>
          <w:p w14:paraId="0DA9FC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暂不分类型</w:t>
            </w:r>
          </w:p>
        </w:tc>
        <w:tc>
          <w:tcPr>
            <w:tcW w:w="1716" w:type="pct"/>
            <w:shd w:val="clear" w:color="auto" w:fill="auto"/>
            <w:noWrap/>
            <w:vAlign w:val="center"/>
          </w:tcPr>
          <w:p w14:paraId="39B5FE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B4D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vAlign w:val="center"/>
          </w:tcPr>
          <w:p w14:paraId="303AA0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491" w:type="pct"/>
            <w:vMerge w:val="continue"/>
            <w:shd w:val="clear" w:color="auto" w:fill="auto"/>
            <w:vAlign w:val="center"/>
          </w:tcPr>
          <w:p w14:paraId="06CFA1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877" w:type="pct"/>
            <w:shd w:val="clear" w:color="auto" w:fill="auto"/>
            <w:noWrap/>
            <w:vAlign w:val="center"/>
          </w:tcPr>
          <w:p w14:paraId="1CA86B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25" w:type="pct"/>
            <w:shd w:val="clear" w:color="auto" w:fill="auto"/>
            <w:noWrap/>
            <w:vAlign w:val="center"/>
          </w:tcPr>
          <w:p w14:paraId="35BCDF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0F4083C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r w14:paraId="3526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289" w:type="pct"/>
            <w:shd w:val="clear" w:color="auto" w:fill="auto"/>
            <w:noWrap/>
            <w:vAlign w:val="center"/>
          </w:tcPr>
          <w:p w14:paraId="2A2EE8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1368" w:type="pct"/>
            <w:gridSpan w:val="2"/>
            <w:shd w:val="clear" w:color="auto" w:fill="auto"/>
            <w:noWrap/>
            <w:vAlign w:val="center"/>
          </w:tcPr>
          <w:p w14:paraId="6C7CB6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1625" w:type="pct"/>
            <w:shd w:val="clear" w:color="auto" w:fill="auto"/>
            <w:noWrap/>
            <w:vAlign w:val="center"/>
          </w:tcPr>
          <w:p w14:paraId="00F6EC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c>
          <w:tcPr>
            <w:tcW w:w="1716" w:type="pct"/>
            <w:shd w:val="clear" w:color="auto" w:fill="auto"/>
            <w:noWrap/>
            <w:vAlign w:val="center"/>
          </w:tcPr>
          <w:p w14:paraId="47FA31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2"/>
                <w:szCs w:val="22"/>
                <w:u w:val="none"/>
              </w:rPr>
            </w:pPr>
          </w:p>
        </w:tc>
      </w:tr>
    </w:tbl>
    <w:p w14:paraId="16AD0BDB">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auto"/>
          <w:kern w:val="0"/>
          <w:sz w:val="24"/>
          <w:szCs w:val="24"/>
          <w:highlight w:val="none"/>
          <w:u w:val="none"/>
          <w:lang w:val="en-US" w:eastAsia="zh-CN" w:bidi="ar"/>
        </w:rPr>
      </w:pPr>
    </w:p>
    <w:p w14:paraId="7D9A17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w:t>
      </w:r>
      <w:r>
        <w:rPr>
          <w:rFonts w:hint="eastAsia" w:ascii="仿宋" w:hAnsi="仿宋" w:cs="仿宋"/>
          <w:b w:val="0"/>
          <w:bCs w:val="0"/>
          <w:color w:val="auto"/>
          <w:kern w:val="0"/>
          <w:sz w:val="22"/>
          <w:szCs w:val="22"/>
          <w:highlight w:val="none"/>
          <w:lang w:bidi="ar"/>
        </w:rPr>
        <w:t>行政村</w:t>
      </w:r>
      <w:r>
        <w:rPr>
          <w:rFonts w:hint="eastAsia" w:ascii="仿宋" w:hAnsi="仿宋" w:cs="仿宋"/>
          <w:b w:val="0"/>
          <w:bCs w:val="0"/>
          <w:color w:val="auto"/>
          <w:kern w:val="0"/>
          <w:sz w:val="22"/>
          <w:szCs w:val="22"/>
          <w:highlight w:val="none"/>
          <w:lang w:eastAsia="zh-CN" w:bidi="ar"/>
        </w:rPr>
        <w:t>、</w:t>
      </w:r>
      <w:r>
        <w:rPr>
          <w:rFonts w:hint="eastAsia" w:ascii="仿宋" w:hAnsi="仿宋" w:cs="仿宋"/>
          <w:b w:val="0"/>
          <w:bCs w:val="0"/>
          <w:color w:val="auto"/>
          <w:kern w:val="0"/>
          <w:sz w:val="22"/>
          <w:szCs w:val="22"/>
          <w:highlight w:val="none"/>
          <w:lang w:bidi="ar"/>
        </w:rPr>
        <w:t>村庄分类</w:t>
      </w:r>
      <w:r>
        <w:rPr>
          <w:rFonts w:hint="eastAsia" w:ascii="仿宋" w:hAnsi="仿宋" w:cs="仿宋"/>
          <w:b w:val="0"/>
          <w:bCs w:val="0"/>
          <w:color w:val="auto"/>
          <w:kern w:val="0"/>
          <w:sz w:val="22"/>
          <w:szCs w:val="22"/>
          <w:highlight w:val="none"/>
          <w:lang w:eastAsia="zh-CN" w:bidi="ar"/>
        </w:rPr>
        <w:t>、</w:t>
      </w:r>
      <w:r>
        <w:rPr>
          <w:rFonts w:hint="eastAsia" w:ascii="仿宋" w:hAnsi="仿宋" w:cs="仿宋"/>
          <w:b w:val="0"/>
          <w:bCs w:val="0"/>
          <w:color w:val="auto"/>
          <w:kern w:val="0"/>
          <w:sz w:val="22"/>
          <w:szCs w:val="22"/>
          <w:highlight w:val="none"/>
          <w:lang w:bidi="ar"/>
        </w:rPr>
        <w:t>历史文化名村及传统村落</w:t>
      </w:r>
      <w:r>
        <w:rPr>
          <w:rFonts w:hint="eastAsia" w:ascii="仿宋" w:hAnsi="仿宋" w:cs="仿宋"/>
          <w:b w:val="0"/>
          <w:bCs w:val="0"/>
          <w:color w:val="auto"/>
          <w:kern w:val="0"/>
          <w:sz w:val="22"/>
          <w:szCs w:val="22"/>
          <w:highlight w:val="none"/>
          <w:lang w:val="en-US" w:eastAsia="zh-CN" w:bidi="ar"/>
        </w:rPr>
        <w:t>如有更新，按最新文件要求执行。</w:t>
      </w:r>
    </w:p>
    <w:p w14:paraId="58DFB9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auto"/>
          <w:kern w:val="0"/>
          <w:sz w:val="24"/>
          <w:szCs w:val="24"/>
          <w:highlight w:val="none"/>
          <w:u w:val="none"/>
          <w:lang w:val="en-US" w:eastAsia="zh-CN" w:bidi="ar"/>
        </w:rPr>
      </w:pPr>
    </w:p>
    <w:p w14:paraId="1C164AC7">
      <w:pPr>
        <w:keepNext w:val="0"/>
        <w:keepLines w:val="0"/>
        <w:widowControl/>
        <w:suppressLineNumbers w:val="0"/>
        <w:ind w:left="0" w:leftChars="0" w:firstLine="0" w:firstLineChars="0"/>
        <w:jc w:val="left"/>
        <w:textAlignment w:val="center"/>
        <w:rPr>
          <w:rFonts w:hint="default" w:ascii="仿宋" w:hAnsi="仿宋" w:eastAsia="仿宋" w:cs="仿宋"/>
          <w:i w:val="0"/>
          <w:iCs w:val="0"/>
          <w:color w:val="auto"/>
          <w:kern w:val="0"/>
          <w:sz w:val="24"/>
          <w:szCs w:val="24"/>
          <w:highlight w:val="none"/>
          <w:u w:val="none"/>
          <w:lang w:val="en-US" w:eastAsia="zh-CN" w:bidi="ar"/>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0891E6-01C4-4FE1-87DE-28E1C5210E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39875F40-E19F-4B60-81FB-AAC92CB1929D}"/>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97437EB3-11BC-4B2D-8CA8-1F2AF32C4E6D}"/>
  </w:font>
  <w:font w:name="方正小标宋_GBK">
    <w:panose1 w:val="02000000000000000000"/>
    <w:charset w:val="86"/>
    <w:family w:val="auto"/>
    <w:pitch w:val="default"/>
    <w:sig w:usb0="A00002BF" w:usb1="38CF7CFA" w:usb2="00082016" w:usb3="00000000" w:csb0="00040001" w:csb1="00000000"/>
    <w:embedRegular r:id="rId4" w:fontKey="{45DEFA5D-6B27-4AF3-A124-BD51E91CDF93}"/>
  </w:font>
  <w:font w:name="楷体_GB2312">
    <w:panose1 w:val="02010609030101010101"/>
    <w:charset w:val="86"/>
    <w:family w:val="auto"/>
    <w:pitch w:val="default"/>
    <w:sig w:usb0="00000001" w:usb1="080E0000" w:usb2="00000000" w:usb3="00000000" w:csb0="00040000" w:csb1="00000000"/>
    <w:embedRegular r:id="rId5" w:fontKey="{04561228-C67F-4566-B1F7-36266795D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932D">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09B0">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27479">
    <w:pPr>
      <w:jc w:val="center"/>
      <w:rPr>
        <w:rFonts w:ascii="Times New Roman" w:hAnsi="Times New Roman" w:eastAsia="仿宋_GB2312"/>
        <w:sz w:val="18"/>
        <w:szCs w:val="18"/>
        <w:lang w:val="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55EB4">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4655">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56C0">
                          <w:pPr>
                            <w:pStyle w:val="9"/>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89156C0">
                    <w:pPr>
                      <w:pStyle w:val="9"/>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48F72">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FB611">
                          <w:pPr>
                            <w:pStyle w:val="9"/>
                          </w:pPr>
                          <w:r>
                            <w:fldChar w:fldCharType="begin"/>
                          </w:r>
                          <w:r>
                            <w:instrText xml:space="preserve"> PAGE  \* MERGEFORMAT </w:instrText>
                          </w:r>
                          <w:r>
                            <w:fldChar w:fldCharType="separate"/>
                          </w:r>
                          <w:r>
                            <w:t>XXXI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BEFB611">
                    <w:pPr>
                      <w:pStyle w:val="9"/>
                    </w:pPr>
                    <w:r>
                      <w:fldChar w:fldCharType="begin"/>
                    </w:r>
                    <w:r>
                      <w:instrText xml:space="preserve"> PAGE  \* MERGEFORMAT </w:instrText>
                    </w:r>
                    <w:r>
                      <w:fldChar w:fldCharType="separate"/>
                    </w:r>
                    <w:r>
                      <w:t>XXXI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E9257">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8B6A0">
                          <w:pPr>
                            <w:pStyle w:val="9"/>
                            <w:ind w:left="0" w:leftChars="0" w:firstLine="0" w:firstLineChars="0"/>
                            <w:rPr>
                              <w:sz w:val="24"/>
                              <w:szCs w:val="40"/>
                            </w:rPr>
                          </w:pPr>
                          <w:r>
                            <w:rPr>
                              <w:sz w:val="24"/>
                              <w:szCs w:val="40"/>
                            </w:rPr>
                            <w:t xml:space="preserv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39</w:t>
                          </w:r>
                          <w:r>
                            <w:rPr>
                              <w:sz w:val="18"/>
                              <w:szCs w:val="18"/>
                            </w:rPr>
                            <w:fldChar w:fldCharType="end"/>
                          </w:r>
                          <w:r>
                            <w:rPr>
                              <w:sz w:val="18"/>
                              <w:szCs w:val="1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988B6A0">
                    <w:pPr>
                      <w:pStyle w:val="9"/>
                      <w:ind w:left="0" w:leftChars="0" w:firstLine="0" w:firstLineChars="0"/>
                      <w:rPr>
                        <w:sz w:val="24"/>
                        <w:szCs w:val="40"/>
                      </w:rPr>
                    </w:pPr>
                    <w:r>
                      <w:rPr>
                        <w:sz w:val="24"/>
                        <w:szCs w:val="40"/>
                      </w:rPr>
                      <w:t xml:space="preserv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39</w:t>
                    </w:r>
                    <w:r>
                      <w:rPr>
                        <w:sz w:val="18"/>
                        <w:szCs w:val="18"/>
                      </w:rPr>
                      <w:fldChar w:fldCharType="end"/>
                    </w:r>
                    <w:r>
                      <w:rPr>
                        <w:sz w:val="18"/>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F31A1"/>
    <w:multiLevelType w:val="multilevel"/>
    <w:tmpl w:val="8B0F31A1"/>
    <w:lvl w:ilvl="0" w:tentative="0">
      <w:start w:val="1"/>
      <w:numFmt w:val="decimal"/>
      <w:lvlText w:val="第%1章 "/>
      <w:lvlJc w:val="left"/>
      <w:pPr>
        <w:tabs>
          <w:tab w:val="left" w:pos="1271"/>
        </w:tabs>
        <w:ind w:left="1271" w:hanging="420"/>
      </w:pPr>
      <w:rPr>
        <w:rFonts w:hint="eastAsia"/>
        <w:lang w:val="en-US"/>
      </w:rPr>
    </w:lvl>
    <w:lvl w:ilvl="1" w:tentative="0">
      <w:start w:val="1"/>
      <w:numFmt w:val="decimal"/>
      <w:lvlText w:val="%1.%2 "/>
      <w:lvlJc w:val="left"/>
      <w:pPr>
        <w:tabs>
          <w:tab w:val="left" w:pos="3544"/>
        </w:tabs>
        <w:ind w:left="3544" w:firstLine="0"/>
      </w:pPr>
      <w:rPr>
        <w:rFonts w:hint="eastAsia"/>
      </w:rPr>
    </w:lvl>
    <w:lvl w:ilvl="2" w:tentative="0">
      <w:start w:val="1"/>
      <w:numFmt w:val="decimal"/>
      <w:pStyle w:val="4"/>
      <w:lvlText w:val="%1.%2.%3 "/>
      <w:lvlJc w:val="left"/>
      <w:pPr>
        <w:tabs>
          <w:tab w:val="left" w:pos="426"/>
        </w:tabs>
        <w:ind w:left="426" w:hanging="426"/>
      </w:pPr>
      <w:rPr>
        <w:rFonts w:hint="eastAsia"/>
      </w:rPr>
    </w:lvl>
    <w:lvl w:ilvl="3" w:tentative="0">
      <w:start w:val="1"/>
      <w:numFmt w:val="decimal"/>
      <w:lvlText w:val="%1.%2.%3.%4"/>
      <w:lvlJc w:val="left"/>
      <w:pPr>
        <w:tabs>
          <w:tab w:val="left" w:pos="851"/>
        </w:tabs>
        <w:ind w:left="851" w:hanging="851"/>
      </w:pPr>
      <w:rPr>
        <w:rFonts w:hint="eastAsia"/>
        <w:lang w:val="en-US"/>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2835"/>
        </w:tabs>
        <w:ind w:left="2835" w:hanging="1134"/>
      </w:pPr>
      <w:rPr>
        <w:rFonts w:hint="eastAsia"/>
      </w:rPr>
    </w:lvl>
    <w:lvl w:ilvl="6" w:tentative="0">
      <w:start w:val="1"/>
      <w:numFmt w:val="decimal"/>
      <w:lvlText w:val="%1.%2.%3.%4.%5.%6.%7"/>
      <w:lvlJc w:val="left"/>
      <w:pPr>
        <w:tabs>
          <w:tab w:val="left" w:pos="3402"/>
        </w:tabs>
        <w:ind w:left="3402" w:hanging="1276"/>
      </w:pPr>
      <w:rPr>
        <w:rFonts w:hint="eastAsia"/>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mYzY3ZmExMTdkNTFiNTE4YjRkMzg1ZTIyZGE3MDUifQ=="/>
  </w:docVars>
  <w:rsids>
    <w:rsidRoot w:val="28180A73"/>
    <w:rsid w:val="003033FE"/>
    <w:rsid w:val="003A77AD"/>
    <w:rsid w:val="00671208"/>
    <w:rsid w:val="00725020"/>
    <w:rsid w:val="00846DA6"/>
    <w:rsid w:val="0086530A"/>
    <w:rsid w:val="00AF7C8B"/>
    <w:rsid w:val="00D074CA"/>
    <w:rsid w:val="00F40F7F"/>
    <w:rsid w:val="00FC662C"/>
    <w:rsid w:val="01001B5E"/>
    <w:rsid w:val="010D7DD7"/>
    <w:rsid w:val="010F7C29"/>
    <w:rsid w:val="012F0BBE"/>
    <w:rsid w:val="01305CF5"/>
    <w:rsid w:val="013B15CD"/>
    <w:rsid w:val="01BE3217"/>
    <w:rsid w:val="02072A78"/>
    <w:rsid w:val="02094A42"/>
    <w:rsid w:val="024C6AFF"/>
    <w:rsid w:val="027F153C"/>
    <w:rsid w:val="03153EDD"/>
    <w:rsid w:val="03195159"/>
    <w:rsid w:val="03D8291E"/>
    <w:rsid w:val="040F20B8"/>
    <w:rsid w:val="0421531A"/>
    <w:rsid w:val="04550578"/>
    <w:rsid w:val="04830A7C"/>
    <w:rsid w:val="048C54B6"/>
    <w:rsid w:val="05452572"/>
    <w:rsid w:val="0549222B"/>
    <w:rsid w:val="054F6C10"/>
    <w:rsid w:val="055E0D13"/>
    <w:rsid w:val="0585598F"/>
    <w:rsid w:val="05860158"/>
    <w:rsid w:val="066E30C6"/>
    <w:rsid w:val="070B3D9D"/>
    <w:rsid w:val="07167AAA"/>
    <w:rsid w:val="07B90CB8"/>
    <w:rsid w:val="07D6476B"/>
    <w:rsid w:val="07F47D8E"/>
    <w:rsid w:val="07F95559"/>
    <w:rsid w:val="08192374"/>
    <w:rsid w:val="08DE3437"/>
    <w:rsid w:val="09BA6ED6"/>
    <w:rsid w:val="0AAC68B2"/>
    <w:rsid w:val="0B2E1EE3"/>
    <w:rsid w:val="0B3D34F9"/>
    <w:rsid w:val="0B514A22"/>
    <w:rsid w:val="0B6D1670"/>
    <w:rsid w:val="0C095739"/>
    <w:rsid w:val="0C0A7D34"/>
    <w:rsid w:val="0CFA0D01"/>
    <w:rsid w:val="0D2E7A52"/>
    <w:rsid w:val="0D75742F"/>
    <w:rsid w:val="0D7A4A46"/>
    <w:rsid w:val="0D894C89"/>
    <w:rsid w:val="0DA66284"/>
    <w:rsid w:val="0DB36D32"/>
    <w:rsid w:val="0E10438D"/>
    <w:rsid w:val="0F0D5446"/>
    <w:rsid w:val="0F122CCC"/>
    <w:rsid w:val="0F264E85"/>
    <w:rsid w:val="0F89548A"/>
    <w:rsid w:val="0FB73D2F"/>
    <w:rsid w:val="10260114"/>
    <w:rsid w:val="104B4477"/>
    <w:rsid w:val="10CC380A"/>
    <w:rsid w:val="11A2456B"/>
    <w:rsid w:val="11AB78C4"/>
    <w:rsid w:val="11BA1C5D"/>
    <w:rsid w:val="121A2353"/>
    <w:rsid w:val="129D1C44"/>
    <w:rsid w:val="12E017EF"/>
    <w:rsid w:val="13CD2088"/>
    <w:rsid w:val="13F35552"/>
    <w:rsid w:val="14131750"/>
    <w:rsid w:val="145A163F"/>
    <w:rsid w:val="1537146E"/>
    <w:rsid w:val="15E66DA6"/>
    <w:rsid w:val="16511CA5"/>
    <w:rsid w:val="16F92E7F"/>
    <w:rsid w:val="176221FA"/>
    <w:rsid w:val="177B7D38"/>
    <w:rsid w:val="17994E23"/>
    <w:rsid w:val="17BB0135"/>
    <w:rsid w:val="17E812F2"/>
    <w:rsid w:val="17F74301"/>
    <w:rsid w:val="180B10BC"/>
    <w:rsid w:val="18174416"/>
    <w:rsid w:val="18176D1C"/>
    <w:rsid w:val="186B6FCB"/>
    <w:rsid w:val="18CD38EE"/>
    <w:rsid w:val="18D64AA0"/>
    <w:rsid w:val="194674FA"/>
    <w:rsid w:val="195D07B7"/>
    <w:rsid w:val="19A128AE"/>
    <w:rsid w:val="19C72DC1"/>
    <w:rsid w:val="19CE05F3"/>
    <w:rsid w:val="19E35721"/>
    <w:rsid w:val="19F129A1"/>
    <w:rsid w:val="1A042BC1"/>
    <w:rsid w:val="1A200723"/>
    <w:rsid w:val="1A352420"/>
    <w:rsid w:val="1A9F0FE5"/>
    <w:rsid w:val="1ADD3FC6"/>
    <w:rsid w:val="1B0E67CD"/>
    <w:rsid w:val="1B765471"/>
    <w:rsid w:val="1BB84838"/>
    <w:rsid w:val="1C091D8D"/>
    <w:rsid w:val="1C286393"/>
    <w:rsid w:val="1CAC44F0"/>
    <w:rsid w:val="1CD65C5D"/>
    <w:rsid w:val="1D221CD8"/>
    <w:rsid w:val="1D5170CA"/>
    <w:rsid w:val="1D8A2A83"/>
    <w:rsid w:val="1DBE7DF8"/>
    <w:rsid w:val="1DC1221D"/>
    <w:rsid w:val="1DED4DC0"/>
    <w:rsid w:val="1E004AF3"/>
    <w:rsid w:val="1E222CBC"/>
    <w:rsid w:val="1E251DE1"/>
    <w:rsid w:val="1E7D440A"/>
    <w:rsid w:val="1EDB57C2"/>
    <w:rsid w:val="1EFD1033"/>
    <w:rsid w:val="1F090121"/>
    <w:rsid w:val="1F5056DA"/>
    <w:rsid w:val="1F556E0F"/>
    <w:rsid w:val="1F6E1F30"/>
    <w:rsid w:val="1FD44489"/>
    <w:rsid w:val="20260F46"/>
    <w:rsid w:val="202B1BD0"/>
    <w:rsid w:val="20322F5E"/>
    <w:rsid w:val="20D44015"/>
    <w:rsid w:val="217B0E7A"/>
    <w:rsid w:val="21AF74B4"/>
    <w:rsid w:val="21C0100F"/>
    <w:rsid w:val="21C857E4"/>
    <w:rsid w:val="226D65DA"/>
    <w:rsid w:val="229B4DEB"/>
    <w:rsid w:val="230B6414"/>
    <w:rsid w:val="230F6858"/>
    <w:rsid w:val="23152DEF"/>
    <w:rsid w:val="23165C91"/>
    <w:rsid w:val="231B417D"/>
    <w:rsid w:val="237F327A"/>
    <w:rsid w:val="23E822B1"/>
    <w:rsid w:val="23FE3883"/>
    <w:rsid w:val="2401791F"/>
    <w:rsid w:val="244F2331"/>
    <w:rsid w:val="246E31A4"/>
    <w:rsid w:val="248E534B"/>
    <w:rsid w:val="24C7636B"/>
    <w:rsid w:val="25B2418A"/>
    <w:rsid w:val="260A17F9"/>
    <w:rsid w:val="26E34453"/>
    <w:rsid w:val="27602AA7"/>
    <w:rsid w:val="277238A2"/>
    <w:rsid w:val="27F9780B"/>
    <w:rsid w:val="28180A73"/>
    <w:rsid w:val="289A5FDD"/>
    <w:rsid w:val="290A4A78"/>
    <w:rsid w:val="291F75C2"/>
    <w:rsid w:val="29943ED4"/>
    <w:rsid w:val="29A24CB1"/>
    <w:rsid w:val="2A4261E1"/>
    <w:rsid w:val="2A685885"/>
    <w:rsid w:val="2A7A3E7F"/>
    <w:rsid w:val="2A816FBC"/>
    <w:rsid w:val="2A8D465A"/>
    <w:rsid w:val="2A98212A"/>
    <w:rsid w:val="2B23565B"/>
    <w:rsid w:val="2B9A4A81"/>
    <w:rsid w:val="2BB807BB"/>
    <w:rsid w:val="2C2F1DFC"/>
    <w:rsid w:val="2CAE7E10"/>
    <w:rsid w:val="2D265BF9"/>
    <w:rsid w:val="2D2F2CFF"/>
    <w:rsid w:val="2D593DF3"/>
    <w:rsid w:val="2E15609F"/>
    <w:rsid w:val="2E61338C"/>
    <w:rsid w:val="2E884DBD"/>
    <w:rsid w:val="2E8B50FA"/>
    <w:rsid w:val="2ECB2EFB"/>
    <w:rsid w:val="2F3127AE"/>
    <w:rsid w:val="2F376B74"/>
    <w:rsid w:val="2F68699C"/>
    <w:rsid w:val="2F7A7B7F"/>
    <w:rsid w:val="2F82362D"/>
    <w:rsid w:val="2FA5239F"/>
    <w:rsid w:val="2FC24B19"/>
    <w:rsid w:val="2FEA73B1"/>
    <w:rsid w:val="304A1921"/>
    <w:rsid w:val="30BC6FA0"/>
    <w:rsid w:val="3106021B"/>
    <w:rsid w:val="31267D8B"/>
    <w:rsid w:val="315D180B"/>
    <w:rsid w:val="31A33CBC"/>
    <w:rsid w:val="31AF3F9D"/>
    <w:rsid w:val="31C05C0B"/>
    <w:rsid w:val="32417A59"/>
    <w:rsid w:val="329E0B3C"/>
    <w:rsid w:val="32BF7281"/>
    <w:rsid w:val="33547C2E"/>
    <w:rsid w:val="33B66129"/>
    <w:rsid w:val="33DB4873"/>
    <w:rsid w:val="33F755E2"/>
    <w:rsid w:val="34152352"/>
    <w:rsid w:val="341F32DA"/>
    <w:rsid w:val="34207846"/>
    <w:rsid w:val="35362543"/>
    <w:rsid w:val="36070CBD"/>
    <w:rsid w:val="3608233F"/>
    <w:rsid w:val="363E3997"/>
    <w:rsid w:val="36806DE1"/>
    <w:rsid w:val="3684230E"/>
    <w:rsid w:val="372C4753"/>
    <w:rsid w:val="3748158D"/>
    <w:rsid w:val="37CB0D94"/>
    <w:rsid w:val="37DA5F5D"/>
    <w:rsid w:val="38045154"/>
    <w:rsid w:val="382B207C"/>
    <w:rsid w:val="389C181C"/>
    <w:rsid w:val="38D64977"/>
    <w:rsid w:val="38FC161D"/>
    <w:rsid w:val="396B2A3F"/>
    <w:rsid w:val="39D63603"/>
    <w:rsid w:val="39DF3CFF"/>
    <w:rsid w:val="39E92A30"/>
    <w:rsid w:val="3A4F5EBD"/>
    <w:rsid w:val="3A573895"/>
    <w:rsid w:val="3B0C4680"/>
    <w:rsid w:val="3B5F6194"/>
    <w:rsid w:val="3B7641EF"/>
    <w:rsid w:val="3BB56710"/>
    <w:rsid w:val="3BFB06D1"/>
    <w:rsid w:val="3C236125"/>
    <w:rsid w:val="3C43580A"/>
    <w:rsid w:val="3CC316B6"/>
    <w:rsid w:val="3CE33DBF"/>
    <w:rsid w:val="3D271C45"/>
    <w:rsid w:val="3D655C32"/>
    <w:rsid w:val="3D700D49"/>
    <w:rsid w:val="3DAD4710"/>
    <w:rsid w:val="3E5D2C39"/>
    <w:rsid w:val="3E7222CF"/>
    <w:rsid w:val="3EA51073"/>
    <w:rsid w:val="3EB47508"/>
    <w:rsid w:val="3EFB0C93"/>
    <w:rsid w:val="3F402B4A"/>
    <w:rsid w:val="3F93536F"/>
    <w:rsid w:val="3F9D1D4A"/>
    <w:rsid w:val="3FDB0AC5"/>
    <w:rsid w:val="40613C9B"/>
    <w:rsid w:val="4078338A"/>
    <w:rsid w:val="40980764"/>
    <w:rsid w:val="409A44DC"/>
    <w:rsid w:val="41067DC3"/>
    <w:rsid w:val="41AF2209"/>
    <w:rsid w:val="428B00AF"/>
    <w:rsid w:val="42DD0D81"/>
    <w:rsid w:val="4301714C"/>
    <w:rsid w:val="430467FE"/>
    <w:rsid w:val="43085A29"/>
    <w:rsid w:val="43D16466"/>
    <w:rsid w:val="43F32881"/>
    <w:rsid w:val="43FB2952"/>
    <w:rsid w:val="448766EE"/>
    <w:rsid w:val="456A1771"/>
    <w:rsid w:val="45DA24A6"/>
    <w:rsid w:val="47170634"/>
    <w:rsid w:val="4744440C"/>
    <w:rsid w:val="47CA56A6"/>
    <w:rsid w:val="47D7289A"/>
    <w:rsid w:val="47DC6ACC"/>
    <w:rsid w:val="48A01935"/>
    <w:rsid w:val="48B16866"/>
    <w:rsid w:val="49B760FE"/>
    <w:rsid w:val="49CA75BF"/>
    <w:rsid w:val="4A091D07"/>
    <w:rsid w:val="4A117E90"/>
    <w:rsid w:val="4A142D51"/>
    <w:rsid w:val="4A670306"/>
    <w:rsid w:val="4AD827D0"/>
    <w:rsid w:val="4C1710D6"/>
    <w:rsid w:val="4C5B21EC"/>
    <w:rsid w:val="4CE01DFB"/>
    <w:rsid w:val="4CFA6A2E"/>
    <w:rsid w:val="4DC23751"/>
    <w:rsid w:val="4E9A6118"/>
    <w:rsid w:val="4EBB40DC"/>
    <w:rsid w:val="4EF83441"/>
    <w:rsid w:val="4F3501F1"/>
    <w:rsid w:val="4FE211F8"/>
    <w:rsid w:val="50865E97"/>
    <w:rsid w:val="51280932"/>
    <w:rsid w:val="51F15F26"/>
    <w:rsid w:val="52941887"/>
    <w:rsid w:val="532365B3"/>
    <w:rsid w:val="532A7EE4"/>
    <w:rsid w:val="534529CD"/>
    <w:rsid w:val="53545634"/>
    <w:rsid w:val="538A6632"/>
    <w:rsid w:val="53E734D9"/>
    <w:rsid w:val="541A7637"/>
    <w:rsid w:val="54216F96"/>
    <w:rsid w:val="545C63B1"/>
    <w:rsid w:val="54776BB6"/>
    <w:rsid w:val="548E3F00"/>
    <w:rsid w:val="54E11637"/>
    <w:rsid w:val="55864C6E"/>
    <w:rsid w:val="55D81D39"/>
    <w:rsid w:val="58254B7B"/>
    <w:rsid w:val="582738AE"/>
    <w:rsid w:val="582E57DE"/>
    <w:rsid w:val="58CB1F19"/>
    <w:rsid w:val="594F1EAF"/>
    <w:rsid w:val="597F3BD7"/>
    <w:rsid w:val="598C6B08"/>
    <w:rsid w:val="59AE3BC4"/>
    <w:rsid w:val="59C87854"/>
    <w:rsid w:val="59ED449D"/>
    <w:rsid w:val="59FC4306"/>
    <w:rsid w:val="5A2055FA"/>
    <w:rsid w:val="5A425581"/>
    <w:rsid w:val="5A61633E"/>
    <w:rsid w:val="5A767910"/>
    <w:rsid w:val="5A79031F"/>
    <w:rsid w:val="5AAE70AA"/>
    <w:rsid w:val="5B2311C4"/>
    <w:rsid w:val="5B472E8B"/>
    <w:rsid w:val="5B4F2B37"/>
    <w:rsid w:val="5B743E4F"/>
    <w:rsid w:val="5B7B3430"/>
    <w:rsid w:val="5C2B1BF1"/>
    <w:rsid w:val="5C7A5495"/>
    <w:rsid w:val="5CB30AF4"/>
    <w:rsid w:val="5CC53F10"/>
    <w:rsid w:val="5D487342"/>
    <w:rsid w:val="5D9A56C3"/>
    <w:rsid w:val="5DAD53F7"/>
    <w:rsid w:val="5E0239AE"/>
    <w:rsid w:val="5E0742E9"/>
    <w:rsid w:val="5E0F50CD"/>
    <w:rsid w:val="5E280F21"/>
    <w:rsid w:val="5ECD4514"/>
    <w:rsid w:val="5F0B5F01"/>
    <w:rsid w:val="5F751F44"/>
    <w:rsid w:val="5FC37153"/>
    <w:rsid w:val="5FDA1ED0"/>
    <w:rsid w:val="5FED2D2F"/>
    <w:rsid w:val="600740C9"/>
    <w:rsid w:val="602F75DC"/>
    <w:rsid w:val="603B12A8"/>
    <w:rsid w:val="604A677E"/>
    <w:rsid w:val="60865998"/>
    <w:rsid w:val="60DD4245"/>
    <w:rsid w:val="60FB291D"/>
    <w:rsid w:val="61BC02FE"/>
    <w:rsid w:val="62056E47"/>
    <w:rsid w:val="621F3519"/>
    <w:rsid w:val="62BB78C4"/>
    <w:rsid w:val="630B32EB"/>
    <w:rsid w:val="631727CE"/>
    <w:rsid w:val="631F28F3"/>
    <w:rsid w:val="6326556D"/>
    <w:rsid w:val="632C3261"/>
    <w:rsid w:val="63554566"/>
    <w:rsid w:val="63BD3030"/>
    <w:rsid w:val="63C139AA"/>
    <w:rsid w:val="649317EA"/>
    <w:rsid w:val="64FC7522"/>
    <w:rsid w:val="6506460A"/>
    <w:rsid w:val="650E70C3"/>
    <w:rsid w:val="66613293"/>
    <w:rsid w:val="67277FC8"/>
    <w:rsid w:val="67427713"/>
    <w:rsid w:val="67843822"/>
    <w:rsid w:val="67DA7730"/>
    <w:rsid w:val="684B756E"/>
    <w:rsid w:val="690138A9"/>
    <w:rsid w:val="69053AC7"/>
    <w:rsid w:val="69833DCE"/>
    <w:rsid w:val="69A51678"/>
    <w:rsid w:val="69BB70ED"/>
    <w:rsid w:val="69BD10B7"/>
    <w:rsid w:val="69F8397D"/>
    <w:rsid w:val="6A3A44B6"/>
    <w:rsid w:val="6AA87773"/>
    <w:rsid w:val="6AE44AD1"/>
    <w:rsid w:val="6AFF300A"/>
    <w:rsid w:val="6B0074AE"/>
    <w:rsid w:val="6B08757A"/>
    <w:rsid w:val="6B436332"/>
    <w:rsid w:val="6B9E37D6"/>
    <w:rsid w:val="6C25580B"/>
    <w:rsid w:val="6D0F764E"/>
    <w:rsid w:val="6D107750"/>
    <w:rsid w:val="6D203E37"/>
    <w:rsid w:val="6D55627F"/>
    <w:rsid w:val="6E352F58"/>
    <w:rsid w:val="6E602011"/>
    <w:rsid w:val="6EDD1F29"/>
    <w:rsid w:val="6F0D6D08"/>
    <w:rsid w:val="6F6D49E6"/>
    <w:rsid w:val="700E61C9"/>
    <w:rsid w:val="704E0CBB"/>
    <w:rsid w:val="706A7177"/>
    <w:rsid w:val="706D390F"/>
    <w:rsid w:val="70910BA8"/>
    <w:rsid w:val="70922A46"/>
    <w:rsid w:val="70CF3899"/>
    <w:rsid w:val="719F7978"/>
    <w:rsid w:val="722F7A5C"/>
    <w:rsid w:val="724265FE"/>
    <w:rsid w:val="729A0172"/>
    <w:rsid w:val="730C71E6"/>
    <w:rsid w:val="73351CBE"/>
    <w:rsid w:val="735006CC"/>
    <w:rsid w:val="73691968"/>
    <w:rsid w:val="745148D6"/>
    <w:rsid w:val="747D56CB"/>
    <w:rsid w:val="749A6B73"/>
    <w:rsid w:val="74D04F8A"/>
    <w:rsid w:val="74E33BB3"/>
    <w:rsid w:val="74E5057F"/>
    <w:rsid w:val="75043BA9"/>
    <w:rsid w:val="753F5076"/>
    <w:rsid w:val="75874327"/>
    <w:rsid w:val="766A6123"/>
    <w:rsid w:val="769211D6"/>
    <w:rsid w:val="770E6AAE"/>
    <w:rsid w:val="772E0EFE"/>
    <w:rsid w:val="77481620"/>
    <w:rsid w:val="77876861"/>
    <w:rsid w:val="779723F2"/>
    <w:rsid w:val="77BF424C"/>
    <w:rsid w:val="781C1E4B"/>
    <w:rsid w:val="78213A75"/>
    <w:rsid w:val="78A05677"/>
    <w:rsid w:val="78BE62B2"/>
    <w:rsid w:val="78E977D3"/>
    <w:rsid w:val="792F0F5E"/>
    <w:rsid w:val="79501600"/>
    <w:rsid w:val="79C142AC"/>
    <w:rsid w:val="79EA009A"/>
    <w:rsid w:val="79F24465"/>
    <w:rsid w:val="7A462A03"/>
    <w:rsid w:val="7A603AC5"/>
    <w:rsid w:val="7AF574CB"/>
    <w:rsid w:val="7B0A3F31"/>
    <w:rsid w:val="7B616DBA"/>
    <w:rsid w:val="7BBA0FB3"/>
    <w:rsid w:val="7C6D071B"/>
    <w:rsid w:val="7C8757E9"/>
    <w:rsid w:val="7C94589A"/>
    <w:rsid w:val="7CFF1016"/>
    <w:rsid w:val="7D031181"/>
    <w:rsid w:val="7E3B2D03"/>
    <w:rsid w:val="7E8F01B1"/>
    <w:rsid w:val="7F080287"/>
    <w:rsid w:val="7F1E7AAB"/>
    <w:rsid w:val="7F271055"/>
    <w:rsid w:val="7F366F42"/>
    <w:rsid w:val="7F6A0F42"/>
    <w:rsid w:val="7F973965"/>
    <w:rsid w:val="7FD75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eastAsia="仿宋" w:asciiTheme="minorAscii" w:hAnsiTheme="minorAscii" w:cstheme="minorBidi"/>
      <w:kern w:val="2"/>
      <w:sz w:val="32"/>
      <w:szCs w:val="24"/>
      <w:lang w:val="en-US" w:eastAsia="zh-CN" w:bidi="ar-SA"/>
    </w:rPr>
  </w:style>
  <w:style w:type="paragraph" w:styleId="2">
    <w:name w:val="heading 1"/>
    <w:basedOn w:val="1"/>
    <w:next w:val="1"/>
    <w:autoRedefine/>
    <w:qFormat/>
    <w:uiPriority w:val="9"/>
    <w:pPr>
      <w:keepNext/>
      <w:keepLines/>
      <w:spacing w:before="480" w:after="80"/>
      <w:outlineLvl w:val="0"/>
    </w:pPr>
    <w:rPr>
      <w:rFonts w:eastAsia="微软雅黑" w:asciiTheme="majorAscii" w:hAnsiTheme="majorAscii" w:cstheme="majorBidi"/>
      <w:b/>
      <w:color w:val="2E54A1" w:themeColor="accent1" w:themeShade="BF"/>
      <w:sz w:val="36"/>
      <w:szCs w:val="48"/>
    </w:rPr>
  </w:style>
  <w:style w:type="paragraph" w:styleId="3">
    <w:name w:val="heading 2"/>
    <w:basedOn w:val="1"/>
    <w:next w:val="1"/>
    <w:autoRedefine/>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4">
    <w:name w:val="heading 3"/>
    <w:basedOn w:val="1"/>
    <w:next w:val="1"/>
    <w:autoRedefine/>
    <w:unhideWhenUsed/>
    <w:qFormat/>
    <w:uiPriority w:val="0"/>
    <w:pPr>
      <w:keepNext/>
      <w:keepLines/>
      <w:numPr>
        <w:ilvl w:val="2"/>
        <w:numId w:val="1"/>
      </w:numPr>
      <w:spacing w:line="420" w:lineRule="auto"/>
      <w:ind w:left="425"/>
      <w:jc w:val="left"/>
      <w:outlineLvl w:val="2"/>
    </w:pPr>
    <w:rPr>
      <w:b/>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34"/>
    <w:autoRedefine/>
    <w:qFormat/>
    <w:uiPriority w:val="0"/>
    <w:pPr>
      <w:jc w:val="left"/>
    </w:pPr>
  </w:style>
  <w:style w:type="paragraph" w:styleId="7">
    <w:name w:val="Body Text"/>
    <w:basedOn w:val="1"/>
    <w:next w:val="1"/>
    <w:autoRedefine/>
    <w:qFormat/>
    <w:uiPriority w:val="99"/>
  </w:style>
  <w:style w:type="paragraph" w:styleId="8">
    <w:name w:val="toc 3"/>
    <w:basedOn w:val="1"/>
    <w:next w:val="1"/>
    <w:qFormat/>
    <w:uiPriority w:val="0"/>
    <w:pPr>
      <w:ind w:left="840" w:leftChars="400"/>
    </w:p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footnote text"/>
    <w:basedOn w:val="1"/>
    <w:qFormat/>
    <w:uiPriority w:val="0"/>
    <w:pPr>
      <w:snapToGrid w:val="0"/>
      <w:jc w:val="left"/>
    </w:pPr>
    <w:rPr>
      <w:sz w:val="18"/>
    </w:rPr>
  </w:style>
  <w:style w:type="paragraph" w:styleId="13">
    <w:name w:val="toc 2"/>
    <w:basedOn w:val="1"/>
    <w:next w:val="1"/>
    <w:autoRedefine/>
    <w:qFormat/>
    <w:uiPriority w:val="0"/>
    <w:pPr>
      <w:ind w:left="420" w:leftChars="200"/>
    </w:pPr>
  </w:style>
  <w:style w:type="paragraph" w:styleId="14">
    <w:name w:val="Normal (Web)"/>
    <w:basedOn w:val="1"/>
    <w:qFormat/>
    <w:uiPriority w:val="0"/>
    <w:pPr>
      <w:widowControl/>
      <w:spacing w:beforeAutospacing="1" w:afterAutospacing="1"/>
      <w:jc w:val="left"/>
    </w:pPr>
    <w:rPr>
      <w:rFonts w:hint="eastAsia" w:ascii="宋体" w:hAnsi="宋体" w:eastAsia="宋体" w:cs="Times New Roman"/>
      <w:b/>
      <w:kern w:val="0"/>
      <w:sz w:val="24"/>
    </w:rPr>
  </w:style>
  <w:style w:type="paragraph" w:styleId="15">
    <w:name w:val="Title"/>
    <w:basedOn w:val="1"/>
    <w:next w:val="1"/>
    <w:autoRedefine/>
    <w:qFormat/>
    <w:uiPriority w:val="0"/>
    <w:pPr>
      <w:spacing w:before="209" w:after="209" w:line="0" w:lineRule="atLeast"/>
      <w:ind w:firstLine="0" w:firstLineChars="0"/>
      <w:jc w:val="center"/>
    </w:pPr>
    <w:rPr>
      <w:rFonts w:ascii="Arial" w:hAnsi="Arial" w:eastAsia="黑体"/>
      <w:sz w:val="52"/>
    </w:rPr>
  </w:style>
  <w:style w:type="paragraph" w:styleId="16">
    <w:name w:val="annotation subject"/>
    <w:basedOn w:val="6"/>
    <w:next w:val="6"/>
    <w:link w:val="35"/>
    <w:qFormat/>
    <w:uiPriority w:val="0"/>
    <w:rPr>
      <w:b/>
      <w:bCs/>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rPr>
      <w:i/>
    </w:rPr>
  </w:style>
  <w:style w:type="character" w:styleId="22">
    <w:name w:val="annotation reference"/>
    <w:basedOn w:val="19"/>
    <w:autoRedefine/>
    <w:qFormat/>
    <w:uiPriority w:val="0"/>
    <w:rPr>
      <w:sz w:val="21"/>
      <w:szCs w:val="21"/>
    </w:rPr>
  </w:style>
  <w:style w:type="character" w:styleId="23">
    <w:name w:val="footnote reference"/>
    <w:basedOn w:val="19"/>
    <w:qFormat/>
    <w:uiPriority w:val="0"/>
    <w:rPr>
      <w:vertAlign w:val="superscript"/>
    </w:rPr>
  </w:style>
  <w:style w:type="character" w:customStyle="1" w:styleId="24">
    <w:name w:val="font12"/>
    <w:basedOn w:val="19"/>
    <w:autoRedefine/>
    <w:qFormat/>
    <w:uiPriority w:val="0"/>
    <w:rPr>
      <w:rFonts w:hint="default" w:ascii="Times New Roman" w:hAnsi="Times New Roman" w:cs="Times New Roman"/>
      <w:color w:val="000000"/>
      <w:sz w:val="24"/>
      <w:szCs w:val="24"/>
      <w:u w:val="none"/>
    </w:rPr>
  </w:style>
  <w:style w:type="character" w:customStyle="1" w:styleId="25">
    <w:name w:val="font21"/>
    <w:basedOn w:val="19"/>
    <w:autoRedefine/>
    <w:qFormat/>
    <w:uiPriority w:val="0"/>
    <w:rPr>
      <w:rFonts w:hint="eastAsia" w:ascii="宋体" w:hAnsi="宋体" w:eastAsia="宋体" w:cs="宋体"/>
      <w:color w:val="000000"/>
      <w:sz w:val="24"/>
      <w:szCs w:val="24"/>
      <w:u w:val="none"/>
    </w:rPr>
  </w:style>
  <w:style w:type="character" w:customStyle="1" w:styleId="26">
    <w:name w:val="font101"/>
    <w:basedOn w:val="19"/>
    <w:autoRedefine/>
    <w:qFormat/>
    <w:uiPriority w:val="0"/>
    <w:rPr>
      <w:rFonts w:hint="default" w:ascii="Times New Roman" w:hAnsi="Times New Roman" w:cs="Times New Roman"/>
      <w:b/>
      <w:bCs/>
      <w:color w:val="FF0000"/>
      <w:sz w:val="24"/>
      <w:szCs w:val="24"/>
      <w:u w:val="none"/>
    </w:rPr>
  </w:style>
  <w:style w:type="character" w:customStyle="1" w:styleId="27">
    <w:name w:val="font111"/>
    <w:basedOn w:val="19"/>
    <w:autoRedefine/>
    <w:qFormat/>
    <w:uiPriority w:val="0"/>
    <w:rPr>
      <w:rFonts w:hint="eastAsia" w:ascii="宋体" w:hAnsi="宋体" w:eastAsia="宋体" w:cs="宋体"/>
      <w:b/>
      <w:bCs/>
      <w:color w:val="FF0000"/>
      <w:sz w:val="24"/>
      <w:szCs w:val="24"/>
      <w:u w:val="none"/>
    </w:rPr>
  </w:style>
  <w:style w:type="character" w:customStyle="1" w:styleId="28">
    <w:name w:val="font281"/>
    <w:basedOn w:val="19"/>
    <w:autoRedefine/>
    <w:qFormat/>
    <w:uiPriority w:val="0"/>
    <w:rPr>
      <w:rFonts w:hint="eastAsia" w:ascii="宋体" w:hAnsi="宋体" w:eastAsia="宋体" w:cs="宋体"/>
      <w:b/>
      <w:bCs/>
      <w:color w:val="000000"/>
      <w:sz w:val="24"/>
      <w:szCs w:val="24"/>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character" w:customStyle="1" w:styleId="31">
    <w:name w:val="font11"/>
    <w:basedOn w:val="19"/>
    <w:qFormat/>
    <w:uiPriority w:val="0"/>
    <w:rPr>
      <w:rFonts w:hint="eastAsia" w:ascii="宋体" w:hAnsi="宋体" w:eastAsia="宋体" w:cs="宋体"/>
      <w:b/>
      <w:bCs/>
      <w:color w:val="000000"/>
      <w:sz w:val="28"/>
      <w:szCs w:val="28"/>
      <w:u w:val="none"/>
    </w:rPr>
  </w:style>
  <w:style w:type="character" w:customStyle="1" w:styleId="32">
    <w:name w:val="font31"/>
    <w:basedOn w:val="19"/>
    <w:autoRedefine/>
    <w:qFormat/>
    <w:uiPriority w:val="0"/>
    <w:rPr>
      <w:rFonts w:hint="eastAsia" w:ascii="宋体" w:hAnsi="宋体" w:eastAsia="宋体" w:cs="宋体"/>
      <w:color w:val="000000"/>
      <w:sz w:val="28"/>
      <w:szCs w:val="28"/>
      <w:u w:val="none"/>
    </w:rPr>
  </w:style>
  <w:style w:type="paragraph" w:customStyle="1" w:styleId="33">
    <w:name w:val="专栏正文"/>
    <w:basedOn w:val="1"/>
    <w:qFormat/>
    <w:uiPriority w:val="0"/>
    <w:pPr>
      <w:spacing w:line="500" w:lineRule="exact"/>
      <w:ind w:firstLine="200"/>
    </w:pPr>
    <w:rPr>
      <w:rFonts w:hint="eastAsia" w:ascii="楷体" w:hAnsi="楷体" w:eastAsia="仿宋_GB2312" w:cs="Times New Roman"/>
      <w:bCs/>
      <w:color w:val="000000"/>
      <w:kern w:val="0"/>
      <w:sz w:val="24"/>
    </w:rPr>
  </w:style>
  <w:style w:type="character" w:customStyle="1" w:styleId="34">
    <w:name w:val="批注文字 字符"/>
    <w:basedOn w:val="19"/>
    <w:link w:val="6"/>
    <w:autoRedefine/>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6"/>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11976</Words>
  <Characters>12265</Characters>
  <Lines>152</Lines>
  <Paragraphs>43</Paragraphs>
  <TotalTime>8</TotalTime>
  <ScaleCrop>false</ScaleCrop>
  <LinksUpToDate>false</LinksUpToDate>
  <CharactersWithSpaces>12403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2024-10-21T09:02:00Z</dcterms:created>
  <dc:creator>静待花开</dc:creator>
  <cp:lastModifiedBy>郭一凡</cp:lastModifiedBy>
  <cp:lastPrinted>2025-02-27T09:54:00Z</cp:lastPrinted>
  <dcterms:modified xsi:type="dcterms:W3CDTF">2025-11-18T03:19:19Z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1995779F362F4E16A2CCA78188C58FBC_13</vt:lpwstr>
  </property>
  <property fmtid="{D5CDD505-2E9C-101B-9397-08002B2CF9AE}" pid="4" name="KSOTemplateDocerSaveRecord">
    <vt:lpwstr>eyJoZGlkIjoiMDhjMzMzMThmMjg2YzU0ZjZmYTM1ZGRjMGExZTVkMWUiLCJ1c2VySWQiOiIxNjc0NDYzNzg2In0=</vt:lpwstr>
  </property>
</Properties>
</file>