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bmp" ContentType="image/bmp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D55CD">
      <w:pPr>
        <w:jc w:val="center"/>
        <w:rPr>
          <w:rFonts w:ascii="Times New Roman" w:hAnsi="Times New Roman" w:eastAsia="黑体" w:cs="Times New Roman"/>
          <w:b/>
          <w:bCs/>
          <w:kern w:val="0"/>
          <w:sz w:val="72"/>
          <w:szCs w:val="72"/>
          <w:lang w:val="en-GB"/>
        </w:rPr>
      </w:pPr>
    </w:p>
    <w:p w14:paraId="5432F6E1">
      <w:pPr>
        <w:jc w:val="center"/>
        <w:rPr>
          <w:rFonts w:ascii="Times New Roman" w:hAnsi="Times New Roman" w:eastAsia="黑体" w:cs="Times New Roman"/>
          <w:b/>
          <w:bCs/>
          <w:kern w:val="0"/>
          <w:sz w:val="72"/>
          <w:szCs w:val="72"/>
          <w:lang w:val="en-GB"/>
        </w:rPr>
      </w:pPr>
      <w:r>
        <w:rPr>
          <w:rFonts w:hint="eastAsia" w:ascii="Times New Roman" w:hAnsi="Times New Roman" w:eastAsia="黑体" w:cs="Times New Roman"/>
          <w:b/>
          <w:bCs/>
          <w:kern w:val="0"/>
          <w:sz w:val="72"/>
          <w:szCs w:val="72"/>
          <w:lang w:val="en-GB"/>
        </w:rPr>
        <w:t>室内</w:t>
      </w:r>
      <w:r>
        <w:rPr>
          <w:rFonts w:ascii="Times New Roman" w:hAnsi="Times New Roman" w:eastAsia="黑体" w:cs="Times New Roman"/>
          <w:b/>
          <w:bCs/>
          <w:kern w:val="0"/>
          <w:sz w:val="72"/>
          <w:szCs w:val="72"/>
          <w:lang w:val="en-GB"/>
        </w:rPr>
        <w:t>有机挥发物</w:t>
      </w:r>
      <w:r>
        <w:rPr>
          <w:rFonts w:hint="eastAsia" w:ascii="Times New Roman" w:hAnsi="Times New Roman" w:eastAsia="黑体" w:cs="Times New Roman"/>
          <w:b/>
          <w:bCs/>
          <w:kern w:val="0"/>
          <w:sz w:val="72"/>
          <w:szCs w:val="72"/>
          <w:lang w:val="en-GB"/>
        </w:rPr>
        <w:t>浓度</w:t>
      </w:r>
    </w:p>
    <w:p w14:paraId="3105DA8C">
      <w:pPr>
        <w:jc w:val="center"/>
        <w:rPr>
          <w:rFonts w:ascii="Times New Roman" w:hAnsi="Times New Roman" w:eastAsia="黑体" w:cs="Times New Roman"/>
          <w:b/>
          <w:bCs/>
          <w:kern w:val="0"/>
          <w:sz w:val="72"/>
          <w:szCs w:val="72"/>
          <w:lang w:val="en-GB"/>
        </w:rPr>
      </w:pPr>
      <w:r>
        <w:rPr>
          <w:rFonts w:ascii="Times New Roman" w:hAnsi="Times New Roman" w:eastAsia="黑体" w:cs="Times New Roman"/>
          <w:b/>
          <w:bCs/>
          <w:kern w:val="0"/>
          <w:sz w:val="72"/>
          <w:szCs w:val="72"/>
          <w:lang w:val="en-GB"/>
        </w:rPr>
        <w:t>报告书</w:t>
      </w:r>
    </w:p>
    <w:p w14:paraId="6D17482F">
      <w:pPr>
        <w:jc w:val="center"/>
        <w:rPr>
          <w:rFonts w:ascii="Times New Roman" w:hAnsi="Times New Roman" w:eastAsia="黑体" w:cs="Times New Roman"/>
          <w:b/>
          <w:sz w:val="56"/>
        </w:rPr>
      </w:pPr>
    </w:p>
    <w:tbl>
      <w:tblPr>
        <w:tblStyle w:val="1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3780"/>
      </w:tblGrid>
      <w:tr w14:paraId="4F60BF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74DBD83A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项目名称</w:t>
            </w:r>
          </w:p>
        </w:tc>
        <w:tc>
          <w:tcPr>
            <w:tcW w:w="3780" w:type="dxa"/>
          </w:tcPr>
          <w:p w14:paraId="7CEBDF29">
            <w:pPr>
              <w:pStyle w:val="14"/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bookmarkStart w:id="0" w:name="项目名称"/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中峰村油榨坪街村民议事中心</w:t>
            </w:r>
            <w:bookmarkEnd w:id="0"/>
          </w:p>
        </w:tc>
      </w:tr>
      <w:tr w14:paraId="526C23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89C17E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1F01CB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</w:rPr>
              <w:t>桂林市资源县中峰镇</w:t>
            </w:r>
          </w:p>
        </w:tc>
      </w:tr>
      <w:tr w14:paraId="07F9FA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60A35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59FA0F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bookmarkStart w:id="1" w:name="设计编号"/>
            <w:bookmarkEnd w:id="1"/>
            <w:r>
              <w:rPr>
                <w:rFonts w:hint="eastAsia" w:ascii="宋体" w:hAnsi="宋体" w:eastAsia="宋体" w:cs="宋体"/>
              </w:rPr>
              <w:t>GL-JZ-24-K14</w:t>
            </w:r>
            <w:bookmarkStart w:id="35" w:name="_GoBack"/>
            <w:bookmarkEnd w:id="35"/>
          </w:p>
        </w:tc>
      </w:tr>
      <w:tr w14:paraId="5D7B8B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56DF2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1C0E90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bookmarkStart w:id="2" w:name="建设单位"/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中峰镇人民政府</w:t>
            </w:r>
            <w:bookmarkEnd w:id="2"/>
          </w:p>
        </w:tc>
      </w:tr>
      <w:tr w14:paraId="10C842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32948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294577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中物联规划设计研究院有限公司</w:t>
            </w:r>
          </w:p>
        </w:tc>
      </w:tr>
      <w:tr w14:paraId="731608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E0B15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14:paraId="20A416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2AAA5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28092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校 对 人</w:t>
            </w:r>
          </w:p>
        </w:tc>
        <w:tc>
          <w:tcPr>
            <w:tcW w:w="3780" w:type="dxa"/>
          </w:tcPr>
          <w:p w14:paraId="35ABFBE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FAF34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D0B98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14:paraId="221043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65DF3F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24A76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审 定 人</w:t>
            </w:r>
          </w:p>
        </w:tc>
        <w:tc>
          <w:tcPr>
            <w:tcW w:w="3780" w:type="dxa"/>
          </w:tcPr>
          <w:p w14:paraId="608516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7BAC3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49B946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02584C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bookmarkStart w:id="3" w:name="计算日期"/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2024年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月</w:t>
            </w:r>
            <w:bookmarkEnd w:id="3"/>
          </w:p>
        </w:tc>
      </w:tr>
    </w:tbl>
    <w:p w14:paraId="48327FA8">
      <w:pPr>
        <w:jc w:val="center"/>
        <w:rPr>
          <w:rFonts w:ascii="Times New Roman" w:hAnsi="Times New Roman" w:cs="Times New Roman"/>
          <w:b/>
          <w:sz w:val="56"/>
        </w:rPr>
      </w:pPr>
      <w:bookmarkStart w:id="4" w:name="二维码"/>
      <w:bookmarkEnd w:id="4"/>
      <w:r>
        <w:drawing>
          <wp:inline distT="0" distB="0" distL="0" distR="0">
            <wp:extent cx="1743075" cy="174307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43258" cy="174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6352B">
      <w:pPr>
        <w:jc w:val="center"/>
        <w:rPr>
          <w:rFonts w:ascii="Times New Roman" w:hAnsi="Times New Roman" w:cs="Times New Roman"/>
          <w:b/>
          <w:sz w:val="56"/>
        </w:rPr>
      </w:pPr>
    </w:p>
    <w:tbl>
      <w:tblPr>
        <w:tblStyle w:val="19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65288C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3BA86999">
            <w:pPr>
              <w:widowControl/>
              <w:spacing w:line="240" w:lineRule="atLeast"/>
              <w:jc w:val="center"/>
              <w:rPr>
                <w:rFonts w:cs="Times New Roman"/>
                <w:kern w:val="0"/>
                <w:sz w:val="21"/>
                <w:szCs w:val="21"/>
                <w:lang w:val="en-GB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GB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2D5B55A">
            <w:pPr>
              <w:widowControl/>
              <w:spacing w:line="240" w:lineRule="atLeast"/>
              <w:jc w:val="center"/>
              <w:rPr>
                <w:rFonts w:cs="Times New Roman"/>
                <w:kern w:val="0"/>
                <w:sz w:val="21"/>
                <w:szCs w:val="21"/>
                <w:lang w:val="en-GB"/>
              </w:rPr>
            </w:pPr>
            <w:bookmarkStart w:id="5" w:name="采用软件"/>
            <w:r>
              <w:rPr>
                <w:sz w:val="21"/>
                <w:szCs w:val="21"/>
              </w:rPr>
              <w:t>建筑通风Vent2023</w:t>
            </w:r>
            <w:bookmarkEnd w:id="5"/>
          </w:p>
        </w:tc>
      </w:tr>
      <w:tr w14:paraId="1B05FF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 w14:paraId="623D4727">
            <w:pPr>
              <w:widowControl/>
              <w:spacing w:line="240" w:lineRule="atLeast"/>
              <w:jc w:val="center"/>
              <w:rPr>
                <w:rFonts w:cs="Times New Roman"/>
                <w:kern w:val="0"/>
                <w:sz w:val="21"/>
                <w:szCs w:val="21"/>
                <w:lang w:val="en-GB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GB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 w14:paraId="0159F406">
            <w:pPr>
              <w:widowControl/>
              <w:spacing w:line="240" w:lineRule="atLeast"/>
              <w:jc w:val="center"/>
              <w:rPr>
                <w:rFonts w:cs="Times New Roman"/>
                <w:kern w:val="0"/>
                <w:sz w:val="21"/>
                <w:szCs w:val="21"/>
                <w:lang w:val="en-GB"/>
              </w:rPr>
            </w:pPr>
            <w:bookmarkStart w:id="6" w:name="软件版本"/>
            <w:r>
              <w:rPr>
                <w:sz w:val="21"/>
                <w:szCs w:val="21"/>
              </w:rPr>
              <w:t>20220401</w:t>
            </w:r>
            <w:bookmarkEnd w:id="6"/>
          </w:p>
        </w:tc>
      </w:tr>
      <w:tr w14:paraId="5794E0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AB9DCFB">
            <w:pPr>
              <w:widowControl/>
              <w:spacing w:line="240" w:lineRule="atLeast"/>
              <w:jc w:val="center"/>
              <w:rPr>
                <w:rFonts w:cs="Times New Roman"/>
                <w:kern w:val="0"/>
                <w:sz w:val="21"/>
                <w:szCs w:val="21"/>
                <w:lang w:val="en-GB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GB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2D723E5">
            <w:pPr>
              <w:widowControl/>
              <w:spacing w:line="240" w:lineRule="atLeast"/>
              <w:jc w:val="center"/>
              <w:rPr>
                <w:rFonts w:cs="Times New Roman"/>
                <w:kern w:val="0"/>
                <w:sz w:val="21"/>
                <w:szCs w:val="21"/>
                <w:lang w:val="en-GB"/>
              </w:rPr>
            </w:pPr>
            <w:r>
              <w:rPr>
                <w:rFonts w:cs="Times New Roman"/>
                <w:kern w:val="0"/>
                <w:sz w:val="21"/>
                <w:szCs w:val="21"/>
                <w:lang w:val="en-GB"/>
              </w:rPr>
              <w:t>北京绿建软件</w:t>
            </w:r>
            <w:r>
              <w:rPr>
                <w:rFonts w:hint="eastAsia" w:cs="Times New Roman"/>
                <w:kern w:val="0"/>
                <w:sz w:val="21"/>
                <w:szCs w:val="21"/>
                <w:lang w:val="en-GB"/>
              </w:rPr>
              <w:t>股份</w:t>
            </w:r>
            <w:r>
              <w:rPr>
                <w:rFonts w:cs="Times New Roman"/>
                <w:kern w:val="0"/>
                <w:sz w:val="21"/>
                <w:szCs w:val="21"/>
                <w:lang w:val="en-GB"/>
              </w:rPr>
              <w:t>有限公司</w:t>
            </w:r>
          </w:p>
        </w:tc>
      </w:tr>
      <w:tr w14:paraId="6DC8C2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113372B1">
            <w:pPr>
              <w:widowControl/>
              <w:spacing w:line="240" w:lineRule="atLeast"/>
              <w:jc w:val="center"/>
              <w:rPr>
                <w:rFonts w:cs="Times New Roman"/>
                <w:kern w:val="0"/>
                <w:sz w:val="21"/>
                <w:szCs w:val="21"/>
                <w:lang w:val="en-GB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GB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62418F56">
            <w:pPr>
              <w:jc w:val="center"/>
              <w:rPr>
                <w:sz w:val="21"/>
                <w:szCs w:val="21"/>
              </w:rPr>
            </w:pPr>
            <w:bookmarkStart w:id="7" w:name="加密锁号"/>
            <w:r>
              <w:rPr>
                <w:sz w:val="21"/>
                <w:szCs w:val="21"/>
              </w:rPr>
              <w:t>SP110C85A1</w:t>
            </w:r>
            <w:bookmarkEnd w:id="7"/>
          </w:p>
        </w:tc>
      </w:tr>
    </w:tbl>
    <w:p w14:paraId="1E47D1CA">
      <w:pPr>
        <w:jc w:val="center"/>
        <w:rPr>
          <w:rFonts w:ascii="Times New Roman" w:hAnsi="Times New Roman" w:cs="Times New Roman"/>
          <w:b/>
          <w:sz w:val="56"/>
        </w:rPr>
      </w:pPr>
    </w:p>
    <w:p w14:paraId="4BF04A3D">
      <w:pPr>
        <w:jc w:val="center"/>
        <w:rPr>
          <w:rFonts w:ascii="Times New Roman" w:hAnsi="Times New Roman" w:cs="Times New Roman"/>
          <w:b/>
          <w:sz w:val="56"/>
        </w:rPr>
      </w:pPr>
    </w:p>
    <w:p w14:paraId="4B5E7CB3">
      <w:pPr>
        <w:tabs>
          <w:tab w:val="left" w:pos="1052"/>
        </w:tabs>
        <w:rPr>
          <w:rFonts w:ascii="Times New Roman" w:hAnsi="Times New Roman" w:cs="Times New Roman"/>
        </w:rPr>
      </w:pPr>
    </w:p>
    <w:p w14:paraId="117355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640DD55">
      <w:pPr>
        <w:rPr>
          <w:rFonts w:ascii="Times New Roman" w:hAnsi="Times New Roman" w:cs="Times New Roman"/>
        </w:rPr>
      </w:pPr>
    </w:p>
    <w:p w14:paraId="5B7D8944">
      <w:pPr>
        <w:pStyle w:val="36"/>
        <w:ind w:right="821" w:rightChars="391"/>
        <w:jc w:val="center"/>
        <w:rPr>
          <w:rFonts w:ascii="Times New Roman" w:hAnsi="Times New Roman" w:eastAsia="黑体"/>
          <w:color w:val="auto"/>
          <w:sz w:val="32"/>
        </w:rPr>
      </w:pPr>
      <w:r>
        <w:rPr>
          <w:rFonts w:ascii="Times New Roman" w:hAnsi="Times New Roman" w:eastAsia="黑体"/>
          <w:color w:val="auto"/>
          <w:sz w:val="32"/>
          <w:lang w:val="zh-CN" w:eastAsia="zh-CN"/>
        </w:rPr>
        <w:t>目录</w:t>
      </w:r>
    </w:p>
    <w:p w14:paraId="7B9CF7D9">
      <w:pPr>
        <w:pStyle w:val="16"/>
        <w:tabs>
          <w:tab w:val="right" w:leader="dot" w:pos="7910"/>
        </w:tabs>
      </w:pPr>
      <w:bookmarkStart w:id="8" w:name="目录"/>
      <w:r>
        <w:rPr>
          <w:caps/>
          <w:sz w:val="36"/>
          <w:szCs w:val="20"/>
        </w:rPr>
        <w:fldChar w:fldCharType="begin"/>
      </w:r>
      <w:r>
        <w:rPr>
          <w:sz w:val="36"/>
        </w:rPr>
        <w:instrText xml:space="preserve"> TOC \o "1-3" \h \z \u </w:instrText>
      </w:r>
      <w:r>
        <w:rPr>
          <w:caps/>
          <w:sz w:val="36"/>
          <w:szCs w:val="20"/>
        </w:rPr>
        <w:fldChar w:fldCharType="separate"/>
      </w:r>
      <w:r>
        <w:rPr>
          <w:caps/>
          <w:szCs w:val="20"/>
        </w:rPr>
        <w:fldChar w:fldCharType="begin"/>
      </w:r>
      <w:r>
        <w:rPr>
          <w:caps/>
          <w:szCs w:val="20"/>
        </w:rPr>
        <w:instrText xml:space="preserve"> HYPERLINK \l _Toc8866 </w:instrText>
      </w:r>
      <w:r>
        <w:rPr>
          <w:caps/>
          <w:szCs w:val="20"/>
        </w:rPr>
        <w:fldChar w:fldCharType="separate"/>
      </w:r>
      <w:r>
        <w:rPr>
          <w:rFonts w:hint="default" w:ascii="黑体" w:hAnsi="黑体" w:cs="Times New Roman"/>
          <w:kern w:val="32"/>
          <w:szCs w:val="28"/>
        </w:rPr>
        <w:t xml:space="preserve">1. </w:t>
      </w:r>
      <w:r>
        <w:rPr>
          <w:rFonts w:ascii="黑体" w:hAnsi="黑体" w:cs="Times New Roman"/>
          <w:kern w:val="32"/>
          <w:szCs w:val="28"/>
        </w:rPr>
        <w:t>项目概况</w:t>
      </w:r>
      <w:r>
        <w:tab/>
      </w:r>
      <w:r>
        <w:fldChar w:fldCharType="begin"/>
      </w:r>
      <w:r>
        <w:instrText xml:space="preserve"> PAGEREF _Toc8866 \h </w:instrText>
      </w:r>
      <w:r>
        <w:fldChar w:fldCharType="separate"/>
      </w:r>
      <w:r>
        <w:t>3</w:t>
      </w:r>
      <w:r>
        <w:fldChar w:fldCharType="end"/>
      </w:r>
      <w:r>
        <w:rPr>
          <w:caps/>
          <w:szCs w:val="20"/>
        </w:rPr>
        <w:fldChar w:fldCharType="end"/>
      </w:r>
    </w:p>
    <w:p w14:paraId="6CCB1D41">
      <w:pPr>
        <w:pStyle w:val="17"/>
        <w:tabs>
          <w:tab w:val="right" w:leader="dot" w:pos="7910"/>
        </w:tabs>
      </w:pPr>
      <w:r>
        <w:rPr>
          <w:rFonts w:ascii="Times New Roman" w:hAnsi="Times New Roman" w:cs="Times New Roman"/>
          <w:bCs/>
          <w:lang w:val="zh-CN"/>
        </w:rPr>
        <w:fldChar w:fldCharType="begin"/>
      </w:r>
      <w:r>
        <w:rPr>
          <w:rFonts w:ascii="Times New Roman" w:hAnsi="Times New Roman" w:cs="Times New Roman"/>
          <w:bCs/>
          <w:lang w:val="zh-CN"/>
        </w:rPr>
        <w:instrText xml:space="preserve"> HYPERLINK \l _Toc307 </w:instrText>
      </w:r>
      <w:r>
        <w:rPr>
          <w:rFonts w:ascii="Times New Roman" w:hAnsi="Times New Roman" w:cs="Times New Roman"/>
          <w:bCs/>
          <w:lang w:val="zh-CN"/>
        </w:rPr>
        <w:fldChar w:fldCharType="separate"/>
      </w:r>
      <w:r>
        <w:rPr>
          <w:rFonts w:hint="eastAsia" w:ascii="Times New Roman" w:hAnsi="Times New Roman"/>
          <w:szCs w:val="24"/>
        </w:rPr>
        <w:t xml:space="preserve">1.1 </w:t>
      </w:r>
      <w:r>
        <w:rPr>
          <w:rFonts w:ascii="Times New Roman" w:hAnsi="Times New Roman"/>
          <w:szCs w:val="24"/>
        </w:rPr>
        <w:t>建筑基本信息</w:t>
      </w:r>
      <w:r>
        <w:tab/>
      </w:r>
      <w:r>
        <w:fldChar w:fldCharType="begin"/>
      </w:r>
      <w:r>
        <w:instrText xml:space="preserve"> PAGEREF _Toc307 \h </w:instrText>
      </w:r>
      <w:r>
        <w:fldChar w:fldCharType="separate"/>
      </w:r>
      <w:r>
        <w:t>3</w:t>
      </w:r>
      <w:r>
        <w:fldChar w:fldCharType="end"/>
      </w:r>
      <w:r>
        <w:rPr>
          <w:rFonts w:ascii="Times New Roman" w:hAnsi="Times New Roman" w:cs="Times New Roman"/>
          <w:bCs/>
          <w:lang w:val="zh-CN"/>
        </w:rPr>
        <w:fldChar w:fldCharType="end"/>
      </w:r>
    </w:p>
    <w:p w14:paraId="5DEDF3F6">
      <w:pPr>
        <w:pStyle w:val="17"/>
        <w:tabs>
          <w:tab w:val="right" w:leader="dot" w:pos="7910"/>
        </w:tabs>
      </w:pPr>
      <w:r>
        <w:rPr>
          <w:rFonts w:ascii="Times New Roman" w:hAnsi="Times New Roman" w:cs="Times New Roman"/>
          <w:bCs/>
          <w:lang w:val="zh-CN"/>
        </w:rPr>
        <w:fldChar w:fldCharType="begin"/>
      </w:r>
      <w:r>
        <w:rPr>
          <w:rFonts w:ascii="Times New Roman" w:hAnsi="Times New Roman" w:cs="Times New Roman"/>
          <w:bCs/>
          <w:lang w:val="zh-CN"/>
        </w:rPr>
        <w:instrText xml:space="preserve"> HYPERLINK \l _Toc13023 </w:instrText>
      </w:r>
      <w:r>
        <w:rPr>
          <w:rFonts w:ascii="Times New Roman" w:hAnsi="Times New Roman" w:cs="Times New Roman"/>
          <w:bCs/>
          <w:lang w:val="zh-CN"/>
        </w:rPr>
        <w:fldChar w:fldCharType="separate"/>
      </w:r>
      <w:r>
        <w:rPr>
          <w:rFonts w:hint="eastAsia" w:ascii="Times New Roman" w:hAnsi="Times New Roman"/>
          <w:szCs w:val="24"/>
        </w:rPr>
        <w:t xml:space="preserve">1.2 </w:t>
      </w:r>
      <w:r>
        <w:rPr>
          <w:rFonts w:ascii="Times New Roman" w:hAnsi="Times New Roman"/>
          <w:szCs w:val="24"/>
          <w:lang w:eastAsia="zh-CN"/>
        </w:rPr>
        <w:t>建筑平面</w:t>
      </w:r>
      <w:r>
        <w:rPr>
          <w:rFonts w:ascii="Times New Roman" w:hAnsi="Times New Roman"/>
          <w:szCs w:val="24"/>
        </w:rPr>
        <w:t>图</w:t>
      </w:r>
      <w:r>
        <w:tab/>
      </w:r>
      <w:r>
        <w:fldChar w:fldCharType="begin"/>
      </w:r>
      <w:r>
        <w:instrText xml:space="preserve"> PAGEREF _Toc13023 \h </w:instrText>
      </w:r>
      <w:r>
        <w:fldChar w:fldCharType="separate"/>
      </w:r>
      <w:r>
        <w:t>3</w:t>
      </w:r>
      <w:r>
        <w:fldChar w:fldCharType="end"/>
      </w:r>
      <w:r>
        <w:rPr>
          <w:rFonts w:ascii="Times New Roman" w:hAnsi="Times New Roman" w:cs="Times New Roman"/>
          <w:bCs/>
          <w:lang w:val="zh-CN"/>
        </w:rPr>
        <w:fldChar w:fldCharType="end"/>
      </w:r>
    </w:p>
    <w:p w14:paraId="7EEFF60A">
      <w:pPr>
        <w:pStyle w:val="17"/>
        <w:tabs>
          <w:tab w:val="right" w:leader="dot" w:pos="7910"/>
        </w:tabs>
      </w:pPr>
      <w:r>
        <w:rPr>
          <w:rFonts w:ascii="Times New Roman" w:hAnsi="Times New Roman" w:cs="Times New Roman"/>
          <w:bCs/>
          <w:lang w:val="zh-CN"/>
        </w:rPr>
        <w:fldChar w:fldCharType="begin"/>
      </w:r>
      <w:r>
        <w:rPr>
          <w:rFonts w:ascii="Times New Roman" w:hAnsi="Times New Roman" w:cs="Times New Roman"/>
          <w:bCs/>
          <w:lang w:val="zh-CN"/>
        </w:rPr>
        <w:instrText xml:space="preserve"> HYPERLINK \l _Toc21746 </w:instrText>
      </w:r>
      <w:r>
        <w:rPr>
          <w:rFonts w:ascii="Times New Roman" w:hAnsi="Times New Roman" w:cs="Times New Roman"/>
          <w:bCs/>
          <w:lang w:val="zh-CN"/>
        </w:rPr>
        <w:fldChar w:fldCharType="separate"/>
      </w:r>
      <w:r>
        <w:rPr>
          <w:rFonts w:hint="eastAsia" w:ascii="Times New Roman" w:hAnsi="Times New Roman"/>
          <w:szCs w:val="24"/>
        </w:rPr>
        <w:t xml:space="preserve">1.3 </w:t>
      </w:r>
      <w:r>
        <w:rPr>
          <w:rFonts w:ascii="Times New Roman" w:hAnsi="Times New Roman"/>
          <w:szCs w:val="24"/>
          <w:lang w:eastAsia="zh-CN"/>
        </w:rPr>
        <w:t>建筑</w:t>
      </w:r>
      <w:r>
        <w:rPr>
          <w:rFonts w:ascii="Times New Roman" w:hAnsi="Times New Roman"/>
          <w:szCs w:val="24"/>
        </w:rPr>
        <w:t>三维轴测图</w:t>
      </w:r>
      <w:r>
        <w:tab/>
      </w:r>
      <w:r>
        <w:fldChar w:fldCharType="begin"/>
      </w:r>
      <w:r>
        <w:instrText xml:space="preserve"> PAGEREF _Toc21746 \h </w:instrText>
      </w:r>
      <w:r>
        <w:fldChar w:fldCharType="separate"/>
      </w:r>
      <w:r>
        <w:t>5</w:t>
      </w:r>
      <w:r>
        <w:fldChar w:fldCharType="end"/>
      </w:r>
      <w:r>
        <w:rPr>
          <w:rFonts w:ascii="Times New Roman" w:hAnsi="Times New Roman" w:cs="Times New Roman"/>
          <w:bCs/>
          <w:lang w:val="zh-CN"/>
        </w:rPr>
        <w:fldChar w:fldCharType="end"/>
      </w:r>
    </w:p>
    <w:p w14:paraId="7C027391">
      <w:pPr>
        <w:pStyle w:val="16"/>
        <w:tabs>
          <w:tab w:val="right" w:leader="dot" w:pos="7910"/>
        </w:tabs>
      </w:pPr>
      <w:r>
        <w:rPr>
          <w:rFonts w:ascii="Times New Roman" w:hAnsi="Times New Roman" w:cs="Times New Roman"/>
          <w:bCs/>
          <w:lang w:val="zh-CN"/>
        </w:rPr>
        <w:fldChar w:fldCharType="begin"/>
      </w:r>
      <w:r>
        <w:rPr>
          <w:rFonts w:ascii="Times New Roman" w:hAnsi="Times New Roman" w:cs="Times New Roman"/>
          <w:bCs/>
          <w:lang w:val="zh-CN"/>
        </w:rPr>
        <w:instrText xml:space="preserve"> HYPERLINK \l _Toc11240 </w:instrText>
      </w:r>
      <w:r>
        <w:rPr>
          <w:rFonts w:ascii="Times New Roman" w:hAnsi="Times New Roman" w:cs="Times New Roman"/>
          <w:bCs/>
          <w:lang w:val="zh-CN"/>
        </w:rPr>
        <w:fldChar w:fldCharType="separate"/>
      </w:r>
      <w:r>
        <w:rPr>
          <w:rFonts w:hint="default" w:ascii="Arial" w:hAnsi="Arial" w:cs="Times New Roman"/>
          <w:kern w:val="32"/>
          <w:szCs w:val="28"/>
        </w:rPr>
        <w:t xml:space="preserve">2 </w:t>
      </w:r>
      <w:r>
        <w:rPr>
          <w:rFonts w:ascii="Times New Roman" w:hAnsi="Times New Roman" w:cs="Times New Roman"/>
          <w:kern w:val="32"/>
          <w:szCs w:val="28"/>
        </w:rPr>
        <w:t>参考标准</w:t>
      </w:r>
      <w:r>
        <w:tab/>
      </w:r>
      <w:r>
        <w:fldChar w:fldCharType="begin"/>
      </w:r>
      <w:r>
        <w:instrText xml:space="preserve"> PAGEREF _Toc11240 \h </w:instrText>
      </w:r>
      <w:r>
        <w:fldChar w:fldCharType="separate"/>
      </w:r>
      <w:r>
        <w:t>6</w:t>
      </w:r>
      <w:r>
        <w:fldChar w:fldCharType="end"/>
      </w:r>
      <w:r>
        <w:rPr>
          <w:rFonts w:ascii="Times New Roman" w:hAnsi="Times New Roman" w:cs="Times New Roman"/>
          <w:bCs/>
          <w:lang w:val="zh-CN"/>
        </w:rPr>
        <w:fldChar w:fldCharType="end"/>
      </w:r>
    </w:p>
    <w:p w14:paraId="5F66518C">
      <w:pPr>
        <w:pStyle w:val="16"/>
        <w:tabs>
          <w:tab w:val="right" w:leader="dot" w:pos="7910"/>
        </w:tabs>
      </w:pPr>
      <w:r>
        <w:rPr>
          <w:rFonts w:ascii="Times New Roman" w:hAnsi="Times New Roman" w:cs="Times New Roman"/>
          <w:bCs/>
          <w:lang w:val="zh-CN"/>
        </w:rPr>
        <w:fldChar w:fldCharType="begin"/>
      </w:r>
      <w:r>
        <w:rPr>
          <w:rFonts w:ascii="Times New Roman" w:hAnsi="Times New Roman" w:cs="Times New Roman"/>
          <w:bCs/>
          <w:lang w:val="zh-CN"/>
        </w:rPr>
        <w:instrText xml:space="preserve"> HYPERLINK \l _Toc2090 </w:instrText>
      </w:r>
      <w:r>
        <w:rPr>
          <w:rFonts w:ascii="Times New Roman" w:hAnsi="Times New Roman" w:cs="Times New Roman"/>
          <w:bCs/>
          <w:lang w:val="zh-CN"/>
        </w:rPr>
        <w:fldChar w:fldCharType="separate"/>
      </w:r>
      <w:r>
        <w:rPr>
          <w:rFonts w:hint="default" w:ascii="Arial" w:hAnsi="Arial" w:cs="Times New Roman"/>
          <w:kern w:val="32"/>
          <w:szCs w:val="28"/>
        </w:rPr>
        <w:t xml:space="preserve">3 </w:t>
      </w:r>
      <w:r>
        <w:rPr>
          <w:rFonts w:ascii="Times New Roman" w:hAnsi="Times New Roman" w:cs="Times New Roman"/>
          <w:kern w:val="32"/>
          <w:szCs w:val="28"/>
        </w:rPr>
        <w:t>评价标准</w:t>
      </w:r>
      <w:r>
        <w:tab/>
      </w:r>
      <w:r>
        <w:fldChar w:fldCharType="begin"/>
      </w:r>
      <w:r>
        <w:instrText xml:space="preserve"> PAGEREF _Toc2090 \h </w:instrText>
      </w:r>
      <w:r>
        <w:fldChar w:fldCharType="separate"/>
      </w:r>
      <w:r>
        <w:t>6</w:t>
      </w:r>
      <w:r>
        <w:fldChar w:fldCharType="end"/>
      </w:r>
      <w:r>
        <w:rPr>
          <w:rFonts w:ascii="Times New Roman" w:hAnsi="Times New Roman" w:cs="Times New Roman"/>
          <w:bCs/>
          <w:lang w:val="zh-CN"/>
        </w:rPr>
        <w:fldChar w:fldCharType="end"/>
      </w:r>
    </w:p>
    <w:p w14:paraId="4050EB23">
      <w:pPr>
        <w:pStyle w:val="16"/>
        <w:tabs>
          <w:tab w:val="right" w:leader="dot" w:pos="7910"/>
        </w:tabs>
      </w:pPr>
      <w:r>
        <w:rPr>
          <w:rFonts w:ascii="Times New Roman" w:hAnsi="Times New Roman" w:cs="Times New Roman"/>
          <w:bCs/>
          <w:lang w:val="zh-CN"/>
        </w:rPr>
        <w:fldChar w:fldCharType="begin"/>
      </w:r>
      <w:r>
        <w:rPr>
          <w:rFonts w:ascii="Times New Roman" w:hAnsi="Times New Roman" w:cs="Times New Roman"/>
          <w:bCs/>
          <w:lang w:val="zh-CN"/>
        </w:rPr>
        <w:instrText xml:space="preserve"> HYPERLINK \l _Toc17893 </w:instrText>
      </w:r>
      <w:r>
        <w:rPr>
          <w:rFonts w:ascii="Times New Roman" w:hAnsi="Times New Roman" w:cs="Times New Roman"/>
          <w:bCs/>
          <w:lang w:val="zh-CN"/>
        </w:rPr>
        <w:fldChar w:fldCharType="separate"/>
      </w:r>
      <w:r>
        <w:rPr>
          <w:rFonts w:hint="default" w:ascii="Arial" w:hAnsi="Arial" w:cs="Times New Roman"/>
          <w:kern w:val="32"/>
          <w:szCs w:val="28"/>
        </w:rPr>
        <w:t xml:space="preserve">4 </w:t>
      </w:r>
      <w:r>
        <w:rPr>
          <w:rFonts w:ascii="Times New Roman" w:hAnsi="Times New Roman" w:cs="Times New Roman"/>
          <w:kern w:val="32"/>
          <w:szCs w:val="28"/>
        </w:rPr>
        <w:t>计算原理</w:t>
      </w:r>
      <w:r>
        <w:tab/>
      </w:r>
      <w:r>
        <w:fldChar w:fldCharType="begin"/>
      </w:r>
      <w:r>
        <w:instrText xml:space="preserve"> PAGEREF _Toc17893 \h </w:instrText>
      </w:r>
      <w:r>
        <w:fldChar w:fldCharType="separate"/>
      </w:r>
      <w:r>
        <w:t>7</w:t>
      </w:r>
      <w:r>
        <w:fldChar w:fldCharType="end"/>
      </w:r>
      <w:r>
        <w:rPr>
          <w:rFonts w:ascii="Times New Roman" w:hAnsi="Times New Roman" w:cs="Times New Roman"/>
          <w:bCs/>
          <w:lang w:val="zh-CN"/>
        </w:rPr>
        <w:fldChar w:fldCharType="end"/>
      </w:r>
    </w:p>
    <w:p w14:paraId="397C9EA4">
      <w:pPr>
        <w:pStyle w:val="16"/>
        <w:tabs>
          <w:tab w:val="right" w:leader="dot" w:pos="7910"/>
        </w:tabs>
      </w:pPr>
      <w:r>
        <w:rPr>
          <w:rFonts w:ascii="Times New Roman" w:hAnsi="Times New Roman" w:cs="Times New Roman"/>
          <w:bCs/>
          <w:lang w:val="zh-CN"/>
        </w:rPr>
        <w:fldChar w:fldCharType="begin"/>
      </w:r>
      <w:r>
        <w:rPr>
          <w:rFonts w:ascii="Times New Roman" w:hAnsi="Times New Roman" w:cs="Times New Roman"/>
          <w:bCs/>
          <w:lang w:val="zh-CN"/>
        </w:rPr>
        <w:instrText xml:space="preserve"> HYPERLINK \l _Toc29534 </w:instrText>
      </w:r>
      <w:r>
        <w:rPr>
          <w:rFonts w:ascii="Times New Roman" w:hAnsi="Times New Roman" w:cs="Times New Roman"/>
          <w:bCs/>
          <w:lang w:val="zh-CN"/>
        </w:rPr>
        <w:fldChar w:fldCharType="separate"/>
      </w:r>
      <w:r>
        <w:rPr>
          <w:rFonts w:hint="default" w:ascii="Arial" w:hAnsi="Arial" w:cs="Times New Roman"/>
          <w:kern w:val="32"/>
          <w:szCs w:val="28"/>
        </w:rPr>
        <w:t xml:space="preserve">5 </w:t>
      </w:r>
      <w:r>
        <w:rPr>
          <w:rFonts w:ascii="Times New Roman" w:hAnsi="Times New Roman" w:cs="Times New Roman"/>
          <w:kern w:val="32"/>
          <w:szCs w:val="28"/>
        </w:rPr>
        <w:t>计算参数</w:t>
      </w:r>
      <w:r>
        <w:tab/>
      </w:r>
      <w:r>
        <w:fldChar w:fldCharType="begin"/>
      </w:r>
      <w:r>
        <w:instrText xml:space="preserve"> PAGEREF _Toc29534 \h </w:instrText>
      </w:r>
      <w:r>
        <w:fldChar w:fldCharType="separate"/>
      </w:r>
      <w:r>
        <w:t>7</w:t>
      </w:r>
      <w:r>
        <w:fldChar w:fldCharType="end"/>
      </w:r>
      <w:r>
        <w:rPr>
          <w:rFonts w:ascii="Times New Roman" w:hAnsi="Times New Roman" w:cs="Times New Roman"/>
          <w:bCs/>
          <w:lang w:val="zh-CN"/>
        </w:rPr>
        <w:fldChar w:fldCharType="end"/>
      </w:r>
    </w:p>
    <w:p w14:paraId="3A06EC09">
      <w:pPr>
        <w:pStyle w:val="17"/>
        <w:tabs>
          <w:tab w:val="right" w:leader="dot" w:pos="7910"/>
        </w:tabs>
      </w:pPr>
      <w:r>
        <w:rPr>
          <w:rFonts w:ascii="Times New Roman" w:hAnsi="Times New Roman" w:cs="Times New Roman"/>
          <w:bCs/>
          <w:lang w:val="zh-CN"/>
        </w:rPr>
        <w:fldChar w:fldCharType="begin"/>
      </w:r>
      <w:r>
        <w:rPr>
          <w:rFonts w:ascii="Times New Roman" w:hAnsi="Times New Roman" w:cs="Times New Roman"/>
          <w:bCs/>
          <w:lang w:val="zh-CN"/>
        </w:rPr>
        <w:instrText xml:space="preserve"> HYPERLINK \l _Toc23650 </w:instrText>
      </w:r>
      <w:r>
        <w:rPr>
          <w:rFonts w:ascii="Times New Roman" w:hAnsi="Times New Roman" w:cs="Times New Roman"/>
          <w:bCs/>
          <w:lang w:val="zh-CN"/>
        </w:rPr>
        <w:fldChar w:fldCharType="separate"/>
      </w:r>
      <w:r>
        <w:rPr>
          <w:rFonts w:hint="eastAsia" w:ascii="Times New Roman" w:hAnsi="Times New Roman"/>
          <w:szCs w:val="24"/>
          <w:lang w:eastAsia="zh-CN"/>
        </w:rPr>
        <w:t xml:space="preserve">5.1 </w:t>
      </w:r>
      <w:r>
        <w:rPr>
          <w:rFonts w:ascii="Times New Roman" w:hAnsi="Times New Roman"/>
          <w:szCs w:val="24"/>
          <w:lang w:eastAsia="zh-CN"/>
        </w:rPr>
        <w:t>渗透风量</w:t>
      </w:r>
      <w:r>
        <w:tab/>
      </w:r>
      <w:r>
        <w:fldChar w:fldCharType="begin"/>
      </w:r>
      <w:r>
        <w:instrText xml:space="preserve"> PAGEREF _Toc23650 \h </w:instrText>
      </w:r>
      <w:r>
        <w:fldChar w:fldCharType="separate"/>
      </w:r>
      <w:r>
        <w:t>7</w:t>
      </w:r>
      <w:r>
        <w:fldChar w:fldCharType="end"/>
      </w:r>
      <w:r>
        <w:rPr>
          <w:rFonts w:ascii="Times New Roman" w:hAnsi="Times New Roman" w:cs="Times New Roman"/>
          <w:bCs/>
          <w:lang w:val="zh-CN"/>
        </w:rPr>
        <w:fldChar w:fldCharType="end"/>
      </w:r>
    </w:p>
    <w:p w14:paraId="2CD2E6BA">
      <w:pPr>
        <w:pStyle w:val="17"/>
        <w:tabs>
          <w:tab w:val="right" w:leader="dot" w:pos="7910"/>
        </w:tabs>
      </w:pPr>
      <w:r>
        <w:rPr>
          <w:rFonts w:ascii="Times New Roman" w:hAnsi="Times New Roman" w:cs="Times New Roman"/>
          <w:bCs/>
          <w:lang w:val="zh-CN"/>
        </w:rPr>
        <w:fldChar w:fldCharType="begin"/>
      </w:r>
      <w:r>
        <w:rPr>
          <w:rFonts w:ascii="Times New Roman" w:hAnsi="Times New Roman" w:cs="Times New Roman"/>
          <w:bCs/>
          <w:lang w:val="zh-CN"/>
        </w:rPr>
        <w:instrText xml:space="preserve"> HYPERLINK \l _Toc7350 </w:instrText>
      </w:r>
      <w:r>
        <w:rPr>
          <w:rFonts w:ascii="Times New Roman" w:hAnsi="Times New Roman" w:cs="Times New Roman"/>
          <w:bCs/>
          <w:lang w:val="zh-CN"/>
        </w:rPr>
        <w:fldChar w:fldCharType="separate"/>
      </w:r>
      <w:r>
        <w:rPr>
          <w:rFonts w:hint="eastAsia" w:ascii="Times New Roman" w:hAnsi="Times New Roman"/>
          <w:szCs w:val="24"/>
          <w:lang w:eastAsia="zh-CN"/>
        </w:rPr>
        <w:t xml:space="preserve">5.2 </w:t>
      </w:r>
      <w:r>
        <w:rPr>
          <w:rFonts w:ascii="Times New Roman" w:hAnsi="Times New Roman"/>
          <w:szCs w:val="24"/>
          <w:lang w:eastAsia="zh-CN"/>
        </w:rPr>
        <w:t>室内装修信息</w:t>
      </w:r>
      <w:r>
        <w:tab/>
      </w:r>
      <w:r>
        <w:fldChar w:fldCharType="begin"/>
      </w:r>
      <w:r>
        <w:instrText xml:space="preserve"> PAGEREF _Toc7350 \h </w:instrText>
      </w:r>
      <w:r>
        <w:fldChar w:fldCharType="separate"/>
      </w:r>
      <w:r>
        <w:t>8</w:t>
      </w:r>
      <w:r>
        <w:fldChar w:fldCharType="end"/>
      </w:r>
      <w:r>
        <w:rPr>
          <w:rFonts w:ascii="Times New Roman" w:hAnsi="Times New Roman" w:cs="Times New Roman"/>
          <w:bCs/>
          <w:lang w:val="zh-CN"/>
        </w:rPr>
        <w:fldChar w:fldCharType="end"/>
      </w:r>
    </w:p>
    <w:p w14:paraId="217770D2">
      <w:pPr>
        <w:pStyle w:val="16"/>
        <w:tabs>
          <w:tab w:val="right" w:leader="dot" w:pos="7910"/>
        </w:tabs>
      </w:pPr>
      <w:r>
        <w:rPr>
          <w:rFonts w:ascii="Times New Roman" w:hAnsi="Times New Roman" w:cs="Times New Roman"/>
          <w:bCs/>
          <w:lang w:val="zh-CN"/>
        </w:rPr>
        <w:fldChar w:fldCharType="begin"/>
      </w:r>
      <w:r>
        <w:rPr>
          <w:rFonts w:ascii="Times New Roman" w:hAnsi="Times New Roman" w:cs="Times New Roman"/>
          <w:bCs/>
          <w:lang w:val="zh-CN"/>
        </w:rPr>
        <w:instrText xml:space="preserve"> HYPERLINK \l _Toc14989 </w:instrText>
      </w:r>
      <w:r>
        <w:rPr>
          <w:rFonts w:ascii="Times New Roman" w:hAnsi="Times New Roman" w:cs="Times New Roman"/>
          <w:bCs/>
          <w:lang w:val="zh-CN"/>
        </w:rPr>
        <w:fldChar w:fldCharType="separate"/>
      </w:r>
      <w:r>
        <w:rPr>
          <w:rFonts w:hint="default" w:ascii="Arial" w:hAnsi="Arial" w:cs="Times New Roman"/>
          <w:kern w:val="32"/>
          <w:szCs w:val="28"/>
        </w:rPr>
        <w:t xml:space="preserve">6 </w:t>
      </w:r>
      <w:r>
        <w:rPr>
          <w:rFonts w:ascii="Times New Roman" w:hAnsi="Times New Roman" w:cs="Times New Roman"/>
          <w:kern w:val="32"/>
          <w:szCs w:val="28"/>
        </w:rPr>
        <w:t>计算结果</w:t>
      </w:r>
      <w:r>
        <w:tab/>
      </w:r>
      <w:r>
        <w:fldChar w:fldCharType="begin"/>
      </w:r>
      <w:r>
        <w:instrText xml:space="preserve"> PAGEREF _Toc14989 \h </w:instrText>
      </w:r>
      <w:r>
        <w:fldChar w:fldCharType="separate"/>
      </w:r>
      <w:r>
        <w:t>8</w:t>
      </w:r>
      <w:r>
        <w:fldChar w:fldCharType="end"/>
      </w:r>
      <w:r>
        <w:rPr>
          <w:rFonts w:ascii="Times New Roman" w:hAnsi="Times New Roman" w:cs="Times New Roman"/>
          <w:bCs/>
          <w:lang w:val="zh-CN"/>
        </w:rPr>
        <w:fldChar w:fldCharType="end"/>
      </w:r>
    </w:p>
    <w:p w14:paraId="705D1275">
      <w:pPr>
        <w:pStyle w:val="16"/>
        <w:tabs>
          <w:tab w:val="right" w:leader="dot" w:pos="7910"/>
        </w:tabs>
      </w:pPr>
      <w:r>
        <w:rPr>
          <w:rFonts w:ascii="Times New Roman" w:hAnsi="Times New Roman" w:cs="Times New Roman"/>
          <w:bCs/>
          <w:lang w:val="zh-CN"/>
        </w:rPr>
        <w:fldChar w:fldCharType="begin"/>
      </w:r>
      <w:r>
        <w:rPr>
          <w:rFonts w:ascii="Times New Roman" w:hAnsi="Times New Roman" w:cs="Times New Roman"/>
          <w:bCs/>
          <w:lang w:val="zh-CN"/>
        </w:rPr>
        <w:instrText xml:space="preserve"> HYPERLINK \l _Toc4548 </w:instrText>
      </w:r>
      <w:r>
        <w:rPr>
          <w:rFonts w:ascii="Times New Roman" w:hAnsi="Times New Roman" w:cs="Times New Roman"/>
          <w:bCs/>
          <w:lang w:val="zh-CN"/>
        </w:rPr>
        <w:fldChar w:fldCharType="separate"/>
      </w:r>
      <w:r>
        <w:rPr>
          <w:rFonts w:hint="default" w:ascii="Arial" w:hAnsi="Arial" w:cs="Times New Roman"/>
          <w:kern w:val="32"/>
          <w:szCs w:val="28"/>
        </w:rPr>
        <w:t xml:space="preserve">7 </w:t>
      </w:r>
      <w:r>
        <w:rPr>
          <w:rFonts w:ascii="Times New Roman" w:hAnsi="Times New Roman" w:cs="Times New Roman"/>
          <w:kern w:val="32"/>
          <w:szCs w:val="28"/>
        </w:rPr>
        <w:t>结论</w:t>
      </w:r>
      <w:r>
        <w:tab/>
      </w:r>
      <w:r>
        <w:fldChar w:fldCharType="begin"/>
      </w:r>
      <w:r>
        <w:instrText xml:space="preserve"> PAGEREF _Toc4548 \h </w:instrText>
      </w:r>
      <w:r>
        <w:fldChar w:fldCharType="separate"/>
      </w:r>
      <w:r>
        <w:t>10</w:t>
      </w:r>
      <w:r>
        <w:fldChar w:fldCharType="end"/>
      </w:r>
      <w:r>
        <w:rPr>
          <w:rFonts w:ascii="Times New Roman" w:hAnsi="Times New Roman" w:cs="Times New Roman"/>
          <w:bCs/>
          <w:lang w:val="zh-CN"/>
        </w:rPr>
        <w:fldChar w:fldCharType="end"/>
      </w:r>
    </w:p>
    <w:p w14:paraId="6C1BEF96">
      <w:pPr>
        <w:spacing w:line="360" w:lineRule="auto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Cs/>
          <w:lang w:val="zh-CN"/>
        </w:rPr>
        <w:fldChar w:fldCharType="end"/>
      </w:r>
      <w:bookmarkEnd w:id="8"/>
    </w:p>
    <w:p w14:paraId="6269CE7C">
      <w:pPr>
        <w:rPr>
          <w:rFonts w:ascii="Times New Roman" w:hAnsi="Times New Roman" w:cs="Times New Roman"/>
          <w:sz w:val="32"/>
        </w:rPr>
      </w:pPr>
    </w:p>
    <w:p w14:paraId="252AAD9D">
      <w:pPr>
        <w:rPr>
          <w:rFonts w:ascii="Times New Roman" w:hAnsi="Times New Roman" w:cs="Times New Roman"/>
          <w:sz w:val="32"/>
        </w:rPr>
      </w:pPr>
    </w:p>
    <w:p w14:paraId="39E25954">
      <w:pPr>
        <w:rPr>
          <w:rFonts w:ascii="Times New Roman" w:hAnsi="Times New Roman" w:cs="Times New Roman"/>
          <w:sz w:val="32"/>
        </w:rPr>
      </w:pPr>
    </w:p>
    <w:p w14:paraId="2849ACFD">
      <w:pPr>
        <w:rPr>
          <w:rFonts w:ascii="Times New Roman" w:hAnsi="Times New Roman" w:cs="Times New Roman"/>
          <w:sz w:val="32"/>
        </w:rPr>
      </w:pPr>
    </w:p>
    <w:p w14:paraId="4DA0EC2C">
      <w:pPr>
        <w:jc w:val="center"/>
        <w:rPr>
          <w:rFonts w:ascii="Times New Roman" w:hAnsi="Times New Roman" w:cs="Times New Roman"/>
          <w:sz w:val="32"/>
        </w:rPr>
      </w:pPr>
    </w:p>
    <w:p w14:paraId="4D33FA21">
      <w:pPr>
        <w:rPr>
          <w:rFonts w:ascii="Times New Roman" w:hAnsi="Times New Roman" w:cs="Times New Roman"/>
          <w:sz w:val="32"/>
        </w:rPr>
      </w:pPr>
    </w:p>
    <w:p w14:paraId="1D3F3F6F">
      <w:pPr>
        <w:rPr>
          <w:rFonts w:ascii="Times New Roman" w:hAnsi="Times New Roman" w:cs="Times New Roman"/>
          <w:sz w:val="32"/>
        </w:rPr>
        <w:sectPr>
          <w:footerReference r:id="rId7" w:type="first"/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1440" w:right="1800" w:bottom="1440" w:left="1800" w:header="851" w:footer="170" w:gutter="397"/>
          <w:cols w:space="720" w:num="1"/>
          <w:titlePg/>
          <w:docGrid w:type="lines" w:linePitch="312" w:charSpace="0"/>
        </w:sectPr>
      </w:pPr>
    </w:p>
    <w:p w14:paraId="1B85DB26">
      <w:pPr>
        <w:spacing w:before="156"/>
        <w:rPr>
          <w:rFonts w:ascii="Times New Roman" w:hAnsi="Times New Roman" w:cs="Times New Roman"/>
        </w:rPr>
      </w:pPr>
    </w:p>
    <w:p w14:paraId="61C52F2C">
      <w:pPr>
        <w:pStyle w:val="2"/>
        <w:keepLines w:val="0"/>
        <w:widowControl/>
        <w:numPr>
          <w:ilvl w:val="0"/>
          <w:numId w:val="2"/>
        </w:numPr>
        <w:tabs>
          <w:tab w:val="left" w:pos="432"/>
        </w:tabs>
        <w:kinsoku w:val="0"/>
        <w:spacing w:before="240" w:after="60" w:line="240" w:lineRule="auto"/>
        <w:ind w:left="432" w:hanging="432"/>
        <w:jc w:val="left"/>
        <w:rPr>
          <w:rFonts w:ascii="黑体" w:hAnsi="黑体" w:cs="Times New Roman"/>
          <w:kern w:val="32"/>
          <w:sz w:val="28"/>
          <w:szCs w:val="28"/>
        </w:rPr>
      </w:pPr>
      <w:bookmarkStart w:id="9" w:name="_Toc8866"/>
      <w:r>
        <w:rPr>
          <w:rFonts w:ascii="黑体" w:hAnsi="黑体" w:cs="Times New Roman"/>
          <w:kern w:val="32"/>
          <w:sz w:val="28"/>
          <w:szCs w:val="28"/>
        </w:rPr>
        <w:t>项目概况</w:t>
      </w:r>
      <w:bookmarkEnd w:id="9"/>
    </w:p>
    <w:p w14:paraId="42218632">
      <w:pPr>
        <w:pStyle w:val="3"/>
        <w:rPr>
          <w:rFonts w:ascii="Times New Roman" w:hAnsi="Times New Roman"/>
          <w:sz w:val="24"/>
          <w:szCs w:val="24"/>
        </w:rPr>
      </w:pPr>
      <w:bookmarkStart w:id="10" w:name="_Toc307"/>
      <w:r>
        <w:rPr>
          <w:rFonts w:ascii="Times New Roman" w:hAnsi="Times New Roman"/>
          <w:sz w:val="24"/>
          <w:szCs w:val="24"/>
        </w:rPr>
        <w:t>建筑基本信息</w:t>
      </w:r>
      <w:bookmarkEnd w:id="10"/>
    </w:p>
    <w:tbl>
      <w:tblPr>
        <w:tblStyle w:val="19"/>
        <w:tblW w:w="76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551"/>
        <w:gridCol w:w="1134"/>
        <w:gridCol w:w="2551"/>
      </w:tblGrid>
      <w:tr w14:paraId="7AB7C5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13" w:type="dxa"/>
            <w:shd w:val="clear" w:color="auto" w:fill="D8D8D8" w:themeFill="background1" w:themeFillShade="D9"/>
            <w:noWrap/>
            <w:vAlign w:val="bottom"/>
          </w:tcPr>
          <w:p w14:paraId="1273D73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建筑用途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14:paraId="7220CF0D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多层公共建筑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34" w:type="dxa"/>
            <w:shd w:val="clear" w:color="auto" w:fill="D8D8D8" w:themeFill="background1" w:themeFillShade="D9"/>
            <w:noWrap/>
            <w:vAlign w:val="bottom"/>
          </w:tcPr>
          <w:p w14:paraId="23B8217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地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理位置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14:paraId="30C810E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 </w:t>
            </w:r>
            <w:bookmarkStart w:id="11" w:name="地区"/>
            <w:r>
              <w:t>桂林</w:t>
            </w:r>
            <w:bookmarkEnd w:id="11"/>
          </w:p>
        </w:tc>
      </w:tr>
      <w:tr w14:paraId="4D1F77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13" w:type="dxa"/>
            <w:shd w:val="clear" w:color="auto" w:fill="D8D8D8" w:themeFill="background1" w:themeFillShade="D9"/>
            <w:noWrap/>
            <w:vAlign w:val="bottom"/>
          </w:tcPr>
          <w:p w14:paraId="1C60637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建筑面积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14:paraId="7EA74896">
            <w:pPr>
              <w:jc w:val="center"/>
              <w:rPr>
                <w:rFonts w:ascii="Times New Roman" w:hAnsi="Times New Roman" w:cs="Times New Roman" w:eastAsiaTheme="minorHAnsi"/>
                <w:color w:val="000000"/>
                <w:kern w:val="0"/>
                <w:szCs w:val="21"/>
                <w:vertAlign w:val="superscript"/>
              </w:rPr>
            </w:pPr>
            <w:r>
              <w:rPr>
                <w:rFonts w:hint="eastAsia" w:ascii="Times New Roman" w:hAnsi="Times New Roman" w:cs="Times New Roman" w:eastAsiaTheme="minorHAnsi"/>
                <w:color w:val="000000"/>
                <w:kern w:val="0"/>
                <w:szCs w:val="21"/>
                <w:lang w:val="en-US" w:eastAsia="zh-CN"/>
              </w:rPr>
              <w:t>223.04</w:t>
            </w:r>
            <w:r>
              <w:rPr>
                <w:rFonts w:ascii="Times New Roman" w:hAnsi="Times New Roman" w:cs="Times New Roman" w:eastAsiaTheme="minorHAnsi"/>
                <w:color w:val="000000"/>
                <w:kern w:val="0"/>
                <w:szCs w:val="21"/>
              </w:rPr>
              <w:t>m</w:t>
            </w:r>
            <w:r>
              <w:rPr>
                <w:rFonts w:ascii="Times New Roman" w:hAnsi="Times New Roman" w:cs="Times New Roman" w:eastAsiaTheme="minorHAnsi"/>
                <w:color w:val="000000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D8D8D8" w:themeFill="background1" w:themeFillShade="D9"/>
            <w:noWrap/>
            <w:vAlign w:val="bottom"/>
          </w:tcPr>
          <w:p w14:paraId="3FB90B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建筑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高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度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14:paraId="519412C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>8.39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m</w:t>
            </w:r>
          </w:p>
        </w:tc>
      </w:tr>
      <w:tr w14:paraId="42D02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13" w:type="dxa"/>
            <w:shd w:val="clear" w:color="auto" w:fill="D8D8D8" w:themeFill="background1" w:themeFillShade="D9"/>
            <w:noWrap/>
            <w:vAlign w:val="bottom"/>
          </w:tcPr>
          <w:p w14:paraId="77119B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项目周期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14:paraId="55C6B43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34" w:type="dxa"/>
            <w:shd w:val="clear" w:color="auto" w:fill="D8D8D8" w:themeFill="background1" w:themeFillShade="D9"/>
            <w:noWrap/>
            <w:vAlign w:val="bottom"/>
          </w:tcPr>
          <w:p w14:paraId="5960D9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交付状态</w:t>
            </w:r>
          </w:p>
        </w:tc>
        <w:tc>
          <w:tcPr>
            <w:tcW w:w="2551" w:type="dxa"/>
            <w:shd w:val="clear" w:color="auto" w:fill="auto"/>
            <w:noWrap/>
            <w:vAlign w:val="bottom"/>
          </w:tcPr>
          <w:p w14:paraId="36FB278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</w:tbl>
    <w:p w14:paraId="71E1583D">
      <w:pPr>
        <w:rPr>
          <w:rFonts w:ascii="Times New Roman" w:hAnsi="Times New Roman" w:cs="Times New Roman"/>
          <w:lang w:val="zh-CN" w:eastAsia="zh-CN"/>
        </w:rPr>
      </w:pPr>
    </w:p>
    <w:p w14:paraId="67A932F4">
      <w:pPr>
        <w:pStyle w:val="3"/>
        <w:rPr>
          <w:rFonts w:ascii="Times New Roman" w:hAnsi="Times New Roman"/>
          <w:sz w:val="24"/>
          <w:szCs w:val="24"/>
        </w:rPr>
      </w:pPr>
      <w:bookmarkStart w:id="12" w:name="_Toc13023"/>
      <w:r>
        <w:rPr>
          <w:rFonts w:ascii="Times New Roman" w:hAnsi="Times New Roman"/>
          <w:sz w:val="24"/>
          <w:szCs w:val="24"/>
          <w:lang w:eastAsia="zh-CN"/>
        </w:rPr>
        <w:t>建筑平面</w:t>
      </w:r>
      <w:r>
        <w:rPr>
          <w:rFonts w:ascii="Times New Roman" w:hAnsi="Times New Roman"/>
          <w:sz w:val="24"/>
          <w:szCs w:val="24"/>
        </w:rPr>
        <w:t>图</w:t>
      </w:r>
      <w:bookmarkEnd w:id="12"/>
    </w:p>
    <w:p w14:paraId="44BDE09C">
      <w:pPr>
        <w:rPr>
          <w:rFonts w:ascii="Times New Roman" w:hAnsi="Times New Roman" w:cs="Times New Roman"/>
          <w:highlight w:val="red"/>
          <w:lang w:val="zh-CN" w:eastAsia="zh-CN"/>
        </w:rPr>
      </w:pPr>
    </w:p>
    <w:p w14:paraId="787593EC">
      <w:pPr>
        <w:jc w:val="center"/>
        <w:rPr>
          <w:rFonts w:ascii="微软雅黑" w:hAnsi="微软雅黑" w:eastAsia="微软雅黑" w:cs="Times New Roman"/>
          <w:b/>
          <w:sz w:val="18"/>
          <w:lang w:val="zh-CN" w:eastAsia="zh-CN"/>
        </w:rPr>
      </w:pPr>
      <w:bookmarkStart w:id="13" w:name="平面图"/>
      <w:bookmarkEnd w:id="13"/>
      <w:r>
        <w:drawing>
          <wp:inline distT="0" distB="0" distL="0" distR="0">
            <wp:extent cx="4419600" cy="523684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23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E2843">
      <w:pPr>
        <w:jc w:val="center"/>
        <w:rPr>
          <w:rFonts w:ascii="微软雅黑" w:hAnsi="微软雅黑" w:eastAsia="微软雅黑" w:cs="Times New Roman"/>
          <w:b/>
          <w:sz w:val="18"/>
          <w:lang w:val="zh-CN" w:eastAsia="zh-CN"/>
        </w:rPr>
      </w:pPr>
      <w:r>
        <w:rPr>
          <w:rFonts w:ascii="微软雅黑" w:hAnsi="微软雅黑" w:eastAsia="微软雅黑" w:cs="Times New Roman"/>
          <w:b/>
          <w:sz w:val="18"/>
          <w:lang w:val="zh-CN" w:eastAsia="zh-CN"/>
        </w:rPr>
        <w:t>1层平面</w:t>
      </w:r>
    </w:p>
    <w:p w14:paraId="62C99452">
      <w:pPr>
        <w:jc w:val="center"/>
        <w:rPr>
          <w:rFonts w:ascii="微软雅黑" w:hAnsi="微软雅黑" w:eastAsia="微软雅黑" w:cs="Times New Roman"/>
          <w:b/>
          <w:sz w:val="18"/>
          <w:lang w:val="zh-CN" w:eastAsia="zh-CN"/>
        </w:rPr>
      </w:pPr>
      <w:r>
        <w:drawing>
          <wp:inline distT="0" distB="0" distL="0" distR="0">
            <wp:extent cx="5667375" cy="39052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5A9D9">
      <w:pPr>
        <w:jc w:val="center"/>
        <w:rPr>
          <w:rFonts w:ascii="微软雅黑" w:hAnsi="微软雅黑" w:eastAsia="微软雅黑" w:cs="Times New Roman"/>
          <w:b/>
          <w:sz w:val="18"/>
          <w:lang w:val="zh-CN" w:eastAsia="zh-CN"/>
        </w:rPr>
      </w:pPr>
      <w:r>
        <w:rPr>
          <w:rFonts w:ascii="微软雅黑" w:hAnsi="微软雅黑" w:eastAsia="微软雅黑" w:cs="Times New Roman"/>
          <w:b/>
          <w:sz w:val="18"/>
          <w:lang w:val="zh-CN" w:eastAsia="zh-CN"/>
        </w:rPr>
        <w:t>2层平面</w:t>
      </w:r>
    </w:p>
    <w:p w14:paraId="5203EB6F">
      <w:pPr>
        <w:jc w:val="center"/>
        <w:rPr>
          <w:rFonts w:ascii="微软雅黑" w:hAnsi="微软雅黑" w:eastAsia="微软雅黑" w:cs="Times New Roman"/>
          <w:b/>
          <w:sz w:val="18"/>
          <w:lang w:val="zh-CN" w:eastAsia="zh-CN"/>
        </w:rPr>
      </w:pPr>
    </w:p>
    <w:p w14:paraId="7F546DAD">
      <w:pPr>
        <w:jc w:val="center"/>
        <w:rPr>
          <w:rFonts w:ascii="Times New Roman" w:hAnsi="Times New Roman" w:cs="Times New Roman"/>
          <w:lang w:val="zh-CN" w:eastAsia="zh-CN"/>
        </w:rPr>
      </w:pPr>
    </w:p>
    <w:p w14:paraId="6F2567F7">
      <w:pPr>
        <w:pStyle w:val="3"/>
        <w:rPr>
          <w:rFonts w:ascii="Times New Roman" w:hAnsi="Times New Roman"/>
          <w:sz w:val="24"/>
          <w:szCs w:val="24"/>
        </w:rPr>
      </w:pPr>
      <w:bookmarkStart w:id="14" w:name="_Toc21746"/>
      <w:r>
        <w:rPr>
          <w:rFonts w:ascii="Times New Roman" w:hAnsi="Times New Roman"/>
          <w:sz w:val="24"/>
          <w:szCs w:val="24"/>
          <w:lang w:eastAsia="zh-CN"/>
        </w:rPr>
        <w:t>建筑</w:t>
      </w:r>
      <w:r>
        <w:rPr>
          <w:rFonts w:ascii="Times New Roman" w:hAnsi="Times New Roman"/>
          <w:sz w:val="24"/>
          <w:szCs w:val="24"/>
        </w:rPr>
        <w:t>三维轴测图</w:t>
      </w:r>
      <w:bookmarkEnd w:id="14"/>
    </w:p>
    <w:p w14:paraId="13A91E04">
      <w:pPr>
        <w:jc w:val="center"/>
        <w:rPr>
          <w:rFonts w:ascii="Times New Roman" w:hAnsi="Times New Roman" w:cs="Times New Roman"/>
          <w:lang w:val="zh-CN" w:eastAsia="zh-CN"/>
        </w:rPr>
      </w:pPr>
    </w:p>
    <w:tbl>
      <w:tblPr>
        <w:tblStyle w:val="2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6"/>
      </w:tblGrid>
      <w:tr w14:paraId="1BE86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7" w:type="dxa"/>
          </w:tcPr>
          <w:p w14:paraId="064AB5BE">
            <w:pPr>
              <w:jc w:val="center"/>
              <w:rPr>
                <w:rFonts w:ascii="微软雅黑" w:hAnsi="微软雅黑" w:eastAsia="微软雅黑" w:cs="Times New Roman"/>
                <w:b/>
                <w:sz w:val="18"/>
                <w:szCs w:val="18"/>
                <w:lang w:val="zh-CN" w:eastAsia="zh-CN"/>
              </w:rPr>
            </w:pPr>
            <w:bookmarkStart w:id="15" w:name="三维视图"/>
            <w:bookmarkEnd w:id="15"/>
            <w:r>
              <w:drawing>
                <wp:inline distT="0" distB="0" distL="0" distR="0">
                  <wp:extent cx="5181600" cy="2971800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1600" cy="297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94EE01">
      <w:pPr>
        <w:jc w:val="center"/>
        <w:rPr>
          <w:rFonts w:ascii="Times New Roman" w:hAnsi="Times New Roman" w:cs="Times New Roman"/>
          <w:lang w:val="zh-CN" w:eastAsia="zh-CN"/>
        </w:rPr>
      </w:pPr>
    </w:p>
    <w:p w14:paraId="5D074FF9">
      <w:pPr>
        <w:pStyle w:val="2"/>
        <w:keepLines w:val="0"/>
        <w:widowControl/>
        <w:numPr>
          <w:ilvl w:val="0"/>
          <w:numId w:val="1"/>
        </w:numPr>
        <w:kinsoku w:val="0"/>
        <w:spacing w:before="240" w:after="60" w:line="240" w:lineRule="auto"/>
        <w:jc w:val="left"/>
        <w:rPr>
          <w:rFonts w:ascii="Times New Roman" w:hAnsi="Times New Roman" w:cs="Times New Roman"/>
          <w:kern w:val="32"/>
          <w:sz w:val="28"/>
          <w:szCs w:val="28"/>
        </w:rPr>
      </w:pPr>
      <w:bookmarkStart w:id="16" w:name="_Toc11240"/>
      <w:r>
        <w:rPr>
          <w:rFonts w:ascii="Times New Roman" w:hAnsi="Times New Roman" w:cs="Times New Roman"/>
          <w:kern w:val="32"/>
          <w:sz w:val="28"/>
          <w:szCs w:val="28"/>
        </w:rPr>
        <w:t>参考标准</w:t>
      </w:r>
      <w:bookmarkEnd w:id="16"/>
    </w:p>
    <w:p w14:paraId="5F0D6FB3">
      <w:pPr>
        <w:pStyle w:val="37"/>
        <w:numPr>
          <w:ilvl w:val="2"/>
          <w:numId w:val="3"/>
        </w:numPr>
        <w:spacing w:line="400" w:lineRule="exact"/>
        <w:ind w:firstLineChars="0"/>
        <w:rPr>
          <w:rFonts w:ascii="Times New Roman" w:hAnsi="Times New Roman"/>
        </w:rPr>
      </w:pPr>
      <w:bookmarkStart w:id="17" w:name="标准名称"/>
      <w:r>
        <w:t>《绿色建筑评价标准》GB/T 50378-2019</w:t>
      </w:r>
      <w:bookmarkEnd w:id="17"/>
    </w:p>
    <w:p w14:paraId="289525BA">
      <w:pPr>
        <w:pStyle w:val="37"/>
        <w:numPr>
          <w:ilvl w:val="2"/>
          <w:numId w:val="3"/>
        </w:numPr>
        <w:spacing w:line="400" w:lineRule="exact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《住宅建筑室内装修污染控制技术标准》JGJ/T 436</w:t>
      </w:r>
    </w:p>
    <w:p w14:paraId="3D99826C">
      <w:pPr>
        <w:pStyle w:val="37"/>
        <w:numPr>
          <w:ilvl w:val="2"/>
          <w:numId w:val="3"/>
        </w:numPr>
        <w:spacing w:line="400" w:lineRule="exact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《公共建筑室内空气质量控制设计标准》JGJ/T 461</w:t>
      </w:r>
    </w:p>
    <w:p w14:paraId="19BF9E8D">
      <w:pPr>
        <w:pStyle w:val="37"/>
        <w:numPr>
          <w:ilvl w:val="2"/>
          <w:numId w:val="3"/>
        </w:numPr>
        <w:spacing w:line="400" w:lineRule="exact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《室内空气质量标准》GB/T 18883</w:t>
      </w:r>
    </w:p>
    <w:p w14:paraId="59709603">
      <w:pPr>
        <w:pStyle w:val="37"/>
        <w:numPr>
          <w:ilvl w:val="2"/>
          <w:numId w:val="3"/>
        </w:numPr>
        <w:spacing w:line="400" w:lineRule="exact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《建筑外门窗气密、水密、抗风压性能分级及检测方法》GB/T 7106</w:t>
      </w:r>
    </w:p>
    <w:p w14:paraId="468ABDAA">
      <w:pPr>
        <w:pStyle w:val="37"/>
        <w:numPr>
          <w:ilvl w:val="2"/>
          <w:numId w:val="3"/>
        </w:numPr>
        <w:spacing w:line="400" w:lineRule="exact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《民用建筑工程室内环境污染控制规范》GB 50325</w:t>
      </w:r>
    </w:p>
    <w:p w14:paraId="35DC514D">
      <w:pPr>
        <w:pStyle w:val="37"/>
        <w:numPr>
          <w:ilvl w:val="2"/>
          <w:numId w:val="3"/>
        </w:numPr>
        <w:spacing w:line="400" w:lineRule="exact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《民用建筑供暖通风与空气调节设计规范》GB50736</w:t>
      </w:r>
    </w:p>
    <w:p w14:paraId="16E651D2">
      <w:pPr>
        <w:pStyle w:val="2"/>
        <w:keepLines w:val="0"/>
        <w:widowControl/>
        <w:numPr>
          <w:ilvl w:val="0"/>
          <w:numId w:val="1"/>
        </w:numPr>
        <w:kinsoku w:val="0"/>
        <w:spacing w:before="240" w:after="60" w:line="240" w:lineRule="auto"/>
        <w:jc w:val="left"/>
        <w:rPr>
          <w:rFonts w:ascii="Times New Roman" w:hAnsi="Times New Roman" w:cs="Times New Roman"/>
          <w:kern w:val="32"/>
          <w:sz w:val="28"/>
          <w:szCs w:val="28"/>
        </w:rPr>
      </w:pPr>
      <w:bookmarkStart w:id="18" w:name="_Toc2090"/>
      <w:r>
        <w:rPr>
          <w:rFonts w:ascii="Times New Roman" w:hAnsi="Times New Roman" w:cs="Times New Roman"/>
          <w:kern w:val="32"/>
          <w:sz w:val="28"/>
          <w:szCs w:val="28"/>
        </w:rPr>
        <w:t>评价标准</w:t>
      </w:r>
      <w:bookmarkEnd w:id="18"/>
    </w:p>
    <w:p w14:paraId="1B7C01BB">
      <w:pPr>
        <w:spacing w:before="156"/>
        <w:ind w:firstLine="420" w:firstLineChars="200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本项目主要依据</w:t>
      </w:r>
      <w:bookmarkStart w:id="19" w:name="标准名称1"/>
      <w:r>
        <w:t>《绿色建筑评价标准》GB/T 50378-2019</w:t>
      </w:r>
      <w:bookmarkEnd w:id="19"/>
      <w:r>
        <w:rPr>
          <w:rFonts w:ascii="Times New Roman" w:hAnsi="Times New Roman" w:cs="Times New Roman"/>
          <w:color w:val="000000"/>
          <w:kern w:val="0"/>
          <w:szCs w:val="21"/>
        </w:rPr>
        <w:t>，对有机挥发性污染物浓度进行计算及评</w:t>
      </w:r>
      <w:r>
        <w:rPr>
          <w:rFonts w:hint="eastAsia" w:ascii="Times New Roman" w:hAnsi="Times New Roman" w:cs="Times New Roman"/>
          <w:color w:val="000000"/>
          <w:kern w:val="0"/>
          <w:szCs w:val="21"/>
        </w:rPr>
        <w:t>价</w:t>
      </w:r>
      <w:r>
        <w:rPr>
          <w:rFonts w:ascii="Times New Roman" w:hAnsi="Times New Roman" w:cs="Times New Roman"/>
          <w:color w:val="000000"/>
          <w:kern w:val="0"/>
          <w:szCs w:val="21"/>
        </w:rPr>
        <w:t>，包括控制项、评分项及加分项，对应条款如下：</w:t>
      </w:r>
    </w:p>
    <w:tbl>
      <w:tblPr>
        <w:tblStyle w:val="19"/>
        <w:tblW w:w="92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196"/>
      </w:tblGrid>
      <w:tr w14:paraId="497E3A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shd w:val="clear" w:color="auto" w:fill="D0CECE"/>
            <w:noWrap/>
            <w:vAlign w:val="center"/>
          </w:tcPr>
          <w:p w14:paraId="41B74DC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检查项</w:t>
            </w:r>
          </w:p>
        </w:tc>
        <w:tc>
          <w:tcPr>
            <w:tcW w:w="8196" w:type="dxa"/>
            <w:shd w:val="clear" w:color="auto" w:fill="D0CECE"/>
            <w:noWrap/>
            <w:vAlign w:val="center"/>
          </w:tcPr>
          <w:p w14:paraId="2836FE0F">
            <w:pPr>
              <w:jc w:val="center"/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评价依据</w:t>
            </w:r>
          </w:p>
        </w:tc>
      </w:tr>
      <w:tr w14:paraId="16E287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01" w:type="dxa"/>
            <w:shd w:val="clear" w:color="auto" w:fill="D0CECE"/>
            <w:noWrap/>
            <w:vAlign w:val="center"/>
          </w:tcPr>
          <w:p w14:paraId="09E357D9">
            <w:pPr>
              <w:jc w:val="center"/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技术要求</w:t>
            </w:r>
          </w:p>
          <w:p w14:paraId="38E17977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3.2.8</w:t>
            </w:r>
          </w:p>
        </w:tc>
        <w:tc>
          <w:tcPr>
            <w:tcW w:w="8196" w:type="dxa"/>
            <w:shd w:val="clear" w:color="auto" w:fill="auto"/>
            <w:vAlign w:val="center"/>
          </w:tcPr>
          <w:p w14:paraId="6CA8B354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室内空气中的氨、甲醛、苯、总挥发性有机物、氡、可吸入颗粒物等主要污染物浓度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9"/>
                <w:szCs w:val="19"/>
              </w:rPr>
              <w:t>比《室内空气质量标准》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GB/T18883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9"/>
                <w:szCs w:val="19"/>
              </w:rPr>
              <w:t>的要求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降低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9"/>
                <w:szCs w:val="19"/>
              </w:rPr>
              <w:t>的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比例，达到10%为一星级要求；达到20%为二星级和三星级要求。</w:t>
            </w:r>
          </w:p>
        </w:tc>
      </w:tr>
      <w:tr w14:paraId="6BD015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01" w:type="dxa"/>
            <w:shd w:val="clear" w:color="auto" w:fill="D0CECE"/>
            <w:noWrap/>
            <w:vAlign w:val="center"/>
          </w:tcPr>
          <w:p w14:paraId="2F04C142">
            <w:pPr>
              <w:jc w:val="center"/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控制项</w:t>
            </w:r>
          </w:p>
          <w:p w14:paraId="33ADCAA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5.1.1</w:t>
            </w:r>
          </w:p>
        </w:tc>
        <w:tc>
          <w:tcPr>
            <w:tcW w:w="8196" w:type="dxa"/>
            <w:shd w:val="clear" w:color="auto" w:fill="auto"/>
          </w:tcPr>
          <w:p w14:paraId="63D25B64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室内空气中的氨、甲醛、苯、总挥发性有机物TVOC、氡等污染物浓度应符合现行国家标准《室内空气质量标准》GB/T18883的有关规定。</w:t>
            </w:r>
          </w:p>
        </w:tc>
      </w:tr>
      <w:tr w14:paraId="3C53D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1101" w:type="dxa"/>
            <w:shd w:val="clear" w:color="auto" w:fill="D0CECE"/>
            <w:vAlign w:val="center"/>
          </w:tcPr>
          <w:p w14:paraId="27E20FCD">
            <w:pPr>
              <w:jc w:val="center"/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评分项</w:t>
            </w:r>
          </w:p>
          <w:p w14:paraId="32DEC61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5.2.1</w:t>
            </w:r>
          </w:p>
        </w:tc>
        <w:tc>
          <w:tcPr>
            <w:tcW w:w="8196" w:type="dxa"/>
            <w:vAlign w:val="center"/>
          </w:tcPr>
          <w:p w14:paraId="312AB9A4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室内空气中的氨、甲醛、苯、总挥发性有机物TVOC、氡等污染物浓度低于现行国家标准《室内空气质量标准》GB/T18883规定限值的10%，得3分；低于20%，得6分；</w:t>
            </w:r>
          </w:p>
        </w:tc>
      </w:tr>
    </w:tbl>
    <w:p w14:paraId="1A4DDD5A">
      <w:pPr>
        <w:spacing w:before="120" w:after="120"/>
        <w:ind w:left="-426" w:firstLine="426"/>
        <w:jc w:val="left"/>
        <w:rPr>
          <w:rFonts w:ascii="Times New Roman" w:hAnsi="Times New Roman" w:eastAsia="黑体" w:cs="Times New Roman"/>
          <w:b/>
          <w:sz w:val="18"/>
        </w:rPr>
      </w:pPr>
      <w:r>
        <w:rPr>
          <w:rFonts w:ascii="Times New Roman" w:hAnsi="Times New Roman" w:eastAsia="黑体" w:cs="Times New Roman"/>
          <w:b/>
          <w:sz w:val="18"/>
        </w:rPr>
        <w:t xml:space="preserve">说明：依据绿标细则，预评价阶段仅对室内空气中的甲醛、苯和TVOC进行浓度评估。 </w:t>
      </w:r>
    </w:p>
    <w:p w14:paraId="257975B0">
      <w:pPr>
        <w:spacing w:before="120" w:after="120"/>
        <w:jc w:val="left"/>
        <w:rPr>
          <w:rFonts w:ascii="Times New Roman" w:hAnsi="Times New Roman" w:cs="Times New Roman"/>
          <w:kern w:val="0"/>
          <w:sz w:val="24"/>
          <w:szCs w:val="20"/>
          <w:lang w:val="en-GB"/>
        </w:rPr>
      </w:pPr>
      <w:r>
        <w:rPr>
          <w:rFonts w:ascii="Times New Roman" w:hAnsi="Times New Roman" w:cs="Times New Roman"/>
          <w:lang w:val="zh-CN"/>
        </w:rPr>
        <w:t>下面为《室内空气质量标准》GB/T 18883中关于不同类别污染物浓度的限值：</w:t>
      </w:r>
      <w:r>
        <w:rPr>
          <w:rFonts w:ascii="Times New Roman" w:hAnsi="Times New Roman" w:cs="Times New Roman"/>
          <w:kern w:val="0"/>
          <w:sz w:val="24"/>
          <w:szCs w:val="20"/>
          <w:lang w:val="en-GB"/>
        </w:rPr>
        <w:t xml:space="preserve"> </w:t>
      </w:r>
    </w:p>
    <w:tbl>
      <w:tblPr>
        <w:tblStyle w:val="19"/>
        <w:tblW w:w="93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276"/>
        <w:gridCol w:w="992"/>
        <w:gridCol w:w="851"/>
        <w:gridCol w:w="1942"/>
        <w:gridCol w:w="1743"/>
        <w:gridCol w:w="1701"/>
      </w:tblGrid>
      <w:tr w14:paraId="4286D2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restart"/>
            <w:shd w:val="clear" w:color="000000" w:fill="D0CECE"/>
            <w:noWrap/>
            <w:vAlign w:val="center"/>
          </w:tcPr>
          <w:p w14:paraId="6826531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  <w:t>类别</w:t>
            </w:r>
          </w:p>
        </w:tc>
        <w:tc>
          <w:tcPr>
            <w:tcW w:w="1276" w:type="dxa"/>
            <w:shd w:val="clear" w:color="000000" w:fill="D0CECE"/>
            <w:noWrap/>
            <w:vAlign w:val="center"/>
          </w:tcPr>
          <w:p w14:paraId="4B31D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甲醛HCHO</w:t>
            </w:r>
          </w:p>
        </w:tc>
        <w:tc>
          <w:tcPr>
            <w:tcW w:w="992" w:type="dxa"/>
            <w:shd w:val="clear" w:color="000000" w:fill="D0CECE"/>
            <w:noWrap/>
            <w:vAlign w:val="center"/>
          </w:tcPr>
          <w:p w14:paraId="4FE7D4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苯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  <w:t>H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vertAlign w:val="subscript"/>
              </w:rPr>
              <w:t>6</w:t>
            </w:r>
          </w:p>
        </w:tc>
        <w:tc>
          <w:tcPr>
            <w:tcW w:w="851" w:type="dxa"/>
            <w:shd w:val="clear" w:color="000000" w:fill="D0CECE"/>
            <w:vAlign w:val="center"/>
          </w:tcPr>
          <w:p w14:paraId="6777E16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氨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  <w:t>NH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  <w:vertAlign w:val="subscript"/>
              </w:rPr>
              <w:t>3</w:t>
            </w:r>
          </w:p>
        </w:tc>
        <w:tc>
          <w:tcPr>
            <w:tcW w:w="1942" w:type="dxa"/>
            <w:shd w:val="clear" w:color="000000" w:fill="D0CECE"/>
            <w:vAlign w:val="center"/>
          </w:tcPr>
          <w:p w14:paraId="69EF94A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总挥发性有机物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  <w:t>TVOC</w:t>
            </w:r>
          </w:p>
        </w:tc>
        <w:tc>
          <w:tcPr>
            <w:tcW w:w="1743" w:type="dxa"/>
            <w:shd w:val="clear" w:color="000000" w:fill="D0CECE"/>
            <w:noWrap/>
            <w:vAlign w:val="center"/>
          </w:tcPr>
          <w:p w14:paraId="5B56D9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氡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19"/>
              </w:rPr>
              <w:t>Rn</w:t>
            </w:r>
          </w:p>
        </w:tc>
        <w:tc>
          <w:tcPr>
            <w:tcW w:w="1701" w:type="dxa"/>
            <w:shd w:val="clear" w:color="000000" w:fill="D0CECE"/>
            <w:vAlign w:val="center"/>
          </w:tcPr>
          <w:p w14:paraId="6BCDDBA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19"/>
              </w:rPr>
              <w:t>PM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19"/>
                <w:vertAlign w:val="subscript"/>
              </w:rPr>
              <w:t>10</w:t>
            </w:r>
          </w:p>
        </w:tc>
      </w:tr>
      <w:tr w14:paraId="28DCEF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vMerge w:val="continue"/>
            <w:shd w:val="clear" w:color="000000" w:fill="D0CECE"/>
            <w:noWrap/>
            <w:vAlign w:val="center"/>
          </w:tcPr>
          <w:p w14:paraId="69ACC112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3119" w:type="dxa"/>
            <w:gridSpan w:val="3"/>
            <w:shd w:val="clear" w:color="auto" w:fill="D0CECE" w:themeFill="background2" w:themeFillShade="E6"/>
            <w:noWrap/>
            <w:vAlign w:val="center"/>
          </w:tcPr>
          <w:p w14:paraId="5E361AA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1小时均值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 xml:space="preserve"> （mg/m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）</w:t>
            </w:r>
          </w:p>
        </w:tc>
        <w:tc>
          <w:tcPr>
            <w:tcW w:w="1942" w:type="dxa"/>
            <w:shd w:val="clear" w:color="auto" w:fill="D0CECE" w:themeFill="background2" w:themeFillShade="E6"/>
            <w:vAlign w:val="center"/>
          </w:tcPr>
          <w:p w14:paraId="7A89598D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8小时均值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（mg/m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）</w:t>
            </w:r>
          </w:p>
        </w:tc>
        <w:tc>
          <w:tcPr>
            <w:tcW w:w="1743" w:type="dxa"/>
            <w:shd w:val="clear" w:color="auto" w:fill="D0CECE" w:themeFill="background2" w:themeFillShade="E6"/>
            <w:vAlign w:val="center"/>
          </w:tcPr>
          <w:p w14:paraId="53412FC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年均值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（Bq/ m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）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6FBB55F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日均值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（mg/m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）</w:t>
            </w:r>
          </w:p>
        </w:tc>
      </w:tr>
      <w:tr w14:paraId="2DC201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1" w:type="dxa"/>
            <w:shd w:val="clear" w:color="000000" w:fill="D0CECE"/>
            <w:noWrap/>
            <w:vAlign w:val="center"/>
          </w:tcPr>
          <w:p w14:paraId="4D3A51A3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限值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C7588E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  <w:t>0.10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F2F919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  <w:t>0.11</w:t>
            </w:r>
          </w:p>
        </w:tc>
        <w:tc>
          <w:tcPr>
            <w:tcW w:w="851" w:type="dxa"/>
            <w:vAlign w:val="center"/>
          </w:tcPr>
          <w:p w14:paraId="26917203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  <w:t>0.20</w:t>
            </w:r>
          </w:p>
        </w:tc>
        <w:tc>
          <w:tcPr>
            <w:tcW w:w="1942" w:type="dxa"/>
            <w:vAlign w:val="center"/>
          </w:tcPr>
          <w:p w14:paraId="6C8B1C8F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  <w:t>0.60</w:t>
            </w:r>
          </w:p>
        </w:tc>
        <w:tc>
          <w:tcPr>
            <w:tcW w:w="1743" w:type="dxa"/>
            <w:shd w:val="clear" w:color="auto" w:fill="auto"/>
            <w:noWrap/>
            <w:vAlign w:val="center"/>
          </w:tcPr>
          <w:p w14:paraId="2B6A42E7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  <w:t>400</w:t>
            </w:r>
          </w:p>
        </w:tc>
        <w:tc>
          <w:tcPr>
            <w:tcW w:w="1701" w:type="dxa"/>
            <w:vAlign w:val="center"/>
          </w:tcPr>
          <w:p w14:paraId="2E7673B0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  <w:t>0.15</w:t>
            </w:r>
          </w:p>
        </w:tc>
      </w:tr>
    </w:tbl>
    <w:p w14:paraId="019E137D">
      <w:pPr>
        <w:tabs>
          <w:tab w:val="left" w:pos="426"/>
        </w:tabs>
        <w:rPr>
          <w:rFonts w:ascii="Times New Roman" w:hAnsi="Times New Roman" w:eastAsia="黑体" w:cs="Times New Roman"/>
          <w:b/>
          <w:sz w:val="18"/>
        </w:rPr>
      </w:pPr>
      <w:r>
        <w:rPr>
          <w:rFonts w:ascii="Times New Roman" w:hAnsi="Times New Roman" w:eastAsia="黑体" w:cs="Times New Roman"/>
          <w:b/>
          <w:sz w:val="18"/>
        </w:rPr>
        <w:t xml:space="preserve">说明：氡为放射性元素，单位Bq表示放射活度。 </w:t>
      </w:r>
    </w:p>
    <w:p w14:paraId="1BE6146D">
      <w:pPr>
        <w:spacing w:before="120"/>
        <w:rPr>
          <w:rFonts w:ascii="Times New Roman" w:hAnsi="Times New Roman" w:cs="Times New Roman"/>
          <w:lang w:val="zh-CN"/>
        </w:rPr>
      </w:pPr>
      <w:r>
        <w:rPr>
          <w:rFonts w:ascii="Times New Roman" w:hAnsi="Times New Roman" w:cs="Times New Roman"/>
          <w:lang w:val="zh-CN"/>
        </w:rPr>
        <w:t>《绿色建筑评价标准》GB50378-2019中对室内有机挥发污染物浓度的控制要求如下表：</w:t>
      </w:r>
    </w:p>
    <w:tbl>
      <w:tblPr>
        <w:tblStyle w:val="19"/>
        <w:tblW w:w="93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090"/>
        <w:gridCol w:w="992"/>
        <w:gridCol w:w="992"/>
        <w:gridCol w:w="1843"/>
        <w:gridCol w:w="1701"/>
        <w:gridCol w:w="1726"/>
      </w:tblGrid>
      <w:tr w14:paraId="3E13D7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78" w:type="dxa"/>
            <w:vMerge w:val="restart"/>
            <w:shd w:val="clear" w:color="auto" w:fill="D0CECE"/>
            <w:vAlign w:val="center"/>
          </w:tcPr>
          <w:p w14:paraId="5518FE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</w:rPr>
              <w:t>星级</w:t>
            </w:r>
          </w:p>
        </w:tc>
        <w:tc>
          <w:tcPr>
            <w:tcW w:w="1090" w:type="dxa"/>
            <w:shd w:val="clear" w:color="auto" w:fill="D0CECE"/>
            <w:noWrap/>
            <w:vAlign w:val="center"/>
          </w:tcPr>
          <w:p w14:paraId="65ABF8D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甲醛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</w:rPr>
              <w:t>HCHO</w:t>
            </w:r>
          </w:p>
        </w:tc>
        <w:tc>
          <w:tcPr>
            <w:tcW w:w="992" w:type="dxa"/>
            <w:shd w:val="clear" w:color="auto" w:fill="D0CECE"/>
            <w:noWrap/>
            <w:vAlign w:val="center"/>
          </w:tcPr>
          <w:p w14:paraId="2E6E7C8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苯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19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19"/>
              </w:rPr>
              <w:t>H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  <w:vertAlign w:val="subscript"/>
              </w:rPr>
              <w:t>6</w:t>
            </w:r>
          </w:p>
        </w:tc>
        <w:tc>
          <w:tcPr>
            <w:tcW w:w="992" w:type="dxa"/>
            <w:shd w:val="clear" w:color="auto" w:fill="D0CECE"/>
            <w:noWrap/>
            <w:vAlign w:val="center"/>
          </w:tcPr>
          <w:p w14:paraId="1E3E5F9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氨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19"/>
              </w:rPr>
              <w:t>NH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  <w:vertAlign w:val="subscript"/>
              </w:rPr>
              <w:t>3</w:t>
            </w:r>
          </w:p>
        </w:tc>
        <w:tc>
          <w:tcPr>
            <w:tcW w:w="1843" w:type="dxa"/>
            <w:shd w:val="clear" w:color="auto" w:fill="D0CECE"/>
            <w:noWrap/>
            <w:vAlign w:val="center"/>
          </w:tcPr>
          <w:p w14:paraId="433704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总挥发性有机物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19"/>
              </w:rPr>
              <w:t>TVOC</w:t>
            </w:r>
          </w:p>
        </w:tc>
        <w:tc>
          <w:tcPr>
            <w:tcW w:w="1701" w:type="dxa"/>
            <w:shd w:val="clear" w:color="auto" w:fill="D0CECE"/>
            <w:noWrap/>
            <w:vAlign w:val="center"/>
          </w:tcPr>
          <w:p w14:paraId="292AD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氡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19"/>
              </w:rPr>
              <w:t>Rn</w:t>
            </w:r>
          </w:p>
        </w:tc>
        <w:tc>
          <w:tcPr>
            <w:tcW w:w="1726" w:type="dxa"/>
            <w:shd w:val="clear" w:color="auto" w:fill="D0CECE"/>
            <w:noWrap/>
            <w:vAlign w:val="center"/>
          </w:tcPr>
          <w:p w14:paraId="19AB9E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19"/>
              </w:rPr>
              <w:t>PM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9"/>
              </w:rPr>
              <w:t xml:space="preserve"> </w:t>
            </w:r>
          </w:p>
        </w:tc>
      </w:tr>
      <w:tr w14:paraId="40ECF3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978" w:type="dxa"/>
            <w:vMerge w:val="continue"/>
            <w:shd w:val="clear" w:color="auto" w:fill="D0CECE"/>
            <w:vAlign w:val="center"/>
          </w:tcPr>
          <w:p w14:paraId="39C1FBA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9"/>
              </w:rPr>
            </w:pPr>
          </w:p>
        </w:tc>
        <w:tc>
          <w:tcPr>
            <w:tcW w:w="3074" w:type="dxa"/>
            <w:gridSpan w:val="3"/>
            <w:shd w:val="clear" w:color="auto" w:fill="D0CECE" w:themeFill="background2" w:themeFillShade="E6"/>
            <w:noWrap/>
            <w:vAlign w:val="center"/>
          </w:tcPr>
          <w:p w14:paraId="50077A9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1小时均值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（mg/m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9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）</w:t>
            </w:r>
          </w:p>
        </w:tc>
        <w:tc>
          <w:tcPr>
            <w:tcW w:w="1843" w:type="dxa"/>
            <w:shd w:val="clear" w:color="auto" w:fill="D0CECE" w:themeFill="background2" w:themeFillShade="E6"/>
            <w:noWrap/>
            <w:vAlign w:val="center"/>
          </w:tcPr>
          <w:p w14:paraId="3F64FFC0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8小时均值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（mg/m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9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）</w:t>
            </w:r>
          </w:p>
        </w:tc>
        <w:tc>
          <w:tcPr>
            <w:tcW w:w="1701" w:type="dxa"/>
            <w:shd w:val="clear" w:color="auto" w:fill="D0CECE" w:themeFill="background2" w:themeFillShade="E6"/>
            <w:noWrap/>
            <w:vAlign w:val="center"/>
          </w:tcPr>
          <w:p w14:paraId="16EBF68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年均值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（Bq/m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9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）</w:t>
            </w:r>
          </w:p>
        </w:tc>
        <w:tc>
          <w:tcPr>
            <w:tcW w:w="1726" w:type="dxa"/>
            <w:shd w:val="clear" w:color="auto" w:fill="D0CECE" w:themeFill="background2" w:themeFillShade="E6"/>
            <w:noWrap/>
            <w:vAlign w:val="center"/>
          </w:tcPr>
          <w:p w14:paraId="589AB58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日均值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（mg/m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9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 w:val="19"/>
                <w:szCs w:val="19"/>
              </w:rPr>
              <w:t>）</w:t>
            </w:r>
          </w:p>
        </w:tc>
      </w:tr>
      <w:tr w14:paraId="6401B7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78" w:type="dxa"/>
            <w:shd w:val="clear" w:color="auto" w:fill="D0CECE" w:themeFill="background2" w:themeFillShade="E6"/>
            <w:noWrap/>
            <w:vAlign w:val="center"/>
          </w:tcPr>
          <w:p w14:paraId="3E86699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一星级</w:t>
            </w:r>
          </w:p>
        </w:tc>
        <w:tc>
          <w:tcPr>
            <w:tcW w:w="1090" w:type="dxa"/>
            <w:shd w:val="clear" w:color="auto" w:fill="auto"/>
            <w:noWrap/>
            <w:vAlign w:val="center"/>
          </w:tcPr>
          <w:p w14:paraId="6AA00F5A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＜0.09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F661A9B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＜0.099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BAE7C0F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＜0.18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183BFBA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＜0.54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E5268D3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＜360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14:paraId="08D709B6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＜0.135</w:t>
            </w:r>
          </w:p>
        </w:tc>
      </w:tr>
      <w:tr w14:paraId="02420B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78" w:type="dxa"/>
            <w:shd w:val="clear" w:color="auto" w:fill="D0CECE" w:themeFill="background2" w:themeFillShade="E6"/>
            <w:noWrap/>
            <w:vAlign w:val="center"/>
          </w:tcPr>
          <w:p w14:paraId="42122B84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二星级</w:t>
            </w:r>
          </w:p>
        </w:tc>
        <w:tc>
          <w:tcPr>
            <w:tcW w:w="1090" w:type="dxa"/>
            <w:vMerge w:val="restart"/>
            <w:shd w:val="clear" w:color="auto" w:fill="auto"/>
            <w:noWrap/>
            <w:vAlign w:val="center"/>
          </w:tcPr>
          <w:p w14:paraId="65C33F56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＜0.08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27905CC0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＜0.088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14:paraId="43F0B55A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＜0.16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vAlign w:val="center"/>
          </w:tcPr>
          <w:p w14:paraId="337C3075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＜0.48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</w:tcPr>
          <w:p w14:paraId="5CB9FAA7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＜320</w:t>
            </w:r>
          </w:p>
        </w:tc>
        <w:tc>
          <w:tcPr>
            <w:tcW w:w="1726" w:type="dxa"/>
            <w:vMerge w:val="restart"/>
            <w:shd w:val="clear" w:color="auto" w:fill="auto"/>
            <w:noWrap/>
            <w:vAlign w:val="center"/>
          </w:tcPr>
          <w:p w14:paraId="565E0822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18"/>
                <w:szCs w:val="19"/>
              </w:rPr>
              <w:t>＜0.12</w:t>
            </w:r>
          </w:p>
        </w:tc>
      </w:tr>
      <w:tr w14:paraId="73C32F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78" w:type="dxa"/>
            <w:shd w:val="clear" w:color="auto" w:fill="D0CECE" w:themeFill="background2" w:themeFillShade="E6"/>
            <w:noWrap/>
            <w:vAlign w:val="center"/>
          </w:tcPr>
          <w:p w14:paraId="17B24C56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19"/>
                <w:szCs w:val="19"/>
              </w:rPr>
            </w:pPr>
            <w:r>
              <w:rPr>
                <w:rFonts w:cs="Times New Roman" w:eastAsiaTheme="minorHAnsi"/>
                <w:color w:val="000000"/>
                <w:kern w:val="0"/>
                <w:sz w:val="20"/>
                <w:szCs w:val="20"/>
              </w:rPr>
              <w:t>三星级</w:t>
            </w:r>
          </w:p>
        </w:tc>
        <w:tc>
          <w:tcPr>
            <w:tcW w:w="1090" w:type="dxa"/>
            <w:vMerge w:val="continue"/>
            <w:vAlign w:val="center"/>
          </w:tcPr>
          <w:p w14:paraId="16F199E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CF3579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B38C9F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0B10D24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 w:val="continue"/>
            <w:vAlign w:val="center"/>
          </w:tcPr>
          <w:p w14:paraId="4A0EB4A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6" w:type="dxa"/>
            <w:vMerge w:val="continue"/>
            <w:vAlign w:val="center"/>
          </w:tcPr>
          <w:p w14:paraId="62263DE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911C34E">
      <w:pPr>
        <w:spacing w:before="120"/>
        <w:rPr>
          <w:rFonts w:ascii="Times New Roman" w:hAnsi="Times New Roman" w:cs="Times New Roman"/>
          <w:lang w:val="zh-CN"/>
        </w:rPr>
      </w:pPr>
    </w:p>
    <w:p w14:paraId="5892316F">
      <w:pPr>
        <w:pStyle w:val="2"/>
        <w:keepLines w:val="0"/>
        <w:widowControl/>
        <w:numPr>
          <w:ilvl w:val="0"/>
          <w:numId w:val="1"/>
        </w:numPr>
        <w:kinsoku w:val="0"/>
        <w:spacing w:before="240" w:after="60" w:line="240" w:lineRule="auto"/>
        <w:jc w:val="left"/>
        <w:rPr>
          <w:rFonts w:ascii="Times New Roman" w:hAnsi="Times New Roman" w:cs="Times New Roman"/>
          <w:kern w:val="32"/>
          <w:sz w:val="28"/>
          <w:szCs w:val="28"/>
        </w:rPr>
      </w:pPr>
      <w:bookmarkStart w:id="20" w:name="_Toc17893"/>
      <w:r>
        <w:rPr>
          <w:rFonts w:ascii="Times New Roman" w:hAnsi="Times New Roman" w:cs="Times New Roman"/>
          <w:kern w:val="32"/>
          <w:sz w:val="28"/>
          <w:szCs w:val="28"/>
        </w:rPr>
        <w:t>计算原理</w:t>
      </w:r>
      <w:bookmarkEnd w:id="20"/>
    </w:p>
    <w:p w14:paraId="1D6BDF79">
      <w:pPr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室内污染物浓度控制需综合考虑建筑情况、室内装修设计方案、装修材料的种类和使用量、室内新风量、环境温度等诸多影响因素，以各种装修材料、家具制品主要污染物的释放特征（如释放速率）为基础，控制污染物的总量。</w:t>
      </w:r>
    </w:p>
    <w:p w14:paraId="7C405ACD"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zh-CN"/>
        </w:rPr>
        <w:t>本项目</w:t>
      </w:r>
      <w:r>
        <w:rPr>
          <w:rFonts w:hint="eastAsia" w:ascii="Times New Roman" w:hAnsi="Times New Roman" w:cs="Times New Roman"/>
        </w:rPr>
        <w:t>依据装修设计方案，通过选择典型功能房间（卧室、客厅、办公室等）使用的</w:t>
      </w:r>
      <w:r>
        <w:rPr>
          <w:rFonts w:ascii="Times New Roman" w:hAnsi="Times New Roman" w:cs="Times New Roman"/>
        </w:rPr>
        <w:t>3</w:t>
      </w:r>
      <w:r>
        <w:rPr>
          <w:rFonts w:ascii="MS Gothic" w:hAnsi="MS Gothic" w:cs="MS Gothic"/>
        </w:rPr>
        <w:t>〜</w:t>
      </w:r>
      <w:r>
        <w:rPr>
          <w:rFonts w:ascii="Times New Roman" w:hAnsi="Times New Roman" w:cs="Times New Roman"/>
        </w:rPr>
        <w:t>5种</w:t>
      </w:r>
      <w:r>
        <w:rPr>
          <w:rFonts w:hint="eastAsia" w:ascii="Times New Roman" w:hAnsi="Times New Roman" w:cs="Times New Roman"/>
        </w:rPr>
        <w:t>主要建材</w:t>
      </w:r>
      <w:r>
        <w:rPr>
          <w:rFonts w:ascii="Times New Roman" w:hAnsi="Times New Roman" w:cs="Times New Roman"/>
        </w:rPr>
        <w:t>及固定家具制品，</w:t>
      </w:r>
      <w:r>
        <w:rPr>
          <w:rFonts w:ascii="Times New Roman" w:hAnsi="Times New Roman" w:cs="Times New Roman"/>
          <w:lang w:val="zh-CN"/>
        </w:rPr>
        <w:t>输入装修材料信息、房间用量及建材用量，对</w:t>
      </w:r>
      <w:r>
        <w:rPr>
          <w:rFonts w:ascii="Times New Roman" w:hAnsi="Times New Roman" w:cs="Times New Roman"/>
        </w:rPr>
        <w:t>室内空气中甲醛、苯、总挥发性有机物</w:t>
      </w:r>
      <w:r>
        <w:rPr>
          <w:rFonts w:ascii="Times New Roman" w:hAnsi="Times New Roman" w:cs="Times New Roman"/>
          <w:lang w:val="zh-CN"/>
        </w:rPr>
        <w:t>浓度进行计算，如下图所示：</w:t>
      </w:r>
      <w:r>
        <w:rPr>
          <w:rFonts w:ascii="Times New Roman" w:hAnsi="Times New Roman" w:cs="Times New Roman"/>
          <w:color w:val="000000"/>
          <w:lang w:val="zh-CN" w:eastAsia="zh-CN"/>
        </w:rPr>
        <w:t xml:space="preserve"> </w:t>
      </w:r>
    </w:p>
    <w:p w14:paraId="1B420D86">
      <w:pPr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3398520" cy="180149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00596" cy="1802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8FD55">
      <w:pPr>
        <w:jc w:val="center"/>
        <w:rPr>
          <w:rFonts w:ascii="微软雅黑" w:hAnsi="微软雅黑" w:eastAsia="微软雅黑" w:cs="Times New Roman"/>
          <w:b/>
          <w:sz w:val="18"/>
          <w:szCs w:val="18"/>
          <w:lang w:val="zh-CN" w:eastAsia="zh-CN"/>
        </w:rPr>
      </w:pPr>
      <w:r>
        <w:rPr>
          <w:rFonts w:ascii="微软雅黑" w:hAnsi="微软雅黑" w:eastAsia="微软雅黑" w:cs="Times New Roman"/>
          <w:b/>
          <w:sz w:val="18"/>
          <w:szCs w:val="18"/>
        </w:rPr>
        <w:t xml:space="preserve">   </w:t>
      </w:r>
      <w:r>
        <w:rPr>
          <w:rFonts w:hint="eastAsia" w:ascii="微软雅黑" w:hAnsi="微软雅黑" w:eastAsia="微软雅黑" w:cs="Times New Roman"/>
          <w:b/>
          <w:sz w:val="18"/>
          <w:szCs w:val="18"/>
        </w:rPr>
        <w:t xml:space="preserve"> </w:t>
      </w:r>
      <w:r>
        <w:rPr>
          <w:rFonts w:ascii="微软雅黑" w:hAnsi="微软雅黑" w:eastAsia="微软雅黑" w:cs="Times New Roman"/>
          <w:b/>
          <w:sz w:val="18"/>
          <w:szCs w:val="18"/>
        </w:rPr>
        <w:t>图4-1 计算流程图</w:t>
      </w:r>
    </w:p>
    <w:p w14:paraId="1BE4DCE0">
      <w:pPr>
        <w:spacing w:before="156"/>
        <w:ind w:firstLine="420" w:firstLineChars="200"/>
        <w:rPr>
          <w:rFonts w:ascii="Times New Roman" w:hAnsi="Times New Roman" w:cs="Times New Roman"/>
          <w:lang w:val="zh-CN"/>
        </w:rPr>
      </w:pPr>
      <w:r>
        <w:rPr>
          <w:rFonts w:ascii="Times New Roman" w:hAnsi="Times New Roman" w:cs="Times New Roman"/>
          <w:lang w:val="zh-CN"/>
        </w:rPr>
        <w:t>室内VOCs</w:t>
      </w:r>
      <w:r>
        <w:rPr>
          <w:rFonts w:hint="eastAsia" w:ascii="Times New Roman" w:hAnsi="Times New Roman" w:cs="Times New Roman"/>
          <w:lang w:val="zh-CN"/>
        </w:rPr>
        <w:t>评价</w:t>
      </w:r>
      <w:r>
        <w:rPr>
          <w:rFonts w:ascii="Times New Roman" w:hAnsi="Times New Roman" w:cs="Times New Roman"/>
          <w:lang w:val="zh-CN"/>
        </w:rPr>
        <w:t>模型遵循材料表面污染物与室内空气之间的</w:t>
      </w:r>
      <w:r>
        <w:rPr>
          <w:rFonts w:hint="eastAsia" w:ascii="Times New Roman" w:hAnsi="Times New Roman" w:cs="Times New Roman"/>
          <w:lang w:val="zh-CN"/>
        </w:rPr>
        <w:t>质量平衡</w:t>
      </w:r>
      <w:r>
        <w:rPr>
          <w:rFonts w:ascii="Times New Roman" w:hAnsi="Times New Roman" w:cs="Times New Roman"/>
          <w:lang w:val="zh-CN"/>
        </w:rPr>
        <w:t>方程，如下：</w:t>
      </w:r>
    </w:p>
    <w:p w14:paraId="22399F14">
      <w:pPr>
        <w:rPr>
          <w:rFonts w:ascii="Times New Roman" w:hAnsi="Times New Roman" w:cs="Times New Roman"/>
          <w:szCs w:val="21"/>
          <w:lang w:val="zh-CN"/>
        </w:rPr>
      </w:pPr>
      <m:oMathPara>
        <m:oMath>
          <m:r>
            <m:rPr/>
            <w:rPr>
              <w:rFonts w:ascii="Cambria Math" w:hAnsi="Cambria Math" w:cs="Times New Roman"/>
              <w:szCs w:val="21"/>
              <w:lang w:val="zh-CN"/>
            </w:rPr>
            <m:t>V</m:t>
          </m:r>
          <m:f>
            <m:fPr>
              <m:ctrlPr>
                <w:rPr>
                  <w:rFonts w:ascii="Cambria Math" w:hAnsi="Cambria Math" w:cs="Times New Roman"/>
                  <w:szCs w:val="21"/>
                  <w:lang w:val="zh-CN"/>
                </w:rPr>
              </m:ctrlPr>
            </m:fPr>
            <m:num>
              <m:r>
                <m:rPr/>
                <w:rPr>
                  <w:rFonts w:ascii="Cambria Math" w:hAnsi="Cambria Math" w:cs="Times New Roman"/>
                  <w:szCs w:val="21"/>
                  <w:lang w:val="zh-CN"/>
                </w:rPr>
                <m:t>d</m:t>
              </m:r>
              <m:sSub>
                <m:sSubPr>
                  <m:ctrlPr>
                    <w:rPr>
                      <w:rFonts w:ascii="Cambria Math" w:hAnsi="Cambria Math" w:cs="Times New Roman"/>
                      <w:szCs w:val="21"/>
                      <w:lang w:val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Times New Roman"/>
                      <w:szCs w:val="21"/>
                      <w:lang w:val="zh-CN"/>
                    </w:rPr>
                    <m:t>C</m:t>
                  </m:r>
                  <m:ctrlPr>
                    <w:rPr>
                      <w:rFonts w:ascii="Cambria Math" w:hAnsi="Cambria Math" w:cs="Times New Roman"/>
                      <w:szCs w:val="21"/>
                      <w:lang w:val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Times New Roman"/>
                      <w:szCs w:val="21"/>
                      <w:lang w:val="zh-CN"/>
                    </w:rPr>
                    <m:t>a</m:t>
                  </m:r>
                  <m:ctrlPr>
                    <w:rPr>
                      <w:rFonts w:ascii="Cambria Math" w:hAnsi="Cambria Math" w:cs="Times New Roman"/>
                      <w:szCs w:val="21"/>
                      <w:lang w:val="zh-CN"/>
                    </w:rPr>
                  </m:ctrlPr>
                </m:sub>
              </m:sSub>
              <m:ctrlPr>
                <w:rPr>
                  <w:rFonts w:ascii="Cambria Math" w:hAnsi="Cambria Math" w:cs="Times New Roman"/>
                  <w:szCs w:val="21"/>
                  <w:lang w:val="zh-CN"/>
                </w:rPr>
              </m:ctrlPr>
            </m:num>
            <m:den>
              <m:r>
                <m:rPr/>
                <w:rPr>
                  <w:rFonts w:ascii="Cambria Math" w:hAnsi="Cambria Math" w:cs="Times New Roman"/>
                  <w:szCs w:val="21"/>
                  <w:lang w:val="zh-CN"/>
                </w:rPr>
                <m:t>dt</m:t>
              </m:r>
              <m:ctrlPr>
                <w:rPr>
                  <w:rFonts w:ascii="Cambria Math" w:hAnsi="Cambria Math" w:cs="Times New Roman"/>
                  <w:szCs w:val="21"/>
                  <w:lang w:val="zh-CN"/>
                </w:rPr>
              </m:ctrlPr>
            </m:den>
          </m:f>
          <m:r>
            <m:rPr>
              <m:sty m:val="p"/>
            </m:rPr>
            <w:rPr>
              <w:rFonts w:ascii="Cambria Math" w:hAnsi="Cambria Math" w:cs="Times New Roman"/>
              <w:szCs w:val="21"/>
              <w:lang w:val="zh-CN"/>
            </w:rPr>
            <m:t>=</m:t>
          </m:r>
          <m:nary>
            <m:naryPr>
              <m:chr m:val="∑"/>
              <m:subHide m:val="1"/>
              <m:supHide m:val="1"/>
              <m:ctrlPr>
                <w:rPr>
                  <w:rFonts w:ascii="Cambria Math" w:hAnsi="Cambria Math" w:cs="Times New Roman"/>
                  <w:szCs w:val="21"/>
                  <w:lang w:val="zh-CN"/>
                </w:rPr>
              </m:ctrlPr>
            </m:naryPr>
            <m:sub>
              <m:ctrlPr>
                <w:rPr>
                  <w:rFonts w:ascii="Cambria Math" w:hAnsi="Cambria Math" w:cs="Times New Roman"/>
                  <w:szCs w:val="21"/>
                  <w:lang w:val="zh-CN"/>
                </w:rPr>
              </m:ctrlPr>
            </m:sub>
            <m:sup>
              <m:ctrlPr>
                <w:rPr>
                  <w:rFonts w:ascii="Cambria Math" w:hAnsi="Cambria Math" w:cs="Times New Roman"/>
                  <w:szCs w:val="21"/>
                  <w:lang w:val="zh-CN"/>
                </w:rPr>
              </m:ctrlPr>
            </m:sup>
            <m:e>
              <m:r>
                <m:rPr/>
                <w:rPr>
                  <w:rFonts w:ascii="Cambria Math" w:hAnsi="Cambria Math" w:cs="Times New Roman"/>
                  <w:szCs w:val="21"/>
                  <w:lang w:val="zh-CN"/>
                </w:rPr>
                <m:t>AE</m:t>
              </m:r>
              <m:ctrlPr>
                <w:rPr>
                  <w:rFonts w:ascii="Cambria Math" w:hAnsi="Cambria Math" w:cs="Times New Roman"/>
                  <w:szCs w:val="21"/>
                  <w:lang w:val="zh-CN"/>
                </w:rPr>
              </m:ctrlPr>
            </m:e>
          </m:nary>
          <m:r>
            <m:rPr>
              <m:sty m:val="p"/>
            </m:rPr>
            <w:rPr>
              <w:rFonts w:ascii="Cambria Math" w:hAnsi="Cambria Math" w:cs="Times New Roman"/>
              <w:szCs w:val="21"/>
              <w:lang w:val="zh-CN"/>
            </w:rPr>
            <m:t>−</m:t>
          </m:r>
          <m:r>
            <m:rPr/>
            <w:rPr>
              <w:rFonts w:ascii="Cambria Math" w:hAnsi="Cambria Math" w:cs="Times New Roman"/>
              <w:szCs w:val="21"/>
              <w:lang w:val="zh-CN"/>
            </w:rPr>
            <m:t>Q</m:t>
          </m:r>
          <m:sSub>
            <m:sSubPr>
              <m:ctrlPr>
                <w:rPr>
                  <w:rFonts w:ascii="Cambria Math" w:hAnsi="Cambria Math" w:cs="Times New Roman"/>
                  <w:szCs w:val="21"/>
                  <w:lang w:val="zh-CN"/>
                </w:rPr>
              </m:ctrlPr>
            </m:sSubPr>
            <m:e>
              <m:r>
                <m:rPr/>
                <w:rPr>
                  <w:rFonts w:ascii="Cambria Math" w:hAnsi="Cambria Math" w:cs="Times New Roman"/>
                  <w:szCs w:val="21"/>
                  <w:lang w:val="zh-CN"/>
                </w:rPr>
                <m:t>C</m:t>
              </m:r>
              <m:ctrlPr>
                <w:rPr>
                  <w:rFonts w:ascii="Cambria Math" w:hAnsi="Cambria Math" w:cs="Times New Roman"/>
                  <w:szCs w:val="21"/>
                  <w:lang w:val="zh-CN"/>
                </w:rPr>
              </m:ctrlPr>
            </m:e>
            <m:sub>
              <m:r>
                <m:rPr/>
                <w:rPr>
                  <w:rFonts w:ascii="Cambria Math" w:hAnsi="Cambria Math" w:cs="Times New Roman"/>
                  <w:szCs w:val="21"/>
                  <w:lang w:val="zh-CN"/>
                </w:rPr>
                <m:t>a</m:t>
              </m:r>
              <m:ctrlPr>
                <w:rPr>
                  <w:rFonts w:ascii="Cambria Math" w:hAnsi="Cambria Math" w:cs="Times New Roman"/>
                  <w:szCs w:val="21"/>
                  <w:lang w:val="zh-CN"/>
                </w:rPr>
              </m:ctrlPr>
            </m:sub>
          </m:sSub>
        </m:oMath>
      </m:oMathPara>
    </w:p>
    <w:p w14:paraId="698C0C03">
      <w:pPr>
        <w:spacing w:before="156"/>
        <w:ind w:left="210" w:leftChars="100" w:right="210" w:right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其中：</w:t>
      </w:r>
    </w:p>
    <w:p w14:paraId="60606FBA">
      <w:pPr>
        <w:spacing w:before="156"/>
        <w:ind w:left="210" w:leftChars="100" w:right="210" w:right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szCs w:val="21"/>
        </w:rPr>
        <w:t>——</w:t>
      </w:r>
      <w:r>
        <w:rPr>
          <w:rFonts w:ascii="Times New Roman" w:hAnsi="Times New Roman" w:cs="Times New Roman"/>
          <w:lang w:val="zh-CN"/>
        </w:rPr>
        <w:t>房间体积</w:t>
      </w:r>
      <w:r>
        <w:rPr>
          <w:rFonts w:ascii="Times New Roman" w:hAnsi="Times New Roman" w:cs="Times New Roman"/>
        </w:rPr>
        <w:t>，m</w:t>
      </w:r>
      <w:r>
        <w:rPr>
          <w:rFonts w:ascii="Times New Roman" w:hAnsi="Times New Roman" w:cs="Times New Roman"/>
          <w:vertAlign w:val="superscript"/>
        </w:rPr>
        <w:t>3</w:t>
      </w:r>
    </w:p>
    <w:p w14:paraId="013F9509">
      <w:pPr>
        <w:spacing w:before="156"/>
        <w:ind w:left="210" w:leftChars="100" w:right="210" w:right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z w:val="22"/>
          <w:szCs w:val="24"/>
          <w:vertAlign w:val="subscript"/>
        </w:rPr>
        <w:t>a</w:t>
      </w:r>
      <w:r>
        <w:rPr>
          <w:rFonts w:ascii="Times New Roman" w:hAnsi="Times New Roman" w:cs="Times New Roman"/>
          <w:szCs w:val="21"/>
        </w:rPr>
        <w:t>——</w:t>
      </w:r>
      <w:r>
        <w:rPr>
          <w:rFonts w:ascii="Times New Roman" w:hAnsi="Times New Roman" w:cs="Times New Roman"/>
          <w:lang w:val="zh-CN"/>
        </w:rPr>
        <w:t>房间空气中污染物浓度，</w:t>
      </w:r>
      <w:r>
        <w:rPr>
          <w:rFonts w:ascii="Times New Roman" w:hAnsi="Times New Roman" w:cs="Times New Roman"/>
        </w:rPr>
        <w:t>mg/ m</w:t>
      </w:r>
      <w:r>
        <w:rPr>
          <w:rFonts w:ascii="Times New Roman" w:hAnsi="Times New Roman" w:cs="Times New Roman"/>
          <w:vertAlign w:val="superscript"/>
        </w:rPr>
        <w:t>3</w:t>
      </w:r>
    </w:p>
    <w:p w14:paraId="4B169482">
      <w:pPr>
        <w:spacing w:before="156"/>
        <w:ind w:left="210" w:leftChars="100" w:right="210" w:right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zCs w:val="21"/>
        </w:rPr>
        <w:t>——</w:t>
      </w:r>
      <w:r>
        <w:rPr>
          <w:rFonts w:hint="eastAsia" w:ascii="Times New Roman" w:hAnsi="Times New Roman" w:cs="Times New Roman"/>
          <w:lang w:val="zh-CN"/>
        </w:rPr>
        <w:t>材料与</w:t>
      </w:r>
      <w:r>
        <w:rPr>
          <w:rFonts w:ascii="Times New Roman" w:hAnsi="Times New Roman" w:cs="Times New Roman"/>
          <w:lang w:val="zh-CN"/>
        </w:rPr>
        <w:t>室内空气</w:t>
      </w:r>
      <w:r>
        <w:rPr>
          <w:rFonts w:hint="eastAsia" w:ascii="Times New Roman" w:hAnsi="Times New Roman" w:cs="Times New Roman"/>
          <w:lang w:val="zh-CN"/>
        </w:rPr>
        <w:t>接触</w:t>
      </w:r>
      <w:r>
        <w:rPr>
          <w:rFonts w:ascii="Times New Roman" w:hAnsi="Times New Roman" w:cs="Times New Roman"/>
          <w:lang w:val="zh-CN"/>
        </w:rPr>
        <w:t>的面积，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vertAlign w:val="superscript"/>
        </w:rPr>
        <w:t>2</w:t>
      </w:r>
    </w:p>
    <w:p w14:paraId="30953DF7">
      <w:pPr>
        <w:spacing w:before="156"/>
        <w:ind w:left="210" w:leftChars="100" w:right="210" w:right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</w:t>
      </w:r>
      <w:r>
        <w:rPr>
          <w:rFonts w:ascii="Times New Roman" w:hAnsi="Times New Roman" w:cs="Times New Roman"/>
          <w:szCs w:val="21"/>
        </w:rPr>
        <w:t>——</w:t>
      </w:r>
      <w:r>
        <w:rPr>
          <w:rFonts w:ascii="Times New Roman" w:hAnsi="Times New Roman" w:cs="Times New Roman"/>
          <w:lang w:val="zh-CN"/>
        </w:rPr>
        <w:t>房间内渗风量</w:t>
      </w:r>
      <w:r>
        <w:rPr>
          <w:rFonts w:ascii="Times New Roman" w:hAnsi="Times New Roman" w:cs="Times New Roman"/>
        </w:rPr>
        <w:t>，m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/h</w:t>
      </w:r>
    </w:p>
    <w:p w14:paraId="48D6E77B">
      <w:pPr>
        <w:spacing w:line="400" w:lineRule="atLeast"/>
        <w:ind w:left="210" w:leftChars="100" w:right="210" w:right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E——</w:t>
      </w:r>
      <w:r>
        <w:rPr>
          <w:rFonts w:ascii="Times New Roman" w:hAnsi="Times New Roman" w:cs="Times New Roman"/>
          <w:lang w:val="zh-CN"/>
        </w:rPr>
        <w:t>材料污染物释放率</w:t>
      </w:r>
      <w:r>
        <w:rPr>
          <w:rFonts w:ascii="Times New Roman" w:hAnsi="Times New Roman" w:cs="Times New Roman"/>
          <w:szCs w:val="21"/>
        </w:rPr>
        <w:t>，mg/m</w:t>
      </w:r>
      <w:r>
        <w:rPr>
          <w:rFonts w:ascii="Times New Roman" w:hAnsi="Times New Roman" w:cs="Times New Roman"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·h</w:t>
      </w:r>
    </w:p>
    <w:p w14:paraId="0C85D8E0">
      <w:pPr>
        <w:pStyle w:val="2"/>
        <w:keepLines w:val="0"/>
        <w:widowControl/>
        <w:numPr>
          <w:ilvl w:val="0"/>
          <w:numId w:val="1"/>
        </w:numPr>
        <w:kinsoku w:val="0"/>
        <w:spacing w:before="240" w:after="60" w:line="240" w:lineRule="auto"/>
        <w:jc w:val="left"/>
        <w:rPr>
          <w:rFonts w:ascii="Times New Roman" w:hAnsi="Times New Roman" w:cs="Times New Roman"/>
          <w:kern w:val="32"/>
          <w:sz w:val="28"/>
          <w:szCs w:val="28"/>
        </w:rPr>
      </w:pPr>
      <w:bookmarkStart w:id="21" w:name="_Toc29534"/>
      <w:r>
        <w:rPr>
          <w:rFonts w:ascii="Times New Roman" w:hAnsi="Times New Roman" w:cs="Times New Roman"/>
          <w:kern w:val="32"/>
          <w:sz w:val="28"/>
          <w:szCs w:val="28"/>
        </w:rPr>
        <w:t>计算参数</w:t>
      </w:r>
      <w:bookmarkEnd w:id="21"/>
    </w:p>
    <w:p w14:paraId="5734939B">
      <w:pPr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依据上述计算原理，本项目计算所需输入的参数主要为装修材料污染物释放特性</w:t>
      </w:r>
      <w:r>
        <w:rPr>
          <w:rFonts w:hint="eastAsia" w:ascii="Times New Roman" w:hAnsi="Times New Roman" w:cs="Times New Roman"/>
        </w:rPr>
        <w:t>、材料用量</w:t>
      </w:r>
      <w:r>
        <w:rPr>
          <w:rFonts w:ascii="Times New Roman" w:hAnsi="Times New Roman" w:cs="Times New Roman"/>
        </w:rPr>
        <w:t>以及房间渗透风量，如下述章节所述：</w:t>
      </w:r>
    </w:p>
    <w:p w14:paraId="5FD0071D">
      <w:pPr>
        <w:pStyle w:val="3"/>
        <w:rPr>
          <w:rFonts w:ascii="Times New Roman" w:hAnsi="Times New Roman"/>
          <w:sz w:val="24"/>
          <w:szCs w:val="24"/>
          <w:lang w:eastAsia="zh-CN"/>
        </w:rPr>
      </w:pPr>
      <w:bookmarkStart w:id="22" w:name="_Toc23650"/>
      <w:r>
        <w:rPr>
          <w:rFonts w:ascii="Times New Roman" w:hAnsi="Times New Roman"/>
          <w:sz w:val="24"/>
          <w:szCs w:val="24"/>
          <w:lang w:eastAsia="zh-CN"/>
        </w:rPr>
        <w:t>渗透风量</w:t>
      </w:r>
      <w:bookmarkEnd w:id="22"/>
    </w:p>
    <w:p w14:paraId="426BE7CD">
      <w:pPr>
        <w:ind w:left="-36" w:leftChars="-17" w:firstLine="420" w:firstLineChars="200"/>
        <w:rPr>
          <w:rFonts w:ascii="Times New Roman" w:hAnsi="Times New Roman" w:cs="Times New Roman"/>
          <w:lang w:val="zh-CN"/>
        </w:rPr>
      </w:pPr>
      <w:r>
        <w:rPr>
          <w:rFonts w:ascii="Times New Roman" w:hAnsi="Times New Roman" w:cs="Times New Roman"/>
          <w:lang w:val="zh-CN"/>
        </w:rPr>
        <w:t>渗透风量可通过</w:t>
      </w:r>
      <w:r>
        <w:rPr>
          <w:rFonts w:ascii="Times New Roman" w:hAnsi="Times New Roman" w:cs="Times New Roman"/>
          <w:b/>
          <w:lang w:val="zh-CN"/>
        </w:rPr>
        <w:t>门窗气密性</w:t>
      </w:r>
      <w:r>
        <w:rPr>
          <w:rFonts w:ascii="Times New Roman" w:hAnsi="Times New Roman" w:cs="Times New Roman"/>
          <w:bCs/>
          <w:lang w:val="zh-CN"/>
        </w:rPr>
        <w:t>或者</w:t>
      </w:r>
      <w:r>
        <w:rPr>
          <w:rFonts w:ascii="Times New Roman" w:hAnsi="Times New Roman" w:cs="Times New Roman"/>
          <w:b/>
          <w:lang w:val="zh-CN"/>
        </w:rPr>
        <w:t>换气次数</w:t>
      </w:r>
      <w:r>
        <w:rPr>
          <w:rFonts w:ascii="Times New Roman" w:hAnsi="Times New Roman" w:cs="Times New Roman"/>
          <w:lang w:val="zh-CN"/>
        </w:rPr>
        <w:t>计算，门窗气密性等级参考《建筑外门窗气密、水密、抗风压性能分级及检测方法》GB/T 7106中1~8级进行设置；换气次数选取可参考建筑节能标准中的相关规</w:t>
      </w:r>
      <w:r>
        <w:rPr>
          <w:rFonts w:hint="eastAsia" w:ascii="Times New Roman" w:hAnsi="Times New Roman" w:cs="Times New Roman"/>
          <w:lang w:val="zh-CN"/>
        </w:rPr>
        <w:t>定。</w:t>
      </w:r>
    </w:p>
    <w:p w14:paraId="588B13DD">
      <w:pPr>
        <w:ind w:left="-36" w:leftChars="-17" w:firstLine="420" w:firstLineChars="200"/>
        <w:rPr>
          <w:rFonts w:cs="Times New Roman"/>
          <w:lang w:val="zh-CN"/>
        </w:rPr>
      </w:pPr>
      <w:bookmarkStart w:id="23" w:name="渗透风量"/>
      <w:r>
        <w:t>本项目忽略渗透风量的影响。</w:t>
      </w:r>
      <w:bookmarkEnd w:id="23"/>
    </w:p>
    <w:p w14:paraId="1ED8DF2F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29654E34">
      <w:pPr>
        <w:pStyle w:val="3"/>
        <w:rPr>
          <w:rFonts w:ascii="Times New Roman" w:hAnsi="Times New Roman"/>
          <w:sz w:val="24"/>
          <w:szCs w:val="24"/>
          <w:lang w:eastAsia="zh-CN"/>
        </w:rPr>
      </w:pPr>
      <w:bookmarkStart w:id="24" w:name="_Toc7350"/>
      <w:r>
        <w:rPr>
          <w:rFonts w:ascii="Times New Roman" w:hAnsi="Times New Roman"/>
          <w:sz w:val="24"/>
          <w:szCs w:val="24"/>
          <w:lang w:eastAsia="zh-CN"/>
        </w:rPr>
        <w:t>室内装修信息</w:t>
      </w:r>
      <w:bookmarkEnd w:id="24"/>
      <w:r>
        <w:rPr>
          <w:rFonts w:ascii="Times New Roman" w:hAnsi="Times New Roman"/>
          <w:sz w:val="24"/>
          <w:szCs w:val="24"/>
          <w:lang w:eastAsia="zh-CN"/>
        </w:rPr>
        <w:t xml:space="preserve">  </w:t>
      </w:r>
    </w:p>
    <w:p w14:paraId="48CD574B">
      <w:pPr>
        <w:jc w:val="center"/>
        <w:rPr>
          <w:rFonts w:ascii="微软雅黑" w:hAnsi="微软雅黑" w:eastAsia="微软雅黑" w:cs="Times New Roman"/>
          <w:b/>
          <w:bCs/>
          <w:color w:val="000000"/>
        </w:rPr>
      </w:pPr>
      <w:r>
        <w:rPr>
          <w:rFonts w:ascii="微软雅黑" w:hAnsi="微软雅黑" w:eastAsia="微软雅黑" w:cs="Times New Roman"/>
          <w:b/>
          <w:bCs/>
          <w:color w:val="000000"/>
        </w:rPr>
        <w:t>表5.2-1  材料污染物释放率</w:t>
      </w:r>
      <w:r>
        <w:rPr>
          <w:rFonts w:hint="eastAsia" w:ascii="微软雅黑" w:hAnsi="微软雅黑" w:eastAsia="微软雅黑" w:cs="Times New Roman"/>
          <w:b/>
          <w:bCs/>
          <w:color w:val="000000"/>
        </w:rPr>
        <w:t>[</w:t>
      </w:r>
      <w:r>
        <w:rPr>
          <w:rFonts w:ascii="微软雅黑" w:hAnsi="微软雅黑" w:eastAsia="微软雅黑" w:cs="Times New Roman"/>
          <w:b/>
          <w:bCs/>
          <w:color w:val="000000"/>
        </w:rPr>
        <w:t>mg/（</w:t>
      </w:r>
      <w:r>
        <w:rPr>
          <w:rFonts w:hint="eastAsia" w:ascii="微软雅黑" w:hAnsi="微软雅黑" w:eastAsia="微软雅黑" w:cs="Times New Roman"/>
          <w:b/>
          <w:bCs/>
          <w:color w:val="000000"/>
        </w:rPr>
        <w:t>m</w:t>
      </w:r>
      <w:r>
        <w:rPr>
          <w:rFonts w:hint="eastAsia" w:ascii="微软雅黑" w:hAnsi="微软雅黑" w:eastAsia="微软雅黑" w:cs="Times New Roman"/>
          <w:b/>
          <w:bCs/>
          <w:color w:val="000000"/>
          <w:vertAlign w:val="superscript"/>
        </w:rPr>
        <w:t>2</w:t>
      </w:r>
      <w:r>
        <w:rPr>
          <w:rFonts w:hint="eastAsia" w:ascii="微软雅黑" w:hAnsi="微软雅黑" w:eastAsia="微软雅黑" w:cs="Times New Roman"/>
          <w:b/>
          <w:bCs/>
          <w:color w:val="000000"/>
        </w:rPr>
        <w:t>·h</w:t>
      </w:r>
      <w:r>
        <w:rPr>
          <w:rFonts w:ascii="微软雅黑" w:hAnsi="微软雅黑" w:eastAsia="微软雅黑" w:cs="Times New Roman"/>
          <w:b/>
          <w:bCs/>
          <w:color w:val="000000"/>
        </w:rPr>
        <w:t>）</w:t>
      </w:r>
      <w:r>
        <w:rPr>
          <w:rFonts w:hint="eastAsia" w:ascii="微软雅黑" w:hAnsi="微软雅黑" w:eastAsia="微软雅黑" w:cs="Times New Roman"/>
          <w:b/>
          <w:bCs/>
          <w:color w:val="000000"/>
        </w:rPr>
        <w:t>]</w:t>
      </w:r>
    </w:p>
    <w:tbl>
      <w:tblPr>
        <w:tblStyle w:val="19"/>
        <w:tblW w:w="816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7"/>
        <w:gridCol w:w="1647"/>
        <w:gridCol w:w="1301"/>
        <w:gridCol w:w="1188"/>
        <w:gridCol w:w="1188"/>
        <w:gridCol w:w="1188"/>
      </w:tblGrid>
      <w:tr w14:paraId="69DDFE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FB23D0">
            <w:pPr>
              <w:jc w:val="center"/>
            </w:pPr>
            <w:r>
              <w:rPr>
                <w:b/>
              </w:rPr>
              <w:t>材料名称</w:t>
            </w:r>
          </w:p>
        </w:tc>
        <w:tc>
          <w:tcPr>
            <w:shd w:val="clear" w:color="auto" w:fill="E6E6E6"/>
            <w:vAlign w:val="center"/>
          </w:tcPr>
          <w:p w14:paraId="49FC54CE">
            <w:pPr>
              <w:jc w:val="center"/>
            </w:pPr>
            <w:r>
              <w:rPr>
                <w:b/>
              </w:rPr>
              <w:t>材质</w:t>
            </w:r>
          </w:p>
        </w:tc>
        <w:tc>
          <w:tcPr>
            <w:shd w:val="clear" w:color="auto" w:fill="E6E6E6"/>
            <w:vAlign w:val="center"/>
          </w:tcPr>
          <w:p w14:paraId="13FA39C1">
            <w:pPr>
              <w:jc w:val="center"/>
            </w:pPr>
            <w:r>
              <w:rPr>
                <w:b/>
              </w:rPr>
              <w:t>释放率等级</w:t>
            </w:r>
          </w:p>
        </w:tc>
        <w:tc>
          <w:tcPr>
            <w:shd w:val="clear" w:color="auto" w:fill="E6E6E6"/>
            <w:vAlign w:val="center"/>
          </w:tcPr>
          <w:p w14:paraId="41118428">
            <w:pPr>
              <w:jc w:val="center"/>
            </w:pPr>
            <w:r>
              <w:rPr>
                <w:b/>
              </w:rPr>
              <w:t>甲醛</w:t>
            </w:r>
          </w:p>
        </w:tc>
        <w:tc>
          <w:tcPr>
            <w:shd w:val="clear" w:color="auto" w:fill="E6E6E6"/>
            <w:vAlign w:val="center"/>
          </w:tcPr>
          <w:p w14:paraId="4A53D334">
            <w:pPr>
              <w:jc w:val="center"/>
            </w:pPr>
            <w:r>
              <w:rPr>
                <w:b/>
              </w:rPr>
              <w:t>苯</w:t>
            </w:r>
          </w:p>
        </w:tc>
        <w:tc>
          <w:tcPr>
            <w:shd w:val="clear" w:color="auto" w:fill="E6E6E6"/>
            <w:vAlign w:val="center"/>
          </w:tcPr>
          <w:p w14:paraId="70E862AA">
            <w:pPr>
              <w:jc w:val="center"/>
            </w:pPr>
            <w:r>
              <w:rPr>
                <w:b/>
              </w:rPr>
              <w:t>TVOC</w:t>
            </w:r>
          </w:p>
        </w:tc>
      </w:tr>
      <w:tr w14:paraId="2786ED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243B268">
            <w:pPr>
              <w:jc w:val="center"/>
            </w:pPr>
            <w:r>
              <w:t>石塑地板</w:t>
            </w:r>
          </w:p>
        </w:tc>
        <w:tc>
          <w:tcPr>
            <w:vAlign w:val="center"/>
          </w:tcPr>
          <w:p w14:paraId="3255BBA6">
            <w:pPr>
              <w:jc w:val="center"/>
            </w:pPr>
            <w:r>
              <w:t>地板</w:t>
            </w:r>
          </w:p>
        </w:tc>
        <w:tc>
          <w:tcPr>
            <w:vAlign w:val="center"/>
          </w:tcPr>
          <w:p w14:paraId="3B34187F">
            <w:pPr>
              <w:jc w:val="center"/>
            </w:pPr>
            <w:r>
              <w:t>F1</w:t>
            </w:r>
          </w:p>
        </w:tc>
        <w:tc>
          <w:tcPr>
            <w:vAlign w:val="center"/>
          </w:tcPr>
          <w:p w14:paraId="6E40E4A1">
            <w:pPr>
              <w:jc w:val="center"/>
            </w:pPr>
            <w:r>
              <w:t>0.0012</w:t>
            </w:r>
          </w:p>
        </w:tc>
        <w:tc>
          <w:tcPr>
            <w:vAlign w:val="center"/>
          </w:tcPr>
          <w:p w14:paraId="1D87B539">
            <w:pPr>
              <w:jc w:val="center"/>
            </w:pPr>
            <w:r>
              <w:t>0</w:t>
            </w:r>
          </w:p>
        </w:tc>
        <w:tc>
          <w:tcPr>
            <w:vAlign w:val="center"/>
          </w:tcPr>
          <w:p w14:paraId="7CAD4813">
            <w:pPr>
              <w:jc w:val="center"/>
            </w:pPr>
            <w:r>
              <w:t>0.0355</w:t>
            </w:r>
          </w:p>
        </w:tc>
      </w:tr>
      <w:tr w14:paraId="0A5767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C881416">
            <w:pPr>
              <w:jc w:val="center"/>
            </w:pPr>
            <w:r>
              <w:t>面漆</w:t>
            </w:r>
          </w:p>
        </w:tc>
        <w:tc>
          <w:tcPr>
            <w:vAlign w:val="center"/>
          </w:tcPr>
          <w:p w14:paraId="53D5BD32">
            <w:pPr>
              <w:jc w:val="center"/>
            </w:pPr>
            <w:r>
              <w:t>涂料</w:t>
            </w:r>
          </w:p>
        </w:tc>
        <w:tc>
          <w:tcPr>
            <w:vAlign w:val="center"/>
          </w:tcPr>
          <w:p w14:paraId="4A3D76C8">
            <w:pPr>
              <w:jc w:val="center"/>
            </w:pPr>
            <w:r>
              <w:t>F1</w:t>
            </w:r>
          </w:p>
        </w:tc>
        <w:tc>
          <w:tcPr>
            <w:vAlign w:val="center"/>
          </w:tcPr>
          <w:p w14:paraId="151528E2">
            <w:pPr>
              <w:jc w:val="center"/>
            </w:pPr>
            <w:r>
              <w:t>0.0045</w:t>
            </w:r>
          </w:p>
        </w:tc>
        <w:tc>
          <w:tcPr>
            <w:vAlign w:val="center"/>
          </w:tcPr>
          <w:p w14:paraId="040FB71D">
            <w:pPr>
              <w:jc w:val="center"/>
            </w:pPr>
            <w:r>
              <w:t>0</w:t>
            </w:r>
          </w:p>
        </w:tc>
        <w:tc>
          <w:tcPr>
            <w:vAlign w:val="center"/>
          </w:tcPr>
          <w:p w14:paraId="6F23334D">
            <w:pPr>
              <w:jc w:val="center"/>
            </w:pPr>
            <w:r>
              <w:t>0.0062</w:t>
            </w:r>
          </w:p>
        </w:tc>
      </w:tr>
      <w:tr w14:paraId="20CD3F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BA94F24">
            <w:pPr>
              <w:jc w:val="center"/>
            </w:pPr>
            <w:r>
              <w:t>饰面板</w:t>
            </w:r>
          </w:p>
        </w:tc>
        <w:tc>
          <w:tcPr>
            <w:vAlign w:val="center"/>
          </w:tcPr>
          <w:p w14:paraId="4B4E2C0B">
            <w:pPr>
              <w:jc w:val="center"/>
            </w:pPr>
            <w:r>
              <w:t>板材</w:t>
            </w:r>
          </w:p>
        </w:tc>
        <w:tc>
          <w:tcPr>
            <w:vAlign w:val="center"/>
          </w:tcPr>
          <w:p w14:paraId="590A8C85">
            <w:pPr>
              <w:jc w:val="center"/>
            </w:pPr>
            <w:r>
              <w:t>F1</w:t>
            </w:r>
          </w:p>
        </w:tc>
        <w:tc>
          <w:tcPr>
            <w:vAlign w:val="center"/>
          </w:tcPr>
          <w:p w14:paraId="2B8DED43">
            <w:pPr>
              <w:jc w:val="center"/>
            </w:pPr>
            <w:r>
              <w:t>0.0023</w:t>
            </w:r>
          </w:p>
        </w:tc>
        <w:tc>
          <w:tcPr>
            <w:vAlign w:val="center"/>
          </w:tcPr>
          <w:p w14:paraId="1AA6EDC0">
            <w:pPr>
              <w:jc w:val="center"/>
            </w:pPr>
            <w:r>
              <w:t>0</w:t>
            </w:r>
          </w:p>
        </w:tc>
        <w:tc>
          <w:tcPr>
            <w:vAlign w:val="center"/>
          </w:tcPr>
          <w:p w14:paraId="54DDA421">
            <w:pPr>
              <w:jc w:val="center"/>
            </w:pPr>
            <w:r>
              <w:t>0.0043</w:t>
            </w:r>
          </w:p>
        </w:tc>
      </w:tr>
    </w:tbl>
    <w:p w14:paraId="23790BBA">
      <w:pPr>
        <w:jc w:val="center"/>
        <w:rPr>
          <w:rFonts w:ascii="Times New Roman" w:hAnsi="Times New Roman" w:cs="Times New Roman"/>
          <w:highlight w:val="red"/>
          <w:lang w:val="zh-CN"/>
        </w:rPr>
      </w:pPr>
      <w:bookmarkStart w:id="25" w:name="装修材料表"/>
      <w:bookmarkEnd w:id="25"/>
    </w:p>
    <w:p w14:paraId="6A224DF9">
      <w:pPr>
        <w:jc w:val="center"/>
        <w:rPr>
          <w:rFonts w:ascii="Times New Roman" w:hAnsi="Times New Roman" w:cs="Times New Roman"/>
          <w:highlight w:val="red"/>
          <w:lang w:val="zh-CN"/>
        </w:rPr>
      </w:pPr>
    </w:p>
    <w:p w14:paraId="1F866F44">
      <w:pPr>
        <w:jc w:val="center"/>
        <w:rPr>
          <w:rFonts w:ascii="微软雅黑" w:hAnsi="微软雅黑" w:eastAsia="微软雅黑" w:cs="Times New Roman"/>
          <w:b/>
          <w:bCs/>
          <w:color w:val="000000"/>
        </w:rPr>
      </w:pPr>
      <w:r>
        <w:rPr>
          <w:rFonts w:ascii="微软雅黑" w:hAnsi="微软雅黑" w:eastAsia="微软雅黑" w:cs="Times New Roman"/>
          <w:b/>
          <w:bCs/>
          <w:color w:val="000000"/>
        </w:rPr>
        <w:t>表5.2-2  装修方案清单</w:t>
      </w:r>
    </w:p>
    <w:tbl>
      <w:tblPr>
        <w:tblStyle w:val="19"/>
        <w:tblW w:w="809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735"/>
        <w:gridCol w:w="1358"/>
        <w:gridCol w:w="1528"/>
        <w:gridCol w:w="1528"/>
        <w:gridCol w:w="1528"/>
        <w:gridCol w:w="962"/>
      </w:tblGrid>
      <w:tr w14:paraId="00E400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19C886B">
            <w:pPr>
              <w:jc w:val="center"/>
            </w:pPr>
            <w:r>
              <w:rPr>
                <w:b/>
              </w:rPr>
              <w:t>楼层</w:t>
            </w:r>
          </w:p>
        </w:tc>
        <w:tc>
          <w:tcPr>
            <w:shd w:val="clear" w:color="auto" w:fill="E6E6E6"/>
            <w:vAlign w:val="center"/>
          </w:tcPr>
          <w:p w14:paraId="58745D48">
            <w:pPr>
              <w:jc w:val="center"/>
            </w:pPr>
            <w:r>
              <w:rPr>
                <w:b/>
              </w:rPr>
              <w:t>房间编号</w:t>
            </w:r>
          </w:p>
        </w:tc>
        <w:tc>
          <w:tcPr>
            <w:shd w:val="clear" w:color="auto" w:fill="E6E6E6"/>
            <w:vAlign w:val="center"/>
          </w:tcPr>
          <w:p w14:paraId="026B9B7C">
            <w:pPr>
              <w:jc w:val="center"/>
            </w:pPr>
            <w:r>
              <w:rPr>
                <w:b/>
              </w:rPr>
              <w:t>房间名称</w:t>
            </w:r>
          </w:p>
        </w:tc>
        <w:tc>
          <w:tcPr>
            <w:shd w:val="clear" w:color="auto" w:fill="E6E6E6"/>
            <w:vAlign w:val="center"/>
          </w:tcPr>
          <w:p w14:paraId="0A43CCBB">
            <w:pPr>
              <w:jc w:val="center"/>
            </w:pPr>
            <w:r>
              <w:rPr>
                <w:b/>
              </w:rPr>
              <w:t>装修方案</w:t>
            </w:r>
          </w:p>
        </w:tc>
        <w:tc>
          <w:tcPr>
            <w:shd w:val="clear" w:color="auto" w:fill="E6E6E6"/>
            <w:vAlign w:val="center"/>
          </w:tcPr>
          <w:p w14:paraId="256AE606">
            <w:pPr>
              <w:jc w:val="center"/>
            </w:pPr>
            <w:r>
              <w:rPr>
                <w:b/>
              </w:rPr>
              <w:t>材料材质</w:t>
            </w:r>
          </w:p>
        </w:tc>
        <w:tc>
          <w:tcPr>
            <w:shd w:val="clear" w:color="auto" w:fill="E6E6E6"/>
            <w:vAlign w:val="center"/>
          </w:tcPr>
          <w:p w14:paraId="1AC95048">
            <w:pPr>
              <w:jc w:val="center"/>
            </w:pPr>
            <w:r>
              <w:rPr>
                <w:b/>
              </w:rPr>
              <w:t>材料名称</w:t>
            </w:r>
          </w:p>
        </w:tc>
        <w:tc>
          <w:tcPr>
            <w:shd w:val="clear" w:color="auto" w:fill="E6E6E6"/>
            <w:vAlign w:val="center"/>
          </w:tcPr>
          <w:p w14:paraId="06BFBD61">
            <w:pPr>
              <w:jc w:val="center"/>
            </w:pPr>
            <w:r>
              <w:rPr>
                <w:b/>
              </w:rPr>
              <w:t>面积㎡</w:t>
            </w:r>
          </w:p>
        </w:tc>
      </w:tr>
      <w:tr w14:paraId="2F6E14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43077B3B">
            <w:pPr>
              <w:jc w:val="center"/>
            </w:pPr>
            <w:r>
              <w:t>1层</w:t>
            </w:r>
          </w:p>
        </w:tc>
        <w:tc>
          <w:tcPr>
            <w:vMerge w:val="restart"/>
            <w:vAlign w:val="center"/>
          </w:tcPr>
          <w:p w14:paraId="6B95ACC1">
            <w:pPr>
              <w:jc w:val="center"/>
            </w:pPr>
            <w:r>
              <w:t>1003</w:t>
            </w:r>
          </w:p>
        </w:tc>
        <w:tc>
          <w:tcPr>
            <w:vMerge w:val="restart"/>
            <w:vAlign w:val="center"/>
          </w:tcPr>
          <w:p w14:paraId="4305F95F">
            <w:pPr>
              <w:jc w:val="center"/>
            </w:pPr>
            <w:r>
              <w:t>办公室（2人）</w:t>
            </w:r>
          </w:p>
        </w:tc>
        <w:tc>
          <w:tcPr>
            <w:vMerge w:val="restart"/>
            <w:vAlign w:val="center"/>
          </w:tcPr>
          <w:p w14:paraId="5B8CC6B3">
            <w:pPr>
              <w:jc w:val="center"/>
            </w:pPr>
            <w:r>
              <w:t>（公建）办公室1</w:t>
            </w:r>
          </w:p>
        </w:tc>
        <w:tc>
          <w:tcPr>
            <w:vAlign w:val="center"/>
          </w:tcPr>
          <w:p w14:paraId="36A3333F">
            <w:pPr>
              <w:jc w:val="center"/>
            </w:pPr>
            <w:r>
              <w:t>涂料</w:t>
            </w:r>
          </w:p>
        </w:tc>
        <w:tc>
          <w:tcPr>
            <w:vAlign w:val="center"/>
          </w:tcPr>
          <w:p w14:paraId="387D5B16">
            <w:pPr>
              <w:jc w:val="center"/>
            </w:pPr>
            <w:r>
              <w:t>面漆</w:t>
            </w:r>
          </w:p>
        </w:tc>
        <w:tc>
          <w:tcPr>
            <w:vAlign w:val="center"/>
          </w:tcPr>
          <w:p w14:paraId="2E0506AE">
            <w:pPr>
              <w:jc w:val="center"/>
            </w:pPr>
            <w:r>
              <w:t>10.3</w:t>
            </w:r>
          </w:p>
        </w:tc>
      </w:tr>
      <w:tr w14:paraId="58E17E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D8141BE">
            <w:pPr>
              <w:jc w:val="center"/>
            </w:pPr>
          </w:p>
        </w:tc>
        <w:tc>
          <w:tcPr>
            <w:vMerge w:val="continue"/>
            <w:vAlign w:val="center"/>
          </w:tcPr>
          <w:p w14:paraId="4C870186">
            <w:pPr>
              <w:jc w:val="center"/>
            </w:pPr>
          </w:p>
        </w:tc>
        <w:tc>
          <w:tcPr>
            <w:vMerge w:val="continue"/>
            <w:vAlign w:val="center"/>
          </w:tcPr>
          <w:p w14:paraId="3D576452">
            <w:pPr>
              <w:jc w:val="center"/>
            </w:pPr>
          </w:p>
        </w:tc>
        <w:tc>
          <w:tcPr>
            <w:vMerge w:val="continue"/>
            <w:vAlign w:val="center"/>
          </w:tcPr>
          <w:p w14:paraId="13466388">
            <w:pPr>
              <w:jc w:val="center"/>
            </w:pPr>
          </w:p>
        </w:tc>
        <w:tc>
          <w:tcPr>
            <w:vAlign w:val="center"/>
          </w:tcPr>
          <w:p w14:paraId="50125897">
            <w:pPr>
              <w:jc w:val="center"/>
            </w:pPr>
            <w:r>
              <w:t>地板</w:t>
            </w:r>
          </w:p>
        </w:tc>
        <w:tc>
          <w:tcPr>
            <w:vAlign w:val="center"/>
          </w:tcPr>
          <w:p w14:paraId="33FAE7D3">
            <w:pPr>
              <w:jc w:val="center"/>
            </w:pPr>
            <w:r>
              <w:t>石塑地板</w:t>
            </w:r>
          </w:p>
        </w:tc>
        <w:tc>
          <w:tcPr>
            <w:vAlign w:val="center"/>
          </w:tcPr>
          <w:p w14:paraId="60F1BA94">
            <w:pPr>
              <w:jc w:val="center"/>
            </w:pPr>
            <w:r>
              <w:t>9.5</w:t>
            </w:r>
          </w:p>
        </w:tc>
      </w:tr>
      <w:tr w14:paraId="23628A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D1B5377">
            <w:pPr>
              <w:jc w:val="center"/>
            </w:pPr>
          </w:p>
        </w:tc>
        <w:tc>
          <w:tcPr>
            <w:vMerge w:val="continue"/>
            <w:vAlign w:val="center"/>
          </w:tcPr>
          <w:p w14:paraId="76D1B0AB">
            <w:pPr>
              <w:jc w:val="center"/>
            </w:pPr>
          </w:p>
        </w:tc>
        <w:tc>
          <w:tcPr>
            <w:vMerge w:val="continue"/>
            <w:vAlign w:val="center"/>
          </w:tcPr>
          <w:p w14:paraId="0E675D65">
            <w:pPr>
              <w:jc w:val="center"/>
            </w:pPr>
          </w:p>
        </w:tc>
        <w:tc>
          <w:tcPr>
            <w:vMerge w:val="continue"/>
            <w:vAlign w:val="center"/>
          </w:tcPr>
          <w:p w14:paraId="7DA71A41">
            <w:pPr>
              <w:jc w:val="center"/>
            </w:pPr>
          </w:p>
        </w:tc>
        <w:tc>
          <w:tcPr>
            <w:vAlign w:val="center"/>
          </w:tcPr>
          <w:p w14:paraId="596FDF3F">
            <w:pPr>
              <w:jc w:val="center"/>
            </w:pPr>
            <w:r>
              <w:t>板材</w:t>
            </w:r>
          </w:p>
        </w:tc>
        <w:tc>
          <w:tcPr>
            <w:vAlign w:val="center"/>
          </w:tcPr>
          <w:p w14:paraId="48AC8428">
            <w:pPr>
              <w:jc w:val="center"/>
            </w:pPr>
            <w:r>
              <w:t>饰面板</w:t>
            </w:r>
          </w:p>
        </w:tc>
        <w:tc>
          <w:tcPr>
            <w:vAlign w:val="center"/>
          </w:tcPr>
          <w:p w14:paraId="2EC905E3">
            <w:pPr>
              <w:jc w:val="center"/>
            </w:pPr>
            <w:r>
              <w:t>3.9</w:t>
            </w:r>
          </w:p>
        </w:tc>
      </w:tr>
      <w:tr w14:paraId="0BEE41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3C0C405">
            <w:pPr>
              <w:jc w:val="center"/>
            </w:pPr>
            <w:r>
              <w:t>1层</w:t>
            </w:r>
          </w:p>
        </w:tc>
        <w:tc>
          <w:tcPr>
            <w:vMerge w:val="restart"/>
            <w:vAlign w:val="center"/>
          </w:tcPr>
          <w:p w14:paraId="1A250414">
            <w:pPr>
              <w:jc w:val="center"/>
            </w:pPr>
            <w:r>
              <w:t>1002</w:t>
            </w:r>
          </w:p>
        </w:tc>
        <w:tc>
          <w:tcPr>
            <w:vMerge w:val="restart"/>
            <w:vAlign w:val="center"/>
          </w:tcPr>
          <w:p w14:paraId="066B9021">
            <w:pPr>
              <w:jc w:val="center"/>
            </w:pPr>
            <w:r>
              <w:t>办公室（2人）</w:t>
            </w:r>
          </w:p>
        </w:tc>
        <w:tc>
          <w:tcPr>
            <w:vMerge w:val="restart"/>
            <w:vAlign w:val="center"/>
          </w:tcPr>
          <w:p w14:paraId="0F4E3F4D">
            <w:pPr>
              <w:jc w:val="center"/>
            </w:pPr>
            <w:r>
              <w:t>（公建）办公室1</w:t>
            </w:r>
          </w:p>
        </w:tc>
        <w:tc>
          <w:tcPr>
            <w:vAlign w:val="center"/>
          </w:tcPr>
          <w:p w14:paraId="53236230">
            <w:pPr>
              <w:jc w:val="center"/>
            </w:pPr>
            <w:r>
              <w:t>涂料</w:t>
            </w:r>
          </w:p>
        </w:tc>
        <w:tc>
          <w:tcPr>
            <w:vAlign w:val="center"/>
          </w:tcPr>
          <w:p w14:paraId="2A28219A">
            <w:pPr>
              <w:jc w:val="center"/>
            </w:pPr>
            <w:r>
              <w:t>面漆</w:t>
            </w:r>
          </w:p>
        </w:tc>
        <w:tc>
          <w:tcPr>
            <w:vAlign w:val="center"/>
          </w:tcPr>
          <w:p w14:paraId="363F1917">
            <w:pPr>
              <w:jc w:val="center"/>
            </w:pPr>
            <w:r>
              <w:t>10.3</w:t>
            </w:r>
          </w:p>
        </w:tc>
      </w:tr>
      <w:tr w14:paraId="55E627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2B7C8DE">
            <w:pPr>
              <w:jc w:val="center"/>
            </w:pPr>
          </w:p>
        </w:tc>
        <w:tc>
          <w:tcPr>
            <w:vMerge w:val="continue"/>
            <w:vAlign w:val="center"/>
          </w:tcPr>
          <w:p w14:paraId="17B4307A">
            <w:pPr>
              <w:jc w:val="center"/>
            </w:pPr>
          </w:p>
        </w:tc>
        <w:tc>
          <w:tcPr>
            <w:vMerge w:val="continue"/>
            <w:vAlign w:val="center"/>
          </w:tcPr>
          <w:p w14:paraId="6EE52899">
            <w:pPr>
              <w:jc w:val="center"/>
            </w:pPr>
          </w:p>
        </w:tc>
        <w:tc>
          <w:tcPr>
            <w:vMerge w:val="continue"/>
            <w:vAlign w:val="center"/>
          </w:tcPr>
          <w:p w14:paraId="2116A5E7">
            <w:pPr>
              <w:jc w:val="center"/>
            </w:pPr>
          </w:p>
        </w:tc>
        <w:tc>
          <w:tcPr>
            <w:vAlign w:val="center"/>
          </w:tcPr>
          <w:p w14:paraId="1FCE33D0">
            <w:pPr>
              <w:jc w:val="center"/>
            </w:pPr>
            <w:r>
              <w:t>地板</w:t>
            </w:r>
          </w:p>
        </w:tc>
        <w:tc>
          <w:tcPr>
            <w:vAlign w:val="center"/>
          </w:tcPr>
          <w:p w14:paraId="72F96385">
            <w:pPr>
              <w:jc w:val="center"/>
            </w:pPr>
            <w:r>
              <w:t>石塑地板</w:t>
            </w:r>
          </w:p>
        </w:tc>
        <w:tc>
          <w:tcPr>
            <w:vAlign w:val="center"/>
          </w:tcPr>
          <w:p w14:paraId="737FC327">
            <w:pPr>
              <w:jc w:val="center"/>
            </w:pPr>
            <w:r>
              <w:t>9.5</w:t>
            </w:r>
          </w:p>
        </w:tc>
      </w:tr>
      <w:tr w14:paraId="25235F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7CA54B9">
            <w:pPr>
              <w:jc w:val="center"/>
            </w:pPr>
          </w:p>
        </w:tc>
        <w:tc>
          <w:tcPr>
            <w:vMerge w:val="continue"/>
            <w:vAlign w:val="center"/>
          </w:tcPr>
          <w:p w14:paraId="0C52711D">
            <w:pPr>
              <w:jc w:val="center"/>
            </w:pPr>
          </w:p>
        </w:tc>
        <w:tc>
          <w:tcPr>
            <w:vMerge w:val="continue"/>
            <w:vAlign w:val="center"/>
          </w:tcPr>
          <w:p w14:paraId="10B2DAD1">
            <w:pPr>
              <w:jc w:val="center"/>
            </w:pPr>
          </w:p>
        </w:tc>
        <w:tc>
          <w:tcPr>
            <w:vMerge w:val="continue"/>
            <w:vAlign w:val="center"/>
          </w:tcPr>
          <w:p w14:paraId="5FC67FE5">
            <w:pPr>
              <w:jc w:val="center"/>
            </w:pPr>
          </w:p>
        </w:tc>
        <w:tc>
          <w:tcPr>
            <w:vAlign w:val="center"/>
          </w:tcPr>
          <w:p w14:paraId="6359F427">
            <w:pPr>
              <w:jc w:val="center"/>
            </w:pPr>
            <w:r>
              <w:t>板材</w:t>
            </w:r>
          </w:p>
        </w:tc>
        <w:tc>
          <w:tcPr>
            <w:vAlign w:val="center"/>
          </w:tcPr>
          <w:p w14:paraId="7BDC5FDC">
            <w:pPr>
              <w:jc w:val="center"/>
            </w:pPr>
            <w:r>
              <w:t>饰面板</w:t>
            </w:r>
          </w:p>
        </w:tc>
        <w:tc>
          <w:tcPr>
            <w:vAlign w:val="center"/>
          </w:tcPr>
          <w:p w14:paraId="55443D6A">
            <w:pPr>
              <w:jc w:val="center"/>
            </w:pPr>
            <w:r>
              <w:t>3.9</w:t>
            </w:r>
          </w:p>
        </w:tc>
      </w:tr>
      <w:tr w14:paraId="44CAF9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EFC81B8">
            <w:pPr>
              <w:jc w:val="center"/>
            </w:pPr>
            <w:r>
              <w:t>1层</w:t>
            </w:r>
          </w:p>
        </w:tc>
        <w:tc>
          <w:tcPr>
            <w:vMerge w:val="restart"/>
            <w:vAlign w:val="center"/>
          </w:tcPr>
          <w:p w14:paraId="057F599A">
            <w:pPr>
              <w:jc w:val="center"/>
            </w:pPr>
            <w:r>
              <w:t>1001</w:t>
            </w:r>
          </w:p>
        </w:tc>
        <w:tc>
          <w:tcPr>
            <w:vMerge w:val="restart"/>
            <w:vAlign w:val="center"/>
          </w:tcPr>
          <w:p w14:paraId="7D70A9A3">
            <w:pPr>
              <w:jc w:val="center"/>
            </w:pPr>
            <w:r>
              <w:t>接待大厅（10人）</w:t>
            </w:r>
          </w:p>
        </w:tc>
        <w:tc>
          <w:tcPr>
            <w:vMerge w:val="restart"/>
            <w:vAlign w:val="center"/>
          </w:tcPr>
          <w:p w14:paraId="7627A54B">
            <w:pPr>
              <w:jc w:val="center"/>
            </w:pPr>
            <w:r>
              <w:t>（公建）办公室1</w:t>
            </w:r>
          </w:p>
        </w:tc>
        <w:tc>
          <w:tcPr>
            <w:vAlign w:val="center"/>
          </w:tcPr>
          <w:p w14:paraId="62F5AFA1">
            <w:pPr>
              <w:jc w:val="center"/>
            </w:pPr>
            <w:r>
              <w:t>涂料</w:t>
            </w:r>
          </w:p>
        </w:tc>
        <w:tc>
          <w:tcPr>
            <w:vAlign w:val="center"/>
          </w:tcPr>
          <w:p w14:paraId="47643BEF">
            <w:pPr>
              <w:jc w:val="center"/>
            </w:pPr>
            <w:r>
              <w:t>面漆</w:t>
            </w:r>
          </w:p>
        </w:tc>
        <w:tc>
          <w:tcPr>
            <w:vAlign w:val="center"/>
          </w:tcPr>
          <w:p w14:paraId="444B8F88">
            <w:pPr>
              <w:jc w:val="center"/>
            </w:pPr>
            <w:r>
              <w:t>29.3</w:t>
            </w:r>
          </w:p>
        </w:tc>
      </w:tr>
      <w:tr w14:paraId="00E3C2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C09E750">
            <w:pPr>
              <w:jc w:val="center"/>
            </w:pPr>
          </w:p>
        </w:tc>
        <w:tc>
          <w:tcPr>
            <w:vMerge w:val="continue"/>
            <w:vAlign w:val="center"/>
          </w:tcPr>
          <w:p w14:paraId="3A992D25">
            <w:pPr>
              <w:jc w:val="center"/>
            </w:pPr>
          </w:p>
        </w:tc>
        <w:tc>
          <w:tcPr>
            <w:vMerge w:val="continue"/>
            <w:vAlign w:val="center"/>
          </w:tcPr>
          <w:p w14:paraId="065AA2E9">
            <w:pPr>
              <w:jc w:val="center"/>
            </w:pPr>
          </w:p>
        </w:tc>
        <w:tc>
          <w:tcPr>
            <w:vMerge w:val="continue"/>
            <w:vAlign w:val="center"/>
          </w:tcPr>
          <w:p w14:paraId="62C1BC20">
            <w:pPr>
              <w:jc w:val="center"/>
            </w:pPr>
          </w:p>
        </w:tc>
        <w:tc>
          <w:tcPr>
            <w:vAlign w:val="center"/>
          </w:tcPr>
          <w:p w14:paraId="70E5B71B">
            <w:pPr>
              <w:jc w:val="center"/>
            </w:pPr>
            <w:r>
              <w:t>地板</w:t>
            </w:r>
          </w:p>
        </w:tc>
        <w:tc>
          <w:tcPr>
            <w:vAlign w:val="center"/>
          </w:tcPr>
          <w:p w14:paraId="49392781">
            <w:pPr>
              <w:jc w:val="center"/>
            </w:pPr>
            <w:r>
              <w:t>石塑地板</w:t>
            </w:r>
          </w:p>
        </w:tc>
        <w:tc>
          <w:tcPr>
            <w:vAlign w:val="center"/>
          </w:tcPr>
          <w:p w14:paraId="69855625">
            <w:pPr>
              <w:jc w:val="center"/>
            </w:pPr>
            <w:r>
              <w:t>27.0</w:t>
            </w:r>
          </w:p>
        </w:tc>
      </w:tr>
      <w:tr w14:paraId="0BF251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8A961B0">
            <w:pPr>
              <w:jc w:val="center"/>
            </w:pPr>
          </w:p>
        </w:tc>
        <w:tc>
          <w:tcPr>
            <w:vMerge w:val="continue"/>
            <w:vAlign w:val="center"/>
          </w:tcPr>
          <w:p w14:paraId="59023ADE">
            <w:pPr>
              <w:jc w:val="center"/>
            </w:pPr>
          </w:p>
        </w:tc>
        <w:tc>
          <w:tcPr>
            <w:vMerge w:val="continue"/>
            <w:vAlign w:val="center"/>
          </w:tcPr>
          <w:p w14:paraId="59E8BB56">
            <w:pPr>
              <w:jc w:val="center"/>
            </w:pPr>
          </w:p>
        </w:tc>
        <w:tc>
          <w:tcPr>
            <w:vMerge w:val="continue"/>
            <w:vAlign w:val="center"/>
          </w:tcPr>
          <w:p w14:paraId="30DDB292">
            <w:pPr>
              <w:jc w:val="center"/>
            </w:pPr>
          </w:p>
        </w:tc>
        <w:tc>
          <w:tcPr>
            <w:vAlign w:val="center"/>
          </w:tcPr>
          <w:p w14:paraId="2C970AFB">
            <w:pPr>
              <w:jc w:val="center"/>
            </w:pPr>
            <w:r>
              <w:t>板材</w:t>
            </w:r>
          </w:p>
        </w:tc>
        <w:tc>
          <w:tcPr>
            <w:vAlign w:val="center"/>
          </w:tcPr>
          <w:p w14:paraId="016D124B">
            <w:pPr>
              <w:jc w:val="center"/>
            </w:pPr>
            <w:r>
              <w:t>饰面板</w:t>
            </w:r>
          </w:p>
        </w:tc>
        <w:tc>
          <w:tcPr>
            <w:vAlign w:val="center"/>
          </w:tcPr>
          <w:p w14:paraId="30E5DA8F">
            <w:pPr>
              <w:jc w:val="center"/>
            </w:pPr>
            <w:r>
              <w:t>11.3</w:t>
            </w:r>
          </w:p>
        </w:tc>
      </w:tr>
      <w:tr w14:paraId="412FD9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659C40FC">
            <w:pPr>
              <w:jc w:val="center"/>
            </w:pPr>
            <w:r>
              <w:t>2层</w:t>
            </w:r>
          </w:p>
        </w:tc>
        <w:tc>
          <w:tcPr>
            <w:vMerge w:val="restart"/>
            <w:vAlign w:val="center"/>
          </w:tcPr>
          <w:p w14:paraId="0472F7D1">
            <w:pPr>
              <w:jc w:val="center"/>
            </w:pPr>
            <w:r>
              <w:t>2003</w:t>
            </w:r>
          </w:p>
        </w:tc>
        <w:tc>
          <w:tcPr>
            <w:vMerge w:val="restart"/>
            <w:vAlign w:val="center"/>
          </w:tcPr>
          <w:p w14:paraId="1632B485">
            <w:pPr>
              <w:jc w:val="center"/>
            </w:pPr>
            <w:r>
              <w:t>办公室（2人）</w:t>
            </w:r>
          </w:p>
        </w:tc>
        <w:tc>
          <w:tcPr>
            <w:vMerge w:val="restart"/>
            <w:vAlign w:val="center"/>
          </w:tcPr>
          <w:p w14:paraId="77D82583">
            <w:pPr>
              <w:jc w:val="center"/>
            </w:pPr>
            <w:r>
              <w:t>（公建）办公室1</w:t>
            </w:r>
          </w:p>
        </w:tc>
        <w:tc>
          <w:tcPr>
            <w:vAlign w:val="center"/>
          </w:tcPr>
          <w:p w14:paraId="3043D652">
            <w:pPr>
              <w:jc w:val="center"/>
            </w:pPr>
            <w:r>
              <w:t>涂料</w:t>
            </w:r>
          </w:p>
        </w:tc>
        <w:tc>
          <w:tcPr>
            <w:vAlign w:val="center"/>
          </w:tcPr>
          <w:p w14:paraId="5A0DFEB2">
            <w:pPr>
              <w:jc w:val="center"/>
            </w:pPr>
            <w:r>
              <w:t>面漆</w:t>
            </w:r>
          </w:p>
        </w:tc>
        <w:tc>
          <w:tcPr>
            <w:vAlign w:val="center"/>
          </w:tcPr>
          <w:p w14:paraId="35AF12D9">
            <w:pPr>
              <w:jc w:val="center"/>
            </w:pPr>
            <w:r>
              <w:t>10.3</w:t>
            </w:r>
          </w:p>
        </w:tc>
      </w:tr>
      <w:tr w14:paraId="1C615E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4765368">
            <w:pPr>
              <w:jc w:val="center"/>
            </w:pPr>
          </w:p>
        </w:tc>
        <w:tc>
          <w:tcPr>
            <w:vMerge w:val="continue"/>
            <w:vAlign w:val="center"/>
          </w:tcPr>
          <w:p w14:paraId="7492A683">
            <w:pPr>
              <w:jc w:val="center"/>
            </w:pPr>
          </w:p>
        </w:tc>
        <w:tc>
          <w:tcPr>
            <w:vMerge w:val="continue"/>
            <w:vAlign w:val="center"/>
          </w:tcPr>
          <w:p w14:paraId="7FE37ECD">
            <w:pPr>
              <w:jc w:val="center"/>
            </w:pPr>
          </w:p>
        </w:tc>
        <w:tc>
          <w:tcPr>
            <w:vMerge w:val="continue"/>
            <w:vAlign w:val="center"/>
          </w:tcPr>
          <w:p w14:paraId="6DAC5B65">
            <w:pPr>
              <w:jc w:val="center"/>
            </w:pPr>
          </w:p>
        </w:tc>
        <w:tc>
          <w:tcPr>
            <w:vAlign w:val="center"/>
          </w:tcPr>
          <w:p w14:paraId="19EB2DBF">
            <w:pPr>
              <w:jc w:val="center"/>
            </w:pPr>
            <w:r>
              <w:t>地板</w:t>
            </w:r>
          </w:p>
        </w:tc>
        <w:tc>
          <w:tcPr>
            <w:vAlign w:val="center"/>
          </w:tcPr>
          <w:p w14:paraId="08C2AEFB">
            <w:pPr>
              <w:jc w:val="center"/>
            </w:pPr>
            <w:r>
              <w:t>石塑地板</w:t>
            </w:r>
          </w:p>
        </w:tc>
        <w:tc>
          <w:tcPr>
            <w:vAlign w:val="center"/>
          </w:tcPr>
          <w:p w14:paraId="40CBB3C7">
            <w:pPr>
              <w:jc w:val="center"/>
            </w:pPr>
            <w:r>
              <w:t>9.5</w:t>
            </w:r>
          </w:p>
        </w:tc>
      </w:tr>
      <w:tr w14:paraId="12FD9A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86EA361">
            <w:pPr>
              <w:jc w:val="center"/>
            </w:pPr>
          </w:p>
        </w:tc>
        <w:tc>
          <w:tcPr>
            <w:vMerge w:val="continue"/>
            <w:vAlign w:val="center"/>
          </w:tcPr>
          <w:p w14:paraId="3338E4CC">
            <w:pPr>
              <w:jc w:val="center"/>
            </w:pPr>
          </w:p>
        </w:tc>
        <w:tc>
          <w:tcPr>
            <w:vMerge w:val="continue"/>
            <w:vAlign w:val="center"/>
          </w:tcPr>
          <w:p w14:paraId="3645B751">
            <w:pPr>
              <w:jc w:val="center"/>
            </w:pPr>
          </w:p>
        </w:tc>
        <w:tc>
          <w:tcPr>
            <w:vMerge w:val="continue"/>
            <w:vAlign w:val="center"/>
          </w:tcPr>
          <w:p w14:paraId="2A95D1B8">
            <w:pPr>
              <w:jc w:val="center"/>
            </w:pPr>
          </w:p>
        </w:tc>
        <w:tc>
          <w:tcPr>
            <w:vAlign w:val="center"/>
          </w:tcPr>
          <w:p w14:paraId="11FA7D47">
            <w:pPr>
              <w:jc w:val="center"/>
            </w:pPr>
            <w:r>
              <w:t>板材</w:t>
            </w:r>
          </w:p>
        </w:tc>
        <w:tc>
          <w:tcPr>
            <w:vAlign w:val="center"/>
          </w:tcPr>
          <w:p w14:paraId="354323D0">
            <w:pPr>
              <w:jc w:val="center"/>
            </w:pPr>
            <w:r>
              <w:t>饰面板</w:t>
            </w:r>
          </w:p>
        </w:tc>
        <w:tc>
          <w:tcPr>
            <w:vAlign w:val="center"/>
          </w:tcPr>
          <w:p w14:paraId="577A39AA">
            <w:pPr>
              <w:jc w:val="center"/>
            </w:pPr>
            <w:r>
              <w:t>3.9</w:t>
            </w:r>
          </w:p>
        </w:tc>
      </w:tr>
      <w:tr w14:paraId="1B797E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A3A1A79">
            <w:pPr>
              <w:jc w:val="center"/>
            </w:pPr>
            <w:r>
              <w:t>2层</w:t>
            </w:r>
          </w:p>
        </w:tc>
        <w:tc>
          <w:tcPr>
            <w:vMerge w:val="restart"/>
            <w:vAlign w:val="center"/>
          </w:tcPr>
          <w:p w14:paraId="7ACF29CF">
            <w:pPr>
              <w:jc w:val="center"/>
            </w:pPr>
            <w:r>
              <w:t>2002</w:t>
            </w:r>
          </w:p>
        </w:tc>
        <w:tc>
          <w:tcPr>
            <w:vMerge w:val="restart"/>
            <w:vAlign w:val="center"/>
          </w:tcPr>
          <w:p w14:paraId="5768BCBF">
            <w:pPr>
              <w:jc w:val="center"/>
            </w:pPr>
            <w:r>
              <w:t>办公室（2人）</w:t>
            </w:r>
          </w:p>
        </w:tc>
        <w:tc>
          <w:tcPr>
            <w:vMerge w:val="restart"/>
            <w:vAlign w:val="center"/>
          </w:tcPr>
          <w:p w14:paraId="50F0B9E2">
            <w:pPr>
              <w:jc w:val="center"/>
            </w:pPr>
            <w:r>
              <w:t>（公建）办公室1</w:t>
            </w:r>
          </w:p>
        </w:tc>
        <w:tc>
          <w:tcPr>
            <w:vAlign w:val="center"/>
          </w:tcPr>
          <w:p w14:paraId="47829CE2">
            <w:pPr>
              <w:jc w:val="center"/>
            </w:pPr>
            <w:r>
              <w:t>涂料</w:t>
            </w:r>
          </w:p>
        </w:tc>
        <w:tc>
          <w:tcPr>
            <w:vAlign w:val="center"/>
          </w:tcPr>
          <w:p w14:paraId="333C8819">
            <w:pPr>
              <w:jc w:val="center"/>
            </w:pPr>
            <w:r>
              <w:t>面漆</w:t>
            </w:r>
          </w:p>
        </w:tc>
        <w:tc>
          <w:tcPr>
            <w:vAlign w:val="center"/>
          </w:tcPr>
          <w:p w14:paraId="25D1E9B2">
            <w:pPr>
              <w:jc w:val="center"/>
            </w:pPr>
            <w:r>
              <w:t>10.3</w:t>
            </w:r>
          </w:p>
        </w:tc>
      </w:tr>
      <w:tr w14:paraId="220DC6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0A6CBCF">
            <w:pPr>
              <w:jc w:val="center"/>
            </w:pPr>
          </w:p>
        </w:tc>
        <w:tc>
          <w:tcPr>
            <w:vMerge w:val="continue"/>
            <w:vAlign w:val="center"/>
          </w:tcPr>
          <w:p w14:paraId="684B07FB">
            <w:pPr>
              <w:jc w:val="center"/>
            </w:pPr>
          </w:p>
        </w:tc>
        <w:tc>
          <w:tcPr>
            <w:vMerge w:val="continue"/>
            <w:vAlign w:val="center"/>
          </w:tcPr>
          <w:p w14:paraId="5CCD27F8">
            <w:pPr>
              <w:jc w:val="center"/>
            </w:pPr>
          </w:p>
        </w:tc>
        <w:tc>
          <w:tcPr>
            <w:vMerge w:val="continue"/>
            <w:vAlign w:val="center"/>
          </w:tcPr>
          <w:p w14:paraId="3B78D4BD">
            <w:pPr>
              <w:jc w:val="center"/>
            </w:pPr>
          </w:p>
        </w:tc>
        <w:tc>
          <w:tcPr>
            <w:vAlign w:val="center"/>
          </w:tcPr>
          <w:p w14:paraId="3C0BC1FC">
            <w:pPr>
              <w:jc w:val="center"/>
            </w:pPr>
            <w:r>
              <w:t>地板</w:t>
            </w:r>
          </w:p>
        </w:tc>
        <w:tc>
          <w:tcPr>
            <w:vAlign w:val="center"/>
          </w:tcPr>
          <w:p w14:paraId="7402D3D2">
            <w:pPr>
              <w:jc w:val="center"/>
            </w:pPr>
            <w:r>
              <w:t>石塑地板</w:t>
            </w:r>
          </w:p>
        </w:tc>
        <w:tc>
          <w:tcPr>
            <w:vAlign w:val="center"/>
          </w:tcPr>
          <w:p w14:paraId="772FF779">
            <w:pPr>
              <w:jc w:val="center"/>
            </w:pPr>
            <w:r>
              <w:t>9.5</w:t>
            </w:r>
          </w:p>
        </w:tc>
      </w:tr>
      <w:tr w14:paraId="65C092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B0A08C2">
            <w:pPr>
              <w:jc w:val="center"/>
            </w:pPr>
          </w:p>
        </w:tc>
        <w:tc>
          <w:tcPr>
            <w:vMerge w:val="continue"/>
            <w:vAlign w:val="center"/>
          </w:tcPr>
          <w:p w14:paraId="4D6319B0">
            <w:pPr>
              <w:jc w:val="center"/>
            </w:pPr>
          </w:p>
        </w:tc>
        <w:tc>
          <w:tcPr>
            <w:vMerge w:val="continue"/>
            <w:vAlign w:val="center"/>
          </w:tcPr>
          <w:p w14:paraId="36ACFDC3">
            <w:pPr>
              <w:jc w:val="center"/>
            </w:pPr>
          </w:p>
        </w:tc>
        <w:tc>
          <w:tcPr>
            <w:vMerge w:val="continue"/>
            <w:vAlign w:val="center"/>
          </w:tcPr>
          <w:p w14:paraId="0023098F">
            <w:pPr>
              <w:jc w:val="center"/>
            </w:pPr>
          </w:p>
        </w:tc>
        <w:tc>
          <w:tcPr>
            <w:vAlign w:val="center"/>
          </w:tcPr>
          <w:p w14:paraId="0BCFF75B">
            <w:pPr>
              <w:jc w:val="center"/>
            </w:pPr>
            <w:r>
              <w:t>板材</w:t>
            </w:r>
          </w:p>
        </w:tc>
        <w:tc>
          <w:tcPr>
            <w:vAlign w:val="center"/>
          </w:tcPr>
          <w:p w14:paraId="479EEEA8">
            <w:pPr>
              <w:jc w:val="center"/>
            </w:pPr>
            <w:r>
              <w:t>饰面板</w:t>
            </w:r>
          </w:p>
        </w:tc>
        <w:tc>
          <w:tcPr>
            <w:vAlign w:val="center"/>
          </w:tcPr>
          <w:p w14:paraId="5FA20AB6">
            <w:pPr>
              <w:jc w:val="center"/>
            </w:pPr>
            <w:r>
              <w:t>3.9</w:t>
            </w:r>
          </w:p>
        </w:tc>
      </w:tr>
      <w:tr w14:paraId="632612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63B781F">
            <w:pPr>
              <w:jc w:val="center"/>
            </w:pPr>
            <w:r>
              <w:t>2层</w:t>
            </w:r>
          </w:p>
        </w:tc>
        <w:tc>
          <w:tcPr>
            <w:vMerge w:val="restart"/>
            <w:vAlign w:val="center"/>
          </w:tcPr>
          <w:p w14:paraId="0D1DD72D">
            <w:pPr>
              <w:jc w:val="center"/>
            </w:pPr>
            <w:r>
              <w:t>2001</w:t>
            </w:r>
          </w:p>
        </w:tc>
        <w:tc>
          <w:tcPr>
            <w:vMerge w:val="restart"/>
            <w:vAlign w:val="center"/>
          </w:tcPr>
          <w:p w14:paraId="500F7EB7">
            <w:pPr>
              <w:jc w:val="center"/>
            </w:pPr>
            <w:r>
              <w:t>办公室（7人）</w:t>
            </w:r>
          </w:p>
        </w:tc>
        <w:tc>
          <w:tcPr>
            <w:vMerge w:val="restart"/>
            <w:vAlign w:val="center"/>
          </w:tcPr>
          <w:p w14:paraId="6ADA0674">
            <w:pPr>
              <w:jc w:val="center"/>
            </w:pPr>
            <w:r>
              <w:t>（公建）办公室1</w:t>
            </w:r>
          </w:p>
        </w:tc>
        <w:tc>
          <w:tcPr>
            <w:vAlign w:val="center"/>
          </w:tcPr>
          <w:p w14:paraId="131488B0">
            <w:pPr>
              <w:jc w:val="center"/>
            </w:pPr>
            <w:r>
              <w:t>涂料</w:t>
            </w:r>
          </w:p>
        </w:tc>
        <w:tc>
          <w:tcPr>
            <w:vAlign w:val="center"/>
          </w:tcPr>
          <w:p w14:paraId="6FC4B897">
            <w:pPr>
              <w:jc w:val="center"/>
            </w:pPr>
            <w:r>
              <w:t>面漆</w:t>
            </w:r>
          </w:p>
        </w:tc>
        <w:tc>
          <w:tcPr>
            <w:vAlign w:val="center"/>
          </w:tcPr>
          <w:p w14:paraId="34FB9CAE">
            <w:pPr>
              <w:jc w:val="center"/>
            </w:pPr>
            <w:r>
              <w:t>29.3</w:t>
            </w:r>
          </w:p>
        </w:tc>
      </w:tr>
      <w:tr w14:paraId="5F4C6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9DDBF84">
            <w:pPr>
              <w:jc w:val="center"/>
            </w:pPr>
          </w:p>
        </w:tc>
        <w:tc>
          <w:tcPr>
            <w:vMerge w:val="continue"/>
            <w:vAlign w:val="center"/>
          </w:tcPr>
          <w:p w14:paraId="0E01A1AF">
            <w:pPr>
              <w:jc w:val="center"/>
            </w:pPr>
          </w:p>
        </w:tc>
        <w:tc>
          <w:tcPr>
            <w:vMerge w:val="continue"/>
            <w:vAlign w:val="center"/>
          </w:tcPr>
          <w:p w14:paraId="5C3F1788">
            <w:pPr>
              <w:jc w:val="center"/>
            </w:pPr>
          </w:p>
        </w:tc>
        <w:tc>
          <w:tcPr>
            <w:vMerge w:val="continue"/>
            <w:vAlign w:val="center"/>
          </w:tcPr>
          <w:p w14:paraId="5E005E1F">
            <w:pPr>
              <w:jc w:val="center"/>
            </w:pPr>
          </w:p>
        </w:tc>
        <w:tc>
          <w:tcPr>
            <w:vAlign w:val="center"/>
          </w:tcPr>
          <w:p w14:paraId="5748792E">
            <w:pPr>
              <w:jc w:val="center"/>
            </w:pPr>
            <w:r>
              <w:t>地板</w:t>
            </w:r>
          </w:p>
        </w:tc>
        <w:tc>
          <w:tcPr>
            <w:vAlign w:val="center"/>
          </w:tcPr>
          <w:p w14:paraId="774E1DB2">
            <w:pPr>
              <w:jc w:val="center"/>
            </w:pPr>
            <w:r>
              <w:t>石塑地板</w:t>
            </w:r>
          </w:p>
        </w:tc>
        <w:tc>
          <w:tcPr>
            <w:vAlign w:val="center"/>
          </w:tcPr>
          <w:p w14:paraId="51A24F0F">
            <w:pPr>
              <w:jc w:val="center"/>
            </w:pPr>
            <w:r>
              <w:t>27.0</w:t>
            </w:r>
          </w:p>
        </w:tc>
      </w:tr>
      <w:tr w14:paraId="34D7E2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2C9E271">
            <w:pPr>
              <w:jc w:val="center"/>
            </w:pPr>
          </w:p>
        </w:tc>
        <w:tc>
          <w:tcPr>
            <w:vMerge w:val="continue"/>
            <w:vAlign w:val="center"/>
          </w:tcPr>
          <w:p w14:paraId="68B3472D">
            <w:pPr>
              <w:jc w:val="center"/>
            </w:pPr>
          </w:p>
        </w:tc>
        <w:tc>
          <w:tcPr>
            <w:vMerge w:val="continue"/>
            <w:vAlign w:val="center"/>
          </w:tcPr>
          <w:p w14:paraId="32D7FCEF">
            <w:pPr>
              <w:jc w:val="center"/>
            </w:pPr>
          </w:p>
        </w:tc>
        <w:tc>
          <w:tcPr>
            <w:vMerge w:val="continue"/>
            <w:vAlign w:val="center"/>
          </w:tcPr>
          <w:p w14:paraId="5BA892A8">
            <w:pPr>
              <w:jc w:val="center"/>
            </w:pPr>
          </w:p>
        </w:tc>
        <w:tc>
          <w:tcPr>
            <w:vAlign w:val="center"/>
          </w:tcPr>
          <w:p w14:paraId="782C1092">
            <w:pPr>
              <w:jc w:val="center"/>
            </w:pPr>
            <w:r>
              <w:t>板材</w:t>
            </w:r>
          </w:p>
        </w:tc>
        <w:tc>
          <w:tcPr>
            <w:vAlign w:val="center"/>
          </w:tcPr>
          <w:p w14:paraId="365EA203">
            <w:pPr>
              <w:jc w:val="center"/>
            </w:pPr>
            <w:r>
              <w:t>饰面板</w:t>
            </w:r>
          </w:p>
        </w:tc>
        <w:tc>
          <w:tcPr>
            <w:vAlign w:val="center"/>
          </w:tcPr>
          <w:p w14:paraId="78EB6F56">
            <w:pPr>
              <w:jc w:val="center"/>
            </w:pPr>
            <w:r>
              <w:t>11.3</w:t>
            </w:r>
          </w:p>
        </w:tc>
      </w:tr>
    </w:tbl>
    <w:p w14:paraId="01164A81">
      <w:pPr>
        <w:jc w:val="center"/>
        <w:rPr>
          <w:rFonts w:ascii="Times New Roman" w:hAnsi="Times New Roman" w:cs="Times New Roman"/>
          <w:highlight w:val="red"/>
          <w:lang w:val="zh-CN"/>
        </w:rPr>
      </w:pPr>
      <w:bookmarkStart w:id="26" w:name="装修材料清单表"/>
      <w:bookmarkEnd w:id="26"/>
    </w:p>
    <w:p w14:paraId="2C01C115">
      <w:pPr>
        <w:pStyle w:val="2"/>
        <w:keepLines w:val="0"/>
        <w:widowControl/>
        <w:numPr>
          <w:ilvl w:val="0"/>
          <w:numId w:val="1"/>
        </w:numPr>
        <w:kinsoku w:val="0"/>
        <w:spacing w:before="240" w:after="60" w:line="240" w:lineRule="auto"/>
        <w:jc w:val="left"/>
        <w:rPr>
          <w:rFonts w:ascii="Times New Roman" w:hAnsi="Times New Roman" w:cs="Times New Roman"/>
          <w:kern w:val="32"/>
          <w:sz w:val="28"/>
          <w:szCs w:val="28"/>
        </w:rPr>
      </w:pPr>
      <w:bookmarkStart w:id="27" w:name="_Toc14989"/>
      <w:r>
        <w:rPr>
          <w:rFonts w:ascii="Times New Roman" w:hAnsi="Times New Roman" w:cs="Times New Roman"/>
          <w:kern w:val="32"/>
          <w:sz w:val="28"/>
          <w:szCs w:val="28"/>
        </w:rPr>
        <w:t>计算结果</w:t>
      </w:r>
      <w:bookmarkEnd w:id="27"/>
    </w:p>
    <w:p w14:paraId="5E2EE4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本项目按照标准对参评房间有机挥发物进行计算，并对照标准进行达标判定。如前述参考标准所述，《绿色建筑评价标准》</w:t>
      </w:r>
      <w:r>
        <w:rPr>
          <w:rFonts w:ascii="Times New Roman" w:hAnsi="Times New Roman" w:cs="Times New Roman"/>
          <w:lang w:val="zh-CN"/>
        </w:rPr>
        <w:t>中不同的检查项目对不同室内挥发物的浓度要求详见下表：</w:t>
      </w:r>
      <w:r>
        <w:rPr>
          <w:rFonts w:ascii="Times New Roman" w:hAnsi="Times New Roman" w:eastAsia="黑体" w:cs="Times New Roman"/>
          <w:sz w:val="18"/>
          <w:szCs w:val="20"/>
          <w:lang w:val="zh-CN"/>
        </w:rPr>
        <w:tab/>
      </w:r>
    </w:p>
    <w:p w14:paraId="37CD3A0F">
      <w:pPr>
        <w:jc w:val="center"/>
        <w:rPr>
          <w:rFonts w:ascii="微软雅黑" w:hAnsi="微软雅黑" w:eastAsia="微软雅黑" w:cs="Times New Roman"/>
          <w:b/>
          <w:bCs/>
          <w:color w:val="000000"/>
        </w:rPr>
      </w:pPr>
      <w:r>
        <w:rPr>
          <w:rFonts w:ascii="微软雅黑" w:hAnsi="微软雅黑" w:eastAsia="微软雅黑" w:cs="Times New Roman"/>
          <w:b/>
          <w:bCs/>
          <w:color w:val="000000"/>
        </w:rPr>
        <w:t>表6.1  有机挥发物标准限值</w:t>
      </w:r>
    </w:p>
    <w:tbl>
      <w:tblPr>
        <w:tblStyle w:val="19"/>
        <w:tblW w:w="819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3"/>
        <w:gridCol w:w="850"/>
        <w:gridCol w:w="2410"/>
        <w:gridCol w:w="1373"/>
        <w:gridCol w:w="2055"/>
      </w:tblGrid>
      <w:tr w14:paraId="3D805F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353" w:type="dxa"/>
            <w:gridSpan w:val="2"/>
            <w:vMerge w:val="restart"/>
            <w:shd w:val="clear" w:color="auto" w:fill="E7E6E6" w:themeFill="background2"/>
            <w:noWrap/>
            <w:vAlign w:val="center"/>
          </w:tcPr>
          <w:p w14:paraId="692AC4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检查项目</w:t>
            </w:r>
          </w:p>
        </w:tc>
        <w:tc>
          <w:tcPr>
            <w:tcW w:w="2410" w:type="dxa"/>
            <w:shd w:val="clear" w:color="auto" w:fill="E7E6E6" w:themeFill="background2"/>
            <w:noWrap/>
            <w:vAlign w:val="center"/>
          </w:tcPr>
          <w:p w14:paraId="779431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甲醛</w:t>
            </w:r>
          </w:p>
        </w:tc>
        <w:tc>
          <w:tcPr>
            <w:tcW w:w="1373" w:type="dxa"/>
            <w:shd w:val="clear" w:color="auto" w:fill="E7E6E6" w:themeFill="background2"/>
            <w:noWrap/>
            <w:vAlign w:val="center"/>
          </w:tcPr>
          <w:p w14:paraId="782BAED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苯</w:t>
            </w:r>
          </w:p>
        </w:tc>
        <w:tc>
          <w:tcPr>
            <w:tcW w:w="2055" w:type="dxa"/>
            <w:shd w:val="clear" w:color="auto" w:fill="E7E6E6" w:themeFill="background2"/>
            <w:noWrap/>
            <w:vAlign w:val="center"/>
          </w:tcPr>
          <w:p w14:paraId="2921E3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TVOC</w:t>
            </w:r>
          </w:p>
        </w:tc>
      </w:tr>
      <w:tr w14:paraId="065641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53" w:type="dxa"/>
            <w:gridSpan w:val="2"/>
            <w:vMerge w:val="continue"/>
            <w:shd w:val="clear" w:color="auto" w:fill="E7E6E6" w:themeFill="background2"/>
            <w:vAlign w:val="center"/>
          </w:tcPr>
          <w:p w14:paraId="34551F82">
            <w:pPr>
              <w:jc w:val="left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3783" w:type="dxa"/>
            <w:gridSpan w:val="2"/>
            <w:shd w:val="clear" w:color="auto" w:fill="E7E6E6" w:themeFill="background2"/>
            <w:noWrap/>
            <w:vAlign w:val="center"/>
          </w:tcPr>
          <w:p w14:paraId="2157FF0B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cs="Times New Roman" w:eastAsiaTheme="minorHAnsi"/>
                <w:bCs/>
                <w:color w:val="000000"/>
                <w:kern w:val="0"/>
                <w:sz w:val="20"/>
                <w:szCs w:val="20"/>
              </w:rPr>
              <w:t>1小时均值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(mg/ m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055" w:type="dxa"/>
            <w:shd w:val="clear" w:color="auto" w:fill="E7E6E6" w:themeFill="background2"/>
            <w:noWrap/>
            <w:vAlign w:val="center"/>
          </w:tcPr>
          <w:p w14:paraId="1867994F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cs="Times New Roman" w:eastAsiaTheme="minorHAnsi"/>
                <w:bCs/>
                <w:color w:val="000000"/>
                <w:kern w:val="0"/>
                <w:sz w:val="20"/>
                <w:szCs w:val="20"/>
              </w:rPr>
              <w:t>8小时均值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(mg/ m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)</w:t>
            </w:r>
          </w:p>
        </w:tc>
      </w:tr>
      <w:tr w14:paraId="1DF10D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353" w:type="dxa"/>
            <w:gridSpan w:val="2"/>
            <w:shd w:val="clear" w:color="auto" w:fill="E7E6E6" w:themeFill="background2"/>
            <w:noWrap/>
            <w:vAlign w:val="center"/>
          </w:tcPr>
          <w:p w14:paraId="10E02E30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cs="Times New Roman" w:eastAsiaTheme="minorHAnsi"/>
                <w:bCs/>
                <w:color w:val="000000"/>
                <w:kern w:val="0"/>
                <w:sz w:val="20"/>
                <w:szCs w:val="20"/>
              </w:rPr>
              <w:t>控制项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23FBFF0A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szCs w:val="21"/>
              </w:rPr>
              <w:t>0.10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410C1320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szCs w:val="21"/>
              </w:rPr>
              <w:t>0.11</w:t>
            </w:r>
          </w:p>
        </w:tc>
        <w:tc>
          <w:tcPr>
            <w:tcW w:w="2055" w:type="dxa"/>
            <w:shd w:val="clear" w:color="auto" w:fill="auto"/>
            <w:noWrap/>
            <w:vAlign w:val="center"/>
          </w:tcPr>
          <w:p w14:paraId="36815A6F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szCs w:val="21"/>
              </w:rPr>
              <w:t>0.60</w:t>
            </w:r>
          </w:p>
        </w:tc>
      </w:tr>
      <w:tr w14:paraId="2746C8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03" w:type="dxa"/>
            <w:vMerge w:val="restart"/>
            <w:shd w:val="clear" w:color="auto" w:fill="E7E6E6" w:themeFill="background2"/>
            <w:noWrap/>
            <w:vAlign w:val="center"/>
          </w:tcPr>
          <w:p w14:paraId="5574EDC7"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cs="Times New Roman" w:eastAsiaTheme="minorHAnsi"/>
                <w:bCs/>
                <w:color w:val="000000"/>
                <w:kern w:val="0"/>
                <w:sz w:val="20"/>
                <w:szCs w:val="20"/>
              </w:rPr>
              <w:t>评分项</w:t>
            </w: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0A1F5036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cs="Times New Roman" w:eastAsiaTheme="minorHAnsi"/>
                <w:bCs/>
                <w:color w:val="000000"/>
                <w:kern w:val="0"/>
                <w:sz w:val="20"/>
                <w:szCs w:val="20"/>
              </w:rPr>
              <w:t>3分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365E77ED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szCs w:val="21"/>
              </w:rPr>
              <w:t>0.09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2C5F4354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szCs w:val="21"/>
              </w:rPr>
              <w:t>0.099</w:t>
            </w:r>
          </w:p>
        </w:tc>
        <w:tc>
          <w:tcPr>
            <w:tcW w:w="2055" w:type="dxa"/>
            <w:shd w:val="clear" w:color="auto" w:fill="auto"/>
            <w:noWrap/>
            <w:vAlign w:val="center"/>
          </w:tcPr>
          <w:p w14:paraId="72118511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szCs w:val="21"/>
              </w:rPr>
              <w:t>0.54</w:t>
            </w:r>
          </w:p>
        </w:tc>
      </w:tr>
      <w:tr w14:paraId="4C7040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" w:hRule="atLeast"/>
        </w:trPr>
        <w:tc>
          <w:tcPr>
            <w:tcW w:w="1503" w:type="dxa"/>
            <w:vMerge w:val="continue"/>
            <w:shd w:val="clear" w:color="auto" w:fill="E7E6E6" w:themeFill="background2"/>
            <w:noWrap/>
            <w:vAlign w:val="center"/>
          </w:tcPr>
          <w:p w14:paraId="38CC31F1">
            <w:pPr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shd w:val="clear" w:color="auto" w:fill="E7E6E6" w:themeFill="background2"/>
            <w:vAlign w:val="center"/>
          </w:tcPr>
          <w:p w14:paraId="1A45D75E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cs="Times New Roman" w:eastAsiaTheme="minorHAnsi"/>
                <w:bCs/>
                <w:color w:val="000000"/>
                <w:kern w:val="0"/>
                <w:sz w:val="20"/>
                <w:szCs w:val="20"/>
              </w:rPr>
              <w:t>6分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14:paraId="4F31004A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szCs w:val="21"/>
              </w:rPr>
              <w:t>0.08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7890B99D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szCs w:val="21"/>
              </w:rPr>
              <w:t>0.088</w:t>
            </w:r>
          </w:p>
        </w:tc>
        <w:tc>
          <w:tcPr>
            <w:tcW w:w="2055" w:type="dxa"/>
            <w:shd w:val="clear" w:color="auto" w:fill="auto"/>
            <w:noWrap/>
            <w:vAlign w:val="center"/>
          </w:tcPr>
          <w:p w14:paraId="14FE95E5">
            <w:pPr>
              <w:jc w:val="center"/>
              <w:rPr>
                <w:rFonts w:cs="Times New Roman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szCs w:val="21"/>
              </w:rPr>
              <w:t>0.48</w:t>
            </w:r>
          </w:p>
        </w:tc>
      </w:tr>
    </w:tbl>
    <w:p w14:paraId="3D413636">
      <w:pPr>
        <w:spacing w:before="120"/>
        <w:rPr>
          <w:rFonts w:ascii="Times New Roman" w:hAnsi="Times New Roman" w:eastAsia="黑体" w:cs="Times New Roman"/>
          <w:color w:val="000000"/>
          <w:kern w:val="0"/>
          <w:sz w:val="22"/>
        </w:rPr>
      </w:pPr>
      <w:r>
        <w:rPr>
          <w:rFonts w:ascii="Times New Roman" w:hAnsi="Times New Roman" w:eastAsia="黑体" w:cs="Times New Roman"/>
          <w:color w:val="000000"/>
          <w:kern w:val="0"/>
          <w:sz w:val="22"/>
        </w:rPr>
        <w:t xml:space="preserve"> </w:t>
      </w:r>
      <w:r>
        <w:rPr>
          <w:rFonts w:ascii="Times New Roman" w:hAnsi="Times New Roman" w:cs="Times New Roman"/>
        </w:rPr>
        <w:t>本项目对各房间有机挥发物浓度进行了计算，汇总如下表：</w:t>
      </w:r>
    </w:p>
    <w:p w14:paraId="623BC876">
      <w:pPr>
        <w:jc w:val="center"/>
        <w:rPr>
          <w:rFonts w:ascii="微软雅黑" w:hAnsi="微软雅黑" w:eastAsia="微软雅黑" w:cs="Times New Roman"/>
          <w:b/>
          <w:bCs/>
          <w:color w:val="000000"/>
        </w:rPr>
      </w:pPr>
      <w:r>
        <w:rPr>
          <w:rFonts w:ascii="微软雅黑" w:hAnsi="微软雅黑" w:eastAsia="微软雅黑" w:cs="Times New Roman"/>
          <w:b/>
          <w:bCs/>
          <w:color w:val="000000"/>
        </w:rPr>
        <w:t>表6.2  各房间有机挥发物达标判定</w:t>
      </w:r>
      <w:r>
        <w:rPr>
          <w:rFonts w:hint="eastAsia" w:ascii="微软雅黑" w:hAnsi="微软雅黑" w:eastAsia="微软雅黑" w:cs="Times New Roman"/>
          <w:b/>
          <w:bCs/>
          <w:color w:val="000000"/>
        </w:rPr>
        <w:t>(</w:t>
      </w:r>
      <w:r>
        <w:rPr>
          <w:rFonts w:ascii="微软雅黑" w:hAnsi="微软雅黑" w:eastAsia="微软雅黑" w:cs="Times New Roman"/>
          <w:b/>
          <w:bCs/>
          <w:color w:val="000000"/>
        </w:rPr>
        <w:t>mg/m3)</w:t>
      </w:r>
    </w:p>
    <w:tbl>
      <w:tblPr>
        <w:tblStyle w:val="19"/>
        <w:tblW w:w="832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075"/>
        <w:gridCol w:w="1301"/>
        <w:gridCol w:w="792"/>
        <w:gridCol w:w="792"/>
        <w:gridCol w:w="792"/>
        <w:gridCol w:w="848"/>
        <w:gridCol w:w="848"/>
        <w:gridCol w:w="1188"/>
      </w:tblGrid>
      <w:tr w14:paraId="30C535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765FF7">
            <w:pPr>
              <w:jc w:val="center"/>
            </w:pPr>
            <w:r>
              <w:rPr>
                <w:b/>
              </w:rPr>
              <w:t>楼层</w:t>
            </w:r>
          </w:p>
        </w:tc>
        <w:tc>
          <w:tcPr>
            <w:shd w:val="clear" w:color="auto" w:fill="E6E6E6"/>
            <w:vAlign w:val="center"/>
          </w:tcPr>
          <w:p w14:paraId="43DDCDD9">
            <w:pPr>
              <w:jc w:val="center"/>
            </w:pPr>
            <w:r>
              <w:rPr>
                <w:b/>
              </w:rPr>
              <w:t>房间编号</w:t>
            </w:r>
          </w:p>
        </w:tc>
        <w:tc>
          <w:tcPr>
            <w:shd w:val="clear" w:color="auto" w:fill="E6E6E6"/>
            <w:vAlign w:val="center"/>
          </w:tcPr>
          <w:p w14:paraId="2D64CA5F">
            <w:pPr>
              <w:jc w:val="center"/>
            </w:pPr>
            <w:r>
              <w:rPr>
                <w:b/>
              </w:rPr>
              <w:t>房间名称</w:t>
            </w:r>
          </w:p>
        </w:tc>
        <w:tc>
          <w:tcPr>
            <w:shd w:val="clear" w:color="auto" w:fill="E6E6E6"/>
            <w:vAlign w:val="center"/>
          </w:tcPr>
          <w:p w14:paraId="75AAA59A">
            <w:pPr>
              <w:jc w:val="center"/>
            </w:pPr>
            <w:r>
              <w:rPr>
                <w:b/>
              </w:rPr>
              <w:t>甲醛</w:t>
            </w:r>
          </w:p>
        </w:tc>
        <w:tc>
          <w:tcPr>
            <w:shd w:val="clear" w:color="auto" w:fill="E6E6E6"/>
            <w:vAlign w:val="center"/>
          </w:tcPr>
          <w:p w14:paraId="6F60C522">
            <w:pPr>
              <w:jc w:val="center"/>
            </w:pPr>
            <w:r>
              <w:rPr>
                <w:b/>
              </w:rPr>
              <w:t>苯</w:t>
            </w:r>
          </w:p>
        </w:tc>
        <w:tc>
          <w:tcPr>
            <w:shd w:val="clear" w:color="auto" w:fill="E6E6E6"/>
            <w:vAlign w:val="center"/>
          </w:tcPr>
          <w:p w14:paraId="331E2988">
            <w:pPr>
              <w:jc w:val="center"/>
            </w:pPr>
            <w:r>
              <w:rPr>
                <w:b/>
              </w:rPr>
              <w:t>TVOC</w:t>
            </w:r>
          </w:p>
        </w:tc>
        <w:tc>
          <w:tcPr>
            <w:shd w:val="clear" w:color="auto" w:fill="E6E6E6"/>
            <w:vAlign w:val="center"/>
          </w:tcPr>
          <w:p w14:paraId="56DA66EF">
            <w:pPr>
              <w:jc w:val="center"/>
            </w:pPr>
            <w:r>
              <w:rPr>
                <w:b/>
              </w:rPr>
              <w:t>控制项</w:t>
            </w:r>
          </w:p>
        </w:tc>
        <w:tc>
          <w:tcPr>
            <w:shd w:val="clear" w:color="auto" w:fill="E6E6E6"/>
            <w:vAlign w:val="center"/>
          </w:tcPr>
          <w:p w14:paraId="3155D909">
            <w:pPr>
              <w:jc w:val="center"/>
            </w:pPr>
            <w:r>
              <w:rPr>
                <w:b/>
              </w:rPr>
              <w:t>评分项</w:t>
            </w:r>
          </w:p>
        </w:tc>
        <w:tc>
          <w:tcPr>
            <w:shd w:val="clear" w:color="auto" w:fill="E6E6E6"/>
            <w:vAlign w:val="center"/>
          </w:tcPr>
          <w:p w14:paraId="567ABCD5">
            <w:pPr>
              <w:jc w:val="center"/>
            </w:pPr>
            <w:r>
              <w:rPr>
                <w:b/>
              </w:rPr>
              <w:t>技术项</w:t>
            </w:r>
          </w:p>
        </w:tc>
      </w:tr>
      <w:tr w14:paraId="7820C4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171B5AED">
            <w:pPr>
              <w:jc w:val="center"/>
            </w:pPr>
            <w:r>
              <w:t>1层</w:t>
            </w:r>
          </w:p>
        </w:tc>
        <w:tc>
          <w:tcPr>
            <w:vAlign w:val="center"/>
          </w:tcPr>
          <w:p w14:paraId="05403ACE">
            <w:pPr>
              <w:jc w:val="center"/>
            </w:pPr>
            <w:r>
              <w:t>1003</w:t>
            </w:r>
          </w:p>
        </w:tc>
        <w:tc>
          <w:tcPr>
            <w:vAlign w:val="center"/>
          </w:tcPr>
          <w:p w14:paraId="09B7EBC9">
            <w:pPr>
              <w:jc w:val="center"/>
            </w:pPr>
            <w:r>
              <w:t>办公室（2人）</w:t>
            </w:r>
          </w:p>
        </w:tc>
        <w:tc>
          <w:tcPr>
            <w:vAlign w:val="center"/>
          </w:tcPr>
          <w:p w14:paraId="32DBFF95">
            <w:pPr>
              <w:jc w:val="center"/>
            </w:pPr>
            <w:r>
              <w:t>0.014</w:t>
            </w:r>
          </w:p>
        </w:tc>
        <w:tc>
          <w:tcPr>
            <w:vAlign w:val="center"/>
          </w:tcPr>
          <w:p w14:paraId="5A2FC02F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4371067E">
            <w:pPr>
              <w:jc w:val="center"/>
            </w:pPr>
            <w:r>
              <w:t>0.112</w:t>
            </w:r>
          </w:p>
        </w:tc>
        <w:tc>
          <w:tcPr>
            <w:vAlign w:val="center"/>
          </w:tcPr>
          <w:p w14:paraId="73AA3F32">
            <w:pPr>
              <w:jc w:val="center"/>
            </w:pPr>
            <w:r>
              <w:rPr>
                <w:b/>
              </w:rPr>
              <w:t>达标</w:t>
            </w:r>
          </w:p>
        </w:tc>
        <w:tc>
          <w:tcPr>
            <w:vAlign w:val="center"/>
          </w:tcPr>
          <w:p w14:paraId="52448463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vAlign w:val="center"/>
          </w:tcPr>
          <w:p w14:paraId="6A18D2ED">
            <w:pPr>
              <w:jc w:val="center"/>
            </w:pPr>
            <w:r>
              <w:rPr>
                <w:b/>
              </w:rPr>
              <w:t>二/三星级</w:t>
            </w:r>
          </w:p>
        </w:tc>
      </w:tr>
      <w:tr w14:paraId="6D88B2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A9BFA8F">
            <w:pPr>
              <w:jc w:val="center"/>
            </w:pPr>
            <w:r>
              <w:t>1层</w:t>
            </w:r>
          </w:p>
        </w:tc>
        <w:tc>
          <w:tcPr>
            <w:vAlign w:val="center"/>
          </w:tcPr>
          <w:p w14:paraId="4B0636D8">
            <w:pPr>
              <w:jc w:val="center"/>
            </w:pPr>
            <w:r>
              <w:t>1002</w:t>
            </w:r>
          </w:p>
        </w:tc>
        <w:tc>
          <w:tcPr>
            <w:vAlign w:val="center"/>
          </w:tcPr>
          <w:p w14:paraId="7E02EF48">
            <w:pPr>
              <w:jc w:val="center"/>
            </w:pPr>
            <w:r>
              <w:t>办公室（2人）</w:t>
            </w:r>
          </w:p>
        </w:tc>
        <w:tc>
          <w:tcPr>
            <w:vAlign w:val="center"/>
          </w:tcPr>
          <w:p w14:paraId="11BBBAE5">
            <w:pPr>
              <w:jc w:val="center"/>
            </w:pPr>
            <w:r>
              <w:t>0.014</w:t>
            </w:r>
          </w:p>
        </w:tc>
        <w:tc>
          <w:tcPr>
            <w:vAlign w:val="center"/>
          </w:tcPr>
          <w:p w14:paraId="692C9307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6A87BF4D">
            <w:pPr>
              <w:jc w:val="center"/>
            </w:pPr>
            <w:r>
              <w:t>0.112</w:t>
            </w:r>
          </w:p>
        </w:tc>
        <w:tc>
          <w:tcPr>
            <w:vAlign w:val="center"/>
          </w:tcPr>
          <w:p w14:paraId="59EFFC9B">
            <w:pPr>
              <w:jc w:val="center"/>
            </w:pPr>
            <w:r>
              <w:rPr>
                <w:b/>
              </w:rPr>
              <w:t>达标</w:t>
            </w:r>
          </w:p>
        </w:tc>
        <w:tc>
          <w:tcPr>
            <w:vAlign w:val="center"/>
          </w:tcPr>
          <w:p w14:paraId="1D50BA37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vAlign w:val="center"/>
          </w:tcPr>
          <w:p w14:paraId="39F7D125">
            <w:pPr>
              <w:jc w:val="center"/>
            </w:pPr>
            <w:r>
              <w:rPr>
                <w:b/>
              </w:rPr>
              <w:t>二/三星级</w:t>
            </w:r>
          </w:p>
        </w:tc>
      </w:tr>
      <w:tr w14:paraId="137921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3B2E1A9">
            <w:pPr>
              <w:jc w:val="center"/>
            </w:pPr>
            <w:r>
              <w:t>1层</w:t>
            </w:r>
          </w:p>
        </w:tc>
        <w:tc>
          <w:tcPr>
            <w:vAlign w:val="center"/>
          </w:tcPr>
          <w:p w14:paraId="57BD3067">
            <w:pPr>
              <w:jc w:val="center"/>
            </w:pPr>
            <w:r>
              <w:t>1001</w:t>
            </w:r>
          </w:p>
        </w:tc>
        <w:tc>
          <w:tcPr>
            <w:vAlign w:val="center"/>
          </w:tcPr>
          <w:p w14:paraId="401BCC1F">
            <w:pPr>
              <w:jc w:val="center"/>
            </w:pPr>
            <w:r>
              <w:t>接待大厅（10人）</w:t>
            </w:r>
          </w:p>
        </w:tc>
        <w:tc>
          <w:tcPr>
            <w:vAlign w:val="center"/>
          </w:tcPr>
          <w:p w14:paraId="47EB85C3">
            <w:pPr>
              <w:jc w:val="center"/>
            </w:pPr>
            <w:r>
              <w:t>0.014</w:t>
            </w:r>
          </w:p>
        </w:tc>
        <w:tc>
          <w:tcPr>
            <w:vAlign w:val="center"/>
          </w:tcPr>
          <w:p w14:paraId="2A1C6667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26A7EA01">
            <w:pPr>
              <w:jc w:val="center"/>
            </w:pPr>
            <w:r>
              <w:t>0.112</w:t>
            </w:r>
          </w:p>
        </w:tc>
        <w:tc>
          <w:tcPr>
            <w:vAlign w:val="center"/>
          </w:tcPr>
          <w:p w14:paraId="64318098">
            <w:pPr>
              <w:jc w:val="center"/>
            </w:pPr>
            <w:r>
              <w:rPr>
                <w:b/>
              </w:rPr>
              <w:t>达标</w:t>
            </w:r>
          </w:p>
        </w:tc>
        <w:tc>
          <w:tcPr>
            <w:vAlign w:val="center"/>
          </w:tcPr>
          <w:p w14:paraId="79211C2A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vAlign w:val="center"/>
          </w:tcPr>
          <w:p w14:paraId="103EBF98">
            <w:pPr>
              <w:jc w:val="center"/>
            </w:pPr>
            <w:r>
              <w:rPr>
                <w:b/>
              </w:rPr>
              <w:t>二/三星级</w:t>
            </w:r>
          </w:p>
        </w:tc>
      </w:tr>
      <w:tr w14:paraId="2B947C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1CA1A837">
            <w:pPr>
              <w:jc w:val="center"/>
            </w:pPr>
            <w:r>
              <w:t>2层</w:t>
            </w:r>
          </w:p>
        </w:tc>
        <w:tc>
          <w:tcPr>
            <w:vAlign w:val="center"/>
          </w:tcPr>
          <w:p w14:paraId="465311CC">
            <w:pPr>
              <w:jc w:val="center"/>
            </w:pPr>
            <w:r>
              <w:t>2003</w:t>
            </w:r>
          </w:p>
        </w:tc>
        <w:tc>
          <w:tcPr>
            <w:vAlign w:val="center"/>
          </w:tcPr>
          <w:p w14:paraId="0C46AF71">
            <w:pPr>
              <w:jc w:val="center"/>
            </w:pPr>
            <w:r>
              <w:t>办公室（2人）</w:t>
            </w:r>
          </w:p>
        </w:tc>
        <w:tc>
          <w:tcPr>
            <w:vAlign w:val="center"/>
          </w:tcPr>
          <w:p w14:paraId="7A995013">
            <w:pPr>
              <w:jc w:val="center"/>
            </w:pPr>
            <w:r>
              <w:t>0.014</w:t>
            </w:r>
          </w:p>
        </w:tc>
        <w:tc>
          <w:tcPr>
            <w:vAlign w:val="center"/>
          </w:tcPr>
          <w:p w14:paraId="02132682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5F05B9D7">
            <w:pPr>
              <w:jc w:val="center"/>
            </w:pPr>
            <w:r>
              <w:t>0.112</w:t>
            </w:r>
          </w:p>
        </w:tc>
        <w:tc>
          <w:tcPr>
            <w:vAlign w:val="center"/>
          </w:tcPr>
          <w:p w14:paraId="12595486">
            <w:pPr>
              <w:jc w:val="center"/>
            </w:pPr>
            <w:r>
              <w:rPr>
                <w:b/>
              </w:rPr>
              <w:t>达标</w:t>
            </w:r>
          </w:p>
        </w:tc>
        <w:tc>
          <w:tcPr>
            <w:vAlign w:val="center"/>
          </w:tcPr>
          <w:p w14:paraId="724B85FC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vAlign w:val="center"/>
          </w:tcPr>
          <w:p w14:paraId="589D1E47">
            <w:pPr>
              <w:jc w:val="center"/>
            </w:pPr>
            <w:r>
              <w:rPr>
                <w:b/>
              </w:rPr>
              <w:t>二/三星级</w:t>
            </w:r>
          </w:p>
        </w:tc>
      </w:tr>
      <w:tr w14:paraId="0466FF0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6C94B54">
            <w:pPr>
              <w:jc w:val="center"/>
            </w:pPr>
            <w:r>
              <w:t>2层</w:t>
            </w:r>
          </w:p>
        </w:tc>
        <w:tc>
          <w:tcPr>
            <w:vAlign w:val="center"/>
          </w:tcPr>
          <w:p w14:paraId="30EFDEFD">
            <w:pPr>
              <w:jc w:val="center"/>
            </w:pPr>
            <w:r>
              <w:t>2002</w:t>
            </w:r>
          </w:p>
        </w:tc>
        <w:tc>
          <w:tcPr>
            <w:vAlign w:val="center"/>
          </w:tcPr>
          <w:p w14:paraId="15360250">
            <w:pPr>
              <w:jc w:val="center"/>
            </w:pPr>
            <w:r>
              <w:t>办公室（2人）</w:t>
            </w:r>
          </w:p>
        </w:tc>
        <w:tc>
          <w:tcPr>
            <w:vAlign w:val="center"/>
          </w:tcPr>
          <w:p w14:paraId="6E0EE433">
            <w:pPr>
              <w:jc w:val="center"/>
            </w:pPr>
            <w:r>
              <w:t>0.014</w:t>
            </w:r>
          </w:p>
        </w:tc>
        <w:tc>
          <w:tcPr>
            <w:vAlign w:val="center"/>
          </w:tcPr>
          <w:p w14:paraId="5C645292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4884957F">
            <w:pPr>
              <w:jc w:val="center"/>
            </w:pPr>
            <w:r>
              <w:t>0.112</w:t>
            </w:r>
          </w:p>
        </w:tc>
        <w:tc>
          <w:tcPr>
            <w:vAlign w:val="center"/>
          </w:tcPr>
          <w:p w14:paraId="1D3FFCD4">
            <w:pPr>
              <w:jc w:val="center"/>
            </w:pPr>
            <w:r>
              <w:rPr>
                <w:b/>
              </w:rPr>
              <w:t>达标</w:t>
            </w:r>
          </w:p>
        </w:tc>
        <w:tc>
          <w:tcPr>
            <w:vAlign w:val="center"/>
          </w:tcPr>
          <w:p w14:paraId="296C08E2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vAlign w:val="center"/>
          </w:tcPr>
          <w:p w14:paraId="71289E5B">
            <w:pPr>
              <w:jc w:val="center"/>
            </w:pPr>
            <w:r>
              <w:rPr>
                <w:b/>
              </w:rPr>
              <w:t>二/三星级</w:t>
            </w:r>
          </w:p>
        </w:tc>
      </w:tr>
      <w:tr w14:paraId="43678C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BB6B2C9">
            <w:pPr>
              <w:jc w:val="center"/>
            </w:pPr>
            <w:r>
              <w:t>2层</w:t>
            </w:r>
          </w:p>
        </w:tc>
        <w:tc>
          <w:tcPr>
            <w:vAlign w:val="center"/>
          </w:tcPr>
          <w:p w14:paraId="73EB68D7">
            <w:pPr>
              <w:jc w:val="center"/>
            </w:pPr>
            <w:r>
              <w:t>2001</w:t>
            </w:r>
          </w:p>
        </w:tc>
        <w:tc>
          <w:tcPr>
            <w:vAlign w:val="center"/>
          </w:tcPr>
          <w:p w14:paraId="0855E608">
            <w:pPr>
              <w:jc w:val="center"/>
            </w:pPr>
            <w:r>
              <w:t>办公室（7人）</w:t>
            </w:r>
          </w:p>
        </w:tc>
        <w:tc>
          <w:tcPr>
            <w:vAlign w:val="center"/>
          </w:tcPr>
          <w:p w14:paraId="3908D985">
            <w:pPr>
              <w:jc w:val="center"/>
            </w:pPr>
            <w:r>
              <w:t>0.014</w:t>
            </w:r>
          </w:p>
        </w:tc>
        <w:tc>
          <w:tcPr>
            <w:vAlign w:val="center"/>
          </w:tcPr>
          <w:p w14:paraId="4433E4DA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59BCD53D">
            <w:pPr>
              <w:jc w:val="center"/>
            </w:pPr>
            <w:r>
              <w:t>0.112</w:t>
            </w:r>
          </w:p>
        </w:tc>
        <w:tc>
          <w:tcPr>
            <w:vAlign w:val="center"/>
          </w:tcPr>
          <w:p w14:paraId="09C626F2">
            <w:pPr>
              <w:jc w:val="center"/>
            </w:pPr>
            <w:r>
              <w:rPr>
                <w:b/>
              </w:rPr>
              <w:t>达标</w:t>
            </w:r>
          </w:p>
        </w:tc>
        <w:tc>
          <w:tcPr>
            <w:vAlign w:val="center"/>
          </w:tcPr>
          <w:p w14:paraId="3EC3DFDB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vAlign w:val="center"/>
          </w:tcPr>
          <w:p w14:paraId="501C493B">
            <w:pPr>
              <w:jc w:val="center"/>
            </w:pPr>
            <w:r>
              <w:rPr>
                <w:b/>
              </w:rPr>
              <w:t>二/三星级</w:t>
            </w:r>
          </w:p>
        </w:tc>
      </w:tr>
    </w:tbl>
    <w:p w14:paraId="3933D44C">
      <w:pPr>
        <w:ind w:left="-567" w:leftChars="-270" w:firstLine="420" w:firstLineChars="200"/>
        <w:jc w:val="center"/>
        <w:rPr>
          <w:rFonts w:ascii="Times New Roman" w:hAnsi="Times New Roman" w:cs="Times New Roman"/>
          <w:bCs/>
        </w:rPr>
      </w:pPr>
      <w:bookmarkStart w:id="28" w:name="室内VOC达标判定表"/>
      <w:bookmarkEnd w:id="28"/>
    </w:p>
    <w:p w14:paraId="01A1E7C1">
      <w:pPr>
        <w:ind w:right="210" w:rightChars="100" w:firstLine="210" w:firstLineChars="100"/>
        <w:jc w:val="left"/>
        <w:rPr>
          <w:rFonts w:ascii="Times New Roman" w:hAnsi="Times New Roman" w:eastAsia="等线" w:cs="Times New Roman"/>
          <w:bCs/>
          <w:vertAlign w:val="superscript"/>
        </w:rPr>
      </w:pPr>
      <w:r>
        <w:rPr>
          <w:rFonts w:ascii="Times New Roman" w:hAnsi="Times New Roman" w:eastAsia="等线" w:cs="Times New Roman"/>
          <w:bCs/>
        </w:rPr>
        <w:t>说明:甲醛、苯数值为1小时均值,单位mg/m</w:t>
      </w:r>
      <w:r>
        <w:rPr>
          <w:rFonts w:ascii="Times New Roman" w:hAnsi="Times New Roman" w:eastAsia="等线" w:cs="Times New Roman"/>
          <w:bCs/>
          <w:vertAlign w:val="superscript"/>
        </w:rPr>
        <w:t>3</w:t>
      </w:r>
      <w:r>
        <w:rPr>
          <w:rFonts w:ascii="Times New Roman" w:hAnsi="Times New Roman" w:eastAsia="等线" w:cs="Times New Roman"/>
          <w:bCs/>
        </w:rPr>
        <w:t>；TVOC为8小时均值单位mg/m</w:t>
      </w:r>
      <w:r>
        <w:rPr>
          <w:rFonts w:ascii="Times New Roman" w:hAnsi="Times New Roman" w:eastAsia="等线" w:cs="Times New Roman"/>
          <w:bCs/>
          <w:vertAlign w:val="superscript"/>
        </w:rPr>
        <w:t>3</w:t>
      </w:r>
    </w:p>
    <w:p w14:paraId="06F3E62F">
      <w:pPr>
        <w:ind w:left="-567" w:leftChars="-270" w:firstLine="420" w:firstLineChars="200"/>
        <w:jc w:val="left"/>
        <w:rPr>
          <w:rFonts w:ascii="Times New Roman" w:hAnsi="Times New Roman" w:eastAsia="等线" w:cs="Times New Roman"/>
          <w:bCs/>
          <w:vertAlign w:val="superscript"/>
        </w:rPr>
      </w:pPr>
    </w:p>
    <w:p w14:paraId="31339D60">
      <w:pPr>
        <w:ind w:left="-567" w:leftChars="-270" w:firstLine="420" w:firstLineChars="200"/>
        <w:jc w:val="center"/>
        <w:rPr>
          <w:rFonts w:ascii="Times New Roman" w:hAnsi="Times New Roman" w:eastAsia="等线" w:cs="Times New Roman"/>
          <w:bCs/>
        </w:rPr>
      </w:pPr>
      <w:bookmarkStart w:id="29" w:name="有机物达标判定图"/>
      <w:bookmarkEnd w:id="29"/>
      <w:r>
        <w:drawing>
          <wp:inline distT="0" distB="0" distL="0" distR="0">
            <wp:extent cx="5667375" cy="34766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CB33B">
      <w:pPr>
        <w:tabs>
          <w:tab w:val="center" w:pos="4153"/>
          <w:tab w:val="right" w:pos="8306"/>
        </w:tabs>
        <w:jc w:val="left"/>
        <w:rPr>
          <w:rFonts w:ascii="微软雅黑" w:hAnsi="微软雅黑" w:eastAsia="微软雅黑" w:cs="Times New Roman"/>
          <w:b/>
          <w:sz w:val="18"/>
          <w:szCs w:val="18"/>
        </w:rPr>
      </w:pPr>
      <w:r>
        <w:rPr>
          <w:rFonts w:ascii="微软雅黑" w:hAnsi="微软雅黑" w:eastAsia="微软雅黑" w:cs="Times New Roman"/>
          <w:b/>
          <w:sz w:val="18"/>
          <w:szCs w:val="18"/>
        </w:rPr>
        <w:tab/>
      </w:r>
      <w:r>
        <w:rPr>
          <w:rFonts w:ascii="微软雅黑" w:hAnsi="微软雅黑" w:eastAsia="微软雅黑" w:cs="Times New Roman"/>
          <w:b/>
          <w:sz w:val="18"/>
          <w:szCs w:val="18"/>
        </w:rPr>
        <w:t>图6-1 达标统计图</w:t>
      </w:r>
      <w:r>
        <w:rPr>
          <w:rFonts w:ascii="微软雅黑" w:hAnsi="微软雅黑" w:eastAsia="微软雅黑" w:cs="Times New Roman"/>
          <w:b/>
          <w:sz w:val="18"/>
          <w:szCs w:val="18"/>
        </w:rPr>
        <w:tab/>
      </w:r>
    </w:p>
    <w:p w14:paraId="4675E0A2">
      <w:pPr>
        <w:pStyle w:val="2"/>
        <w:keepLines w:val="0"/>
        <w:widowControl/>
        <w:numPr>
          <w:ilvl w:val="0"/>
          <w:numId w:val="1"/>
        </w:numPr>
        <w:kinsoku w:val="0"/>
        <w:spacing w:before="240" w:after="60" w:line="240" w:lineRule="auto"/>
        <w:jc w:val="left"/>
        <w:rPr>
          <w:rFonts w:ascii="Times New Roman" w:hAnsi="Times New Roman" w:cs="Times New Roman"/>
          <w:kern w:val="32"/>
          <w:sz w:val="28"/>
          <w:szCs w:val="28"/>
        </w:rPr>
      </w:pPr>
      <w:bookmarkStart w:id="30" w:name="_Toc4548"/>
      <w:r>
        <w:rPr>
          <w:rFonts w:ascii="Times New Roman" w:hAnsi="Times New Roman" w:cs="Times New Roman"/>
          <w:kern w:val="32"/>
          <w:sz w:val="28"/>
          <w:szCs w:val="28"/>
        </w:rPr>
        <w:t>结论</w:t>
      </w:r>
      <w:bookmarkEnd w:id="30"/>
    </w:p>
    <w:p w14:paraId="6657D044"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本项目按照标准要求对所有参评房间进行了有机挥发物浓度的计算，并对结果进行评价如下：</w:t>
      </w:r>
    </w:p>
    <w:tbl>
      <w:tblPr>
        <w:tblStyle w:val="19"/>
        <w:tblW w:w="831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3347"/>
        <w:gridCol w:w="675"/>
        <w:gridCol w:w="1754"/>
        <w:gridCol w:w="1028"/>
        <w:gridCol w:w="512"/>
      </w:tblGrid>
      <w:tr w14:paraId="6F1534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6" w:type="dxa"/>
            <w:shd w:val="clear" w:color="auto" w:fill="D8D8D8" w:themeFill="background1" w:themeFillShade="D9"/>
            <w:noWrap/>
            <w:vAlign w:val="center"/>
          </w:tcPr>
          <w:p w14:paraId="43DEF1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检查项</w:t>
            </w:r>
          </w:p>
        </w:tc>
        <w:tc>
          <w:tcPr>
            <w:tcW w:w="4022" w:type="dxa"/>
            <w:gridSpan w:val="2"/>
            <w:shd w:val="clear" w:color="auto" w:fill="D8D8D8" w:themeFill="background1" w:themeFillShade="D9"/>
            <w:noWrap/>
            <w:vAlign w:val="center"/>
          </w:tcPr>
          <w:p w14:paraId="641C155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标准要求</w:t>
            </w:r>
          </w:p>
        </w:tc>
        <w:tc>
          <w:tcPr>
            <w:tcW w:w="1754" w:type="dxa"/>
            <w:shd w:val="clear" w:color="auto" w:fill="D8D8D8" w:themeFill="background1" w:themeFillShade="D9"/>
            <w:vAlign w:val="center"/>
          </w:tcPr>
          <w:p w14:paraId="670A1CC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计算结果</w:t>
            </w:r>
          </w:p>
        </w:tc>
        <w:tc>
          <w:tcPr>
            <w:tcW w:w="1028" w:type="dxa"/>
            <w:shd w:val="clear" w:color="auto" w:fill="D8D8D8" w:themeFill="background1" w:themeFillShade="D9"/>
            <w:noWrap/>
            <w:vAlign w:val="center"/>
          </w:tcPr>
          <w:p w14:paraId="00FA84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结论</w:t>
            </w:r>
          </w:p>
        </w:tc>
        <w:tc>
          <w:tcPr>
            <w:tcW w:w="512" w:type="dxa"/>
            <w:shd w:val="clear" w:color="auto" w:fill="D8D8D8" w:themeFill="background1" w:themeFillShade="D9"/>
            <w:noWrap/>
            <w:vAlign w:val="center"/>
          </w:tcPr>
          <w:p w14:paraId="57B940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14:paraId="20317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996" w:type="dxa"/>
            <w:shd w:val="clear" w:color="000000" w:fill="D0CECE"/>
            <w:noWrap/>
            <w:vAlign w:val="center"/>
          </w:tcPr>
          <w:p w14:paraId="4D4882F4">
            <w:pPr>
              <w:jc w:val="center"/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控制项</w:t>
            </w:r>
          </w:p>
          <w:p w14:paraId="2D3F33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5.1.1</w:t>
            </w:r>
          </w:p>
        </w:tc>
        <w:tc>
          <w:tcPr>
            <w:tcW w:w="4022" w:type="dxa"/>
            <w:gridSpan w:val="2"/>
            <w:shd w:val="clear" w:color="auto" w:fill="auto"/>
            <w:vAlign w:val="center"/>
          </w:tcPr>
          <w:p w14:paraId="369EE3D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室内空气中甲醛、苯、TVOC浓度限值分别为甲醛0.10，苯0.11，TVOC 0.6</w:t>
            </w:r>
          </w:p>
        </w:tc>
        <w:tc>
          <w:tcPr>
            <w:tcW w:w="1754" w:type="dxa"/>
            <w:vAlign w:val="center"/>
          </w:tcPr>
          <w:p w14:paraId="5F5D8207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31" w:name="控制项计算结果"/>
            <w:r>
              <w:rPr>
                <w:rFonts w:ascii="Times New Roman" w:hAnsi="Times New Roman" w:cs="Times New Roman"/>
              </w:rPr>
              <w:t>所有房间均达标</w:t>
            </w:r>
            <w:bookmarkEnd w:id="31"/>
          </w:p>
        </w:tc>
        <w:tc>
          <w:tcPr>
            <w:tcW w:w="1028" w:type="dxa"/>
            <w:shd w:val="clear" w:color="auto" w:fill="FEF2CC" w:themeFill="accent4" w:themeFillTint="33"/>
            <w:noWrap/>
            <w:vAlign w:val="center"/>
          </w:tcPr>
          <w:p w14:paraId="5D779B1A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32" w:name="控制项计算结论"/>
            <w:r>
              <w:rPr>
                <w:rFonts w:ascii="Times New Roman" w:hAnsi="Times New Roman" w:cs="Times New Roman"/>
                <w:b/>
              </w:rPr>
              <w:t>满足</w:t>
            </w:r>
            <w:bookmarkEnd w:id="32"/>
          </w:p>
        </w:tc>
        <w:tc>
          <w:tcPr>
            <w:tcW w:w="512" w:type="dxa"/>
            <w:shd w:val="clear" w:color="auto" w:fill="FEF2CC" w:themeFill="accent4" w:themeFillTint="33"/>
            <w:noWrap/>
            <w:vAlign w:val="center"/>
          </w:tcPr>
          <w:p w14:paraId="4EAA0F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</w:tc>
      </w:tr>
      <w:tr w14:paraId="19A90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996" w:type="dxa"/>
            <w:vMerge w:val="restart"/>
            <w:shd w:val="clear" w:color="000000" w:fill="D0CECE"/>
            <w:noWrap/>
            <w:vAlign w:val="center"/>
          </w:tcPr>
          <w:p w14:paraId="20C07CBE">
            <w:pPr>
              <w:jc w:val="center"/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评分项</w:t>
            </w:r>
          </w:p>
          <w:p w14:paraId="623D1C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eastAsiaTheme="minorHAnsi"/>
                <w:b/>
                <w:bCs/>
                <w:color w:val="000000"/>
                <w:kern w:val="0"/>
                <w:sz w:val="20"/>
                <w:szCs w:val="20"/>
              </w:rPr>
              <w:t>5.2.1</w:t>
            </w:r>
          </w:p>
        </w:tc>
        <w:tc>
          <w:tcPr>
            <w:tcW w:w="3347" w:type="dxa"/>
            <w:shd w:val="clear" w:color="auto" w:fill="auto"/>
            <w:vAlign w:val="center"/>
          </w:tcPr>
          <w:p w14:paraId="512FCE43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室内空气中化学类污染物浓度限值分别为甲醛0.09，苯0.099，TVOC 0.54。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24DD450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3分</w:t>
            </w:r>
          </w:p>
        </w:tc>
        <w:tc>
          <w:tcPr>
            <w:tcW w:w="1754" w:type="dxa"/>
            <w:vMerge w:val="restart"/>
            <w:vAlign w:val="center"/>
          </w:tcPr>
          <w:p w14:paraId="6AF53E5B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33" w:name="评分项计算结果"/>
            <w:r>
              <w:rPr>
                <w:rFonts w:ascii="Times New Roman" w:hAnsi="Times New Roman" w:cs="Times New Roman"/>
              </w:rPr>
              <w:t>所有房间均满足要求</w:t>
            </w:r>
            <w:bookmarkEnd w:id="33"/>
          </w:p>
        </w:tc>
        <w:tc>
          <w:tcPr>
            <w:tcW w:w="1028" w:type="dxa"/>
            <w:vMerge w:val="restart"/>
            <w:shd w:val="clear" w:color="auto" w:fill="FEF2CC" w:themeFill="accent4" w:themeFillTint="33"/>
            <w:noWrap/>
            <w:vAlign w:val="center"/>
          </w:tcPr>
          <w:p w14:paraId="46A570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512" w:type="dxa"/>
            <w:vMerge w:val="restart"/>
            <w:shd w:val="clear" w:color="auto" w:fill="FEF2CC" w:themeFill="accent4" w:themeFillTint="33"/>
            <w:noWrap/>
            <w:vAlign w:val="center"/>
          </w:tcPr>
          <w:p w14:paraId="511C9217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34" w:name="评分项计算得分"/>
            <w:r>
              <w:rPr>
                <w:rFonts w:ascii="Times New Roman" w:hAnsi="Times New Roman" w:cs="Times New Roman"/>
                <w:b/>
              </w:rPr>
              <w:t>6</w:t>
            </w:r>
            <w:bookmarkEnd w:id="34"/>
            <w:r>
              <w:rPr>
                <w:rFonts w:ascii="Times New Roman" w:hAnsi="Times New Roman" w:cs="Times New Roman"/>
                <w:b/>
              </w:rPr>
              <w:t>分</w:t>
            </w:r>
          </w:p>
        </w:tc>
      </w:tr>
      <w:tr w14:paraId="5FA3EE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96" w:type="dxa"/>
            <w:vMerge w:val="continue"/>
            <w:shd w:val="clear" w:color="auto" w:fill="D0CECE"/>
            <w:noWrap/>
            <w:vAlign w:val="center"/>
          </w:tcPr>
          <w:p w14:paraId="7884DC3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47" w:type="dxa"/>
            <w:shd w:val="clear" w:color="auto" w:fill="auto"/>
            <w:vAlign w:val="center"/>
          </w:tcPr>
          <w:p w14:paraId="51E169A7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室内空气中化学类污染物浓度限值分别为甲醛0.08，苯0.088，TVOC 0.48。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85A00D9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6分</w:t>
            </w:r>
          </w:p>
        </w:tc>
        <w:tc>
          <w:tcPr>
            <w:tcW w:w="1754" w:type="dxa"/>
            <w:vMerge w:val="continue"/>
            <w:vAlign w:val="center"/>
          </w:tcPr>
          <w:p w14:paraId="5AA8E77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8" w:type="dxa"/>
            <w:vMerge w:val="continue"/>
            <w:shd w:val="clear" w:color="auto" w:fill="FEF2CC" w:themeFill="accent4" w:themeFillTint="33"/>
            <w:noWrap/>
            <w:vAlign w:val="center"/>
          </w:tcPr>
          <w:p w14:paraId="26D16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2" w:type="dxa"/>
            <w:vMerge w:val="continue"/>
            <w:shd w:val="clear" w:color="auto" w:fill="FEF2CC" w:themeFill="accent4" w:themeFillTint="33"/>
            <w:noWrap/>
            <w:vAlign w:val="center"/>
          </w:tcPr>
          <w:p w14:paraId="283536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1663CA3">
      <w:pPr>
        <w:ind w:left="-567" w:leftChars="-270"/>
        <w:jc w:val="center"/>
        <w:rPr>
          <w:rFonts w:ascii="Times New Roman" w:hAnsi="Times New Roman" w:eastAsia="等线" w:cs="Times New Roman"/>
          <w:bCs/>
          <w:sz w:val="18"/>
        </w:rPr>
      </w:pPr>
      <w:r>
        <w:rPr>
          <w:rFonts w:ascii="Times New Roman" w:hAnsi="Times New Roman" w:eastAsia="等线" w:cs="Times New Roman"/>
          <w:bCs/>
        </w:rPr>
        <w:t>说明:甲醛、苯数值为1小时均值,单位mg/m</w:t>
      </w:r>
      <w:r>
        <w:rPr>
          <w:rFonts w:ascii="Times New Roman" w:hAnsi="Times New Roman" w:eastAsia="等线" w:cs="Times New Roman"/>
          <w:bCs/>
          <w:vertAlign w:val="superscript"/>
        </w:rPr>
        <w:t>3</w:t>
      </w:r>
      <w:r>
        <w:rPr>
          <w:rFonts w:ascii="Times New Roman" w:hAnsi="Times New Roman" w:eastAsia="等线" w:cs="Times New Roman"/>
          <w:bCs/>
        </w:rPr>
        <w:t>；TVOC为8小时均值单位mg/m</w:t>
      </w:r>
      <w:r>
        <w:rPr>
          <w:rFonts w:ascii="Times New Roman" w:hAnsi="Times New Roman" w:eastAsia="等线" w:cs="Times New Roman"/>
          <w:bCs/>
          <w:vertAlign w:val="superscript"/>
        </w:rPr>
        <w:t>3</w:t>
      </w:r>
    </w:p>
    <w:sectPr>
      <w:headerReference r:id="rId8" w:type="default"/>
      <w:pgSz w:w="11906" w:h="16838"/>
      <w:pgMar w:top="1440" w:right="1800" w:bottom="1440" w:left="1800" w:header="851" w:footer="17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58525">
    <w:pPr>
      <w:pStyle w:val="14"/>
    </w:pPr>
    <w:r>
      <w:fldChar w:fldCharType="begin"/>
    </w:r>
    <w:r>
      <w:instrText xml:space="preserve"> HYPERLINK "http://www.gbsware.cn/" </w:instrText>
    </w:r>
    <w:r>
      <w:fldChar w:fldCharType="separate"/>
    </w:r>
    <w:r>
      <w:rPr>
        <w:rStyle w:val="22"/>
        <w:sz w:val="20"/>
      </w:rPr>
      <w:t>http://www.gbsware.cn/</w:t>
    </w:r>
    <w:r>
      <w:rPr>
        <w:rStyle w:val="22"/>
        <w:sz w:val="20"/>
      </w:rPr>
      <w:fldChar w:fldCharType="end"/>
    </w:r>
    <w:r>
      <w:rPr>
        <w:color w:val="0000FF"/>
        <w:sz w:val="20"/>
      </w:rPr>
      <w:t xml:space="preserve">               </w:t>
    </w:r>
    <w:r>
      <w:rPr>
        <w:sz w:val="20"/>
        <w:szCs w:val="20"/>
      </w:rPr>
      <w:t>第</w:t>
    </w:r>
    <w:sdt>
      <w:sdtPr>
        <w:rPr>
          <w:sz w:val="20"/>
          <w:szCs w:val="20"/>
        </w:rPr>
        <w:id w:val="-1742397737"/>
        <w:docPartObj>
          <w:docPartGallery w:val="autotext"/>
        </w:docPartObj>
      </w:sdtPr>
      <w:sdtEndPr>
        <w:rPr>
          <w:sz w:val="18"/>
          <w:szCs w:val="18"/>
        </w:rPr>
      </w:sdtEndPr>
      <w:sdtContent>
        <w:sdt>
          <w:sdtPr>
            <w:rPr>
              <w:sz w:val="20"/>
              <w:szCs w:val="20"/>
            </w:rPr>
            <w:id w:val="1728636285"/>
            <w:docPartObj>
              <w:docPartGallery w:val="autotext"/>
            </w:docPartObj>
          </w:sdtPr>
          <w:sdtEndPr>
            <w:rPr>
              <w:sz w:val="18"/>
              <w:szCs w:val="18"/>
            </w:rPr>
          </w:sdtEndPr>
          <w:sdtContent>
            <w:r>
              <w:rPr>
                <w:sz w:val="20"/>
                <w:szCs w:val="20"/>
                <w:lang w:val="zh-CN"/>
              </w:rPr>
              <w:t xml:space="preserve"> </w:t>
            </w:r>
            <w:r>
              <w:rPr>
                <w:bCs/>
                <w:sz w:val="20"/>
                <w:szCs w:val="20"/>
              </w:rPr>
              <w:fldChar w:fldCharType="begin"/>
            </w:r>
            <w:r>
              <w:rPr>
                <w:bCs/>
                <w:sz w:val="20"/>
                <w:szCs w:val="20"/>
              </w:rPr>
              <w:instrText xml:space="preserve">PAGE</w:instrText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fldChar w:fldCharType="end"/>
            </w:r>
            <w:r>
              <w:rPr>
                <w:bCs/>
                <w:sz w:val="20"/>
                <w:szCs w:val="20"/>
              </w:rPr>
              <w:t>页</w:t>
            </w:r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共</w:t>
            </w:r>
            <w:r>
              <w:rPr>
                <w:bCs/>
                <w:sz w:val="20"/>
                <w:szCs w:val="20"/>
              </w:rPr>
              <w:fldChar w:fldCharType="begin"/>
            </w:r>
            <w:r>
              <w:rPr>
                <w:bCs/>
                <w:sz w:val="20"/>
                <w:szCs w:val="20"/>
              </w:rPr>
              <w:instrText xml:space="preserve">NUMPAGES</w:instrText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fldChar w:fldCharType="end"/>
            </w:r>
            <w:r>
              <w:rPr>
                <w:bCs/>
                <w:sz w:val="20"/>
                <w:szCs w:val="20"/>
              </w:rPr>
              <w:t>页</w:t>
            </w:r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                VENT2023</w:t>
            </w:r>
          </w:sdtContent>
        </w:sdt>
      </w:sdtContent>
    </w:sdt>
  </w:p>
  <w:p w14:paraId="2A7094B4">
    <w:pPr>
      <w:pStyle w:val="14"/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3B73F">
    <w:pPr>
      <w:pStyle w:val="14"/>
      <w:spacing w:before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BCAE1">
    <w:pPr>
      <w:pStyle w:val="14"/>
      <w:spacing w:before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2E55C">
    <w:pPr>
      <w:pStyle w:val="15"/>
      <w:spacing w:before="120"/>
      <w:jc w:val="left"/>
    </w:pPr>
    <w:r>
      <w:drawing>
        <wp:inline distT="0" distB="0" distL="0" distR="0">
          <wp:extent cx="972185" cy="251460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t xml:space="preserve">                                        </w:t>
    </w:r>
    <w:r>
      <w:rPr>
        <w:rFonts w:hint="eastAsia"/>
      </w:rPr>
      <w:t>空气质量评价报告书-有机挥发物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12DD7">
    <w:pPr>
      <w:pStyle w:val="15"/>
      <w:wordWrap w:val="0"/>
      <w:spacing w:before="120"/>
      <w:jc w:val="right"/>
      <w:rPr>
        <w:rFonts w:ascii="Arial" w:hAnsi="Arial" w:cs="Arial"/>
        <w:b/>
        <w:bCs/>
        <w:kern w:val="0"/>
        <w:szCs w:val="21"/>
      </w:rPr>
    </w:pPr>
    <w:r>
      <w:rPr>
        <w:rFonts w:hint="eastAsia" w:ascii="Arial" w:hAnsi="Arial" w:cs="Arial"/>
        <w:b/>
        <w:bCs/>
        <w:kern w:val="0"/>
        <w:szCs w:val="21"/>
      </w:rPr>
      <w:t>第5章  辅助工具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A44A4">
    <w:pPr>
      <w:pStyle w:val="15"/>
      <w:spacing w:before="120"/>
      <w:jc w:val="left"/>
    </w:pPr>
    <w:r>
      <w:drawing>
        <wp:inline distT="0" distB="0" distL="0" distR="0">
          <wp:extent cx="972185" cy="25146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t xml:space="preserve">                                             </w:t>
    </w:r>
    <w:r>
      <w:rPr>
        <w:rFonts w:hint="eastAsia"/>
      </w:rPr>
      <w:t>空气质量评价报告书-有机挥发物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C27A4D"/>
    <w:multiLevelType w:val="multilevel"/>
    <w:tmpl w:val="02C27A4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815B1"/>
    <w:multiLevelType w:val="multilevel"/>
    <w:tmpl w:val="1FF815B1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 w:ascii="Arial" w:hAnsi="Arial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6250"/>
        </w:tabs>
        <w:ind w:left="2847" w:hanging="720"/>
      </w:pPr>
      <w:rPr>
        <w:rFonts w:hint="default" w:ascii="Arial" w:hAnsi="Arial"/>
        <w:sz w:val="24"/>
        <w:szCs w:val="22"/>
        <w:lang w:val="en-US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1148"/>
        </w:tabs>
        <w:ind w:left="1148" w:hanging="864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6004520A"/>
    <w:multiLevelType w:val="multilevel"/>
    <w:tmpl w:val="6004520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 w:ascii="Times New Roman" w:hAnsi="Times New Roman" w:eastAsia="宋体"/>
        <w:b w:val="0"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decimal"/>
      <w:lvlText w:val="%3）"/>
      <w:lvlJc w:val="left"/>
      <w:pPr>
        <w:ind w:left="567" w:hanging="567"/>
      </w:pPr>
      <w:rPr>
        <w:rFonts w:hint="default" w:ascii="Times New Roman" w:hAnsi="Times New Roman" w:eastAsia="宋体" w:cs="Times New Roman"/>
        <w:b w:val="0"/>
        <w:w w:val="100"/>
        <w:sz w:val="24"/>
        <w:szCs w:val="24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xZjUyZTk5NDRhZGUwN2M3ZjJjZTc5OGIxOTk0M2IifQ=="/>
  </w:docVars>
  <w:rsids>
    <w:rsidRoot w:val="11197A68"/>
    <w:rsid w:val="00011B45"/>
    <w:rsid w:val="000136EE"/>
    <w:rsid w:val="00025F1E"/>
    <w:rsid w:val="00027662"/>
    <w:rsid w:val="00035395"/>
    <w:rsid w:val="00037932"/>
    <w:rsid w:val="00041E31"/>
    <w:rsid w:val="00041E68"/>
    <w:rsid w:val="00042122"/>
    <w:rsid w:val="00051980"/>
    <w:rsid w:val="000775BE"/>
    <w:rsid w:val="00077C2D"/>
    <w:rsid w:val="00086E49"/>
    <w:rsid w:val="00094CB6"/>
    <w:rsid w:val="000969C6"/>
    <w:rsid w:val="0009759D"/>
    <w:rsid w:val="000B05C6"/>
    <w:rsid w:val="000B40FE"/>
    <w:rsid w:val="000D3537"/>
    <w:rsid w:val="000E5D33"/>
    <w:rsid w:val="000F2869"/>
    <w:rsid w:val="000F3959"/>
    <w:rsid w:val="0010609C"/>
    <w:rsid w:val="001114AF"/>
    <w:rsid w:val="001174C9"/>
    <w:rsid w:val="00135719"/>
    <w:rsid w:val="001526B8"/>
    <w:rsid w:val="00153E6C"/>
    <w:rsid w:val="00154D5D"/>
    <w:rsid w:val="00162B02"/>
    <w:rsid w:val="00166C06"/>
    <w:rsid w:val="001765C5"/>
    <w:rsid w:val="00192263"/>
    <w:rsid w:val="00196E69"/>
    <w:rsid w:val="0019715D"/>
    <w:rsid w:val="001A3A41"/>
    <w:rsid w:val="001B04AD"/>
    <w:rsid w:val="001B395E"/>
    <w:rsid w:val="001B6F86"/>
    <w:rsid w:val="001B75E2"/>
    <w:rsid w:val="001C367D"/>
    <w:rsid w:val="001C62CB"/>
    <w:rsid w:val="001D35B1"/>
    <w:rsid w:val="001E4985"/>
    <w:rsid w:val="001E7907"/>
    <w:rsid w:val="001F2382"/>
    <w:rsid w:val="001F6D1F"/>
    <w:rsid w:val="002037B4"/>
    <w:rsid w:val="00206B72"/>
    <w:rsid w:val="00220E97"/>
    <w:rsid w:val="002255D3"/>
    <w:rsid w:val="00225F08"/>
    <w:rsid w:val="00226F4A"/>
    <w:rsid w:val="002335FB"/>
    <w:rsid w:val="00242FE6"/>
    <w:rsid w:val="0024623A"/>
    <w:rsid w:val="00246642"/>
    <w:rsid w:val="00250D31"/>
    <w:rsid w:val="00255A06"/>
    <w:rsid w:val="00262392"/>
    <w:rsid w:val="00264D8E"/>
    <w:rsid w:val="0027361A"/>
    <w:rsid w:val="00293CAD"/>
    <w:rsid w:val="00295A6D"/>
    <w:rsid w:val="00297AF8"/>
    <w:rsid w:val="002A1A0D"/>
    <w:rsid w:val="002B43F0"/>
    <w:rsid w:val="002C7BB1"/>
    <w:rsid w:val="002D09EA"/>
    <w:rsid w:val="002D4227"/>
    <w:rsid w:val="002D7691"/>
    <w:rsid w:val="002E6051"/>
    <w:rsid w:val="002F0855"/>
    <w:rsid w:val="002F69FC"/>
    <w:rsid w:val="002F7BFE"/>
    <w:rsid w:val="00301717"/>
    <w:rsid w:val="00302A9E"/>
    <w:rsid w:val="00317224"/>
    <w:rsid w:val="00323938"/>
    <w:rsid w:val="003258AD"/>
    <w:rsid w:val="00335097"/>
    <w:rsid w:val="0034094D"/>
    <w:rsid w:val="0034616B"/>
    <w:rsid w:val="003472CD"/>
    <w:rsid w:val="00350030"/>
    <w:rsid w:val="00352241"/>
    <w:rsid w:val="00355A6D"/>
    <w:rsid w:val="00361C09"/>
    <w:rsid w:val="0036598D"/>
    <w:rsid w:val="0037469D"/>
    <w:rsid w:val="00374E52"/>
    <w:rsid w:val="0037770A"/>
    <w:rsid w:val="00386143"/>
    <w:rsid w:val="00394A3E"/>
    <w:rsid w:val="003958C8"/>
    <w:rsid w:val="003B0D12"/>
    <w:rsid w:val="003B4EE2"/>
    <w:rsid w:val="003E1937"/>
    <w:rsid w:val="003E6A2B"/>
    <w:rsid w:val="003F016E"/>
    <w:rsid w:val="003F6E7A"/>
    <w:rsid w:val="00405BBB"/>
    <w:rsid w:val="0041007A"/>
    <w:rsid w:val="00420518"/>
    <w:rsid w:val="004247D2"/>
    <w:rsid w:val="00432177"/>
    <w:rsid w:val="00435665"/>
    <w:rsid w:val="00441C7D"/>
    <w:rsid w:val="004447D6"/>
    <w:rsid w:val="004474A8"/>
    <w:rsid w:val="00457979"/>
    <w:rsid w:val="00465382"/>
    <w:rsid w:val="0047522F"/>
    <w:rsid w:val="004847A4"/>
    <w:rsid w:val="0049455C"/>
    <w:rsid w:val="00494E5E"/>
    <w:rsid w:val="00497D0F"/>
    <w:rsid w:val="004A4667"/>
    <w:rsid w:val="004B462B"/>
    <w:rsid w:val="004C1BD9"/>
    <w:rsid w:val="004D0C5B"/>
    <w:rsid w:val="004D17EA"/>
    <w:rsid w:val="004E5E9C"/>
    <w:rsid w:val="004E6135"/>
    <w:rsid w:val="004F4904"/>
    <w:rsid w:val="0050628C"/>
    <w:rsid w:val="005069CE"/>
    <w:rsid w:val="005125E0"/>
    <w:rsid w:val="00512B28"/>
    <w:rsid w:val="005220A2"/>
    <w:rsid w:val="00523796"/>
    <w:rsid w:val="00525EDB"/>
    <w:rsid w:val="00531E53"/>
    <w:rsid w:val="005323F4"/>
    <w:rsid w:val="00540EEC"/>
    <w:rsid w:val="005456F7"/>
    <w:rsid w:val="00552487"/>
    <w:rsid w:val="00552D6A"/>
    <w:rsid w:val="005575B0"/>
    <w:rsid w:val="005608F5"/>
    <w:rsid w:val="005621E3"/>
    <w:rsid w:val="00571148"/>
    <w:rsid w:val="00581CBA"/>
    <w:rsid w:val="005909F1"/>
    <w:rsid w:val="005A2563"/>
    <w:rsid w:val="005B273D"/>
    <w:rsid w:val="005B6D12"/>
    <w:rsid w:val="005B7D64"/>
    <w:rsid w:val="005C2A6E"/>
    <w:rsid w:val="005D10FE"/>
    <w:rsid w:val="005D3003"/>
    <w:rsid w:val="005E4515"/>
    <w:rsid w:val="005E510C"/>
    <w:rsid w:val="005E72E9"/>
    <w:rsid w:val="005E73F0"/>
    <w:rsid w:val="005F41CA"/>
    <w:rsid w:val="005F7934"/>
    <w:rsid w:val="00605B90"/>
    <w:rsid w:val="006068C3"/>
    <w:rsid w:val="006123A7"/>
    <w:rsid w:val="00622657"/>
    <w:rsid w:val="00644063"/>
    <w:rsid w:val="006553D7"/>
    <w:rsid w:val="00681C57"/>
    <w:rsid w:val="0068619F"/>
    <w:rsid w:val="00691508"/>
    <w:rsid w:val="00692316"/>
    <w:rsid w:val="00694676"/>
    <w:rsid w:val="00696BEB"/>
    <w:rsid w:val="006A0292"/>
    <w:rsid w:val="006A13A0"/>
    <w:rsid w:val="006A23BF"/>
    <w:rsid w:val="006C02BE"/>
    <w:rsid w:val="006C297B"/>
    <w:rsid w:val="006C3279"/>
    <w:rsid w:val="006C36EC"/>
    <w:rsid w:val="006E020E"/>
    <w:rsid w:val="006E556C"/>
    <w:rsid w:val="006F4033"/>
    <w:rsid w:val="007012A6"/>
    <w:rsid w:val="00701896"/>
    <w:rsid w:val="00705ADB"/>
    <w:rsid w:val="0071009E"/>
    <w:rsid w:val="00712766"/>
    <w:rsid w:val="0072415F"/>
    <w:rsid w:val="00725C0E"/>
    <w:rsid w:val="00727558"/>
    <w:rsid w:val="0073428B"/>
    <w:rsid w:val="0073494B"/>
    <w:rsid w:val="00742D87"/>
    <w:rsid w:val="00751660"/>
    <w:rsid w:val="00752BE7"/>
    <w:rsid w:val="00753A72"/>
    <w:rsid w:val="00753EC9"/>
    <w:rsid w:val="007605C4"/>
    <w:rsid w:val="007715A2"/>
    <w:rsid w:val="007839D4"/>
    <w:rsid w:val="007853F8"/>
    <w:rsid w:val="00785457"/>
    <w:rsid w:val="007855C9"/>
    <w:rsid w:val="0079129A"/>
    <w:rsid w:val="00791EEA"/>
    <w:rsid w:val="00796157"/>
    <w:rsid w:val="007A08D3"/>
    <w:rsid w:val="007B646D"/>
    <w:rsid w:val="007C33DC"/>
    <w:rsid w:val="007C387A"/>
    <w:rsid w:val="007C420F"/>
    <w:rsid w:val="007C4F02"/>
    <w:rsid w:val="007D5933"/>
    <w:rsid w:val="007E023C"/>
    <w:rsid w:val="00812565"/>
    <w:rsid w:val="008245C2"/>
    <w:rsid w:val="00847726"/>
    <w:rsid w:val="008521A5"/>
    <w:rsid w:val="00856BA7"/>
    <w:rsid w:val="0086589E"/>
    <w:rsid w:val="00870343"/>
    <w:rsid w:val="00880815"/>
    <w:rsid w:val="008875AD"/>
    <w:rsid w:val="0089054F"/>
    <w:rsid w:val="00890992"/>
    <w:rsid w:val="008963AE"/>
    <w:rsid w:val="00897570"/>
    <w:rsid w:val="008B17C0"/>
    <w:rsid w:val="008B62DB"/>
    <w:rsid w:val="008C7663"/>
    <w:rsid w:val="008E7106"/>
    <w:rsid w:val="008F544D"/>
    <w:rsid w:val="008F70BC"/>
    <w:rsid w:val="00906195"/>
    <w:rsid w:val="00921CC2"/>
    <w:rsid w:val="00933C85"/>
    <w:rsid w:val="00942DA9"/>
    <w:rsid w:val="009435E1"/>
    <w:rsid w:val="00946FAC"/>
    <w:rsid w:val="00951F8E"/>
    <w:rsid w:val="009606AE"/>
    <w:rsid w:val="00960EE4"/>
    <w:rsid w:val="00973CE5"/>
    <w:rsid w:val="00981B40"/>
    <w:rsid w:val="009945E4"/>
    <w:rsid w:val="009A6270"/>
    <w:rsid w:val="009B3260"/>
    <w:rsid w:val="009C1D29"/>
    <w:rsid w:val="009C66FD"/>
    <w:rsid w:val="009D1CE2"/>
    <w:rsid w:val="009D7B95"/>
    <w:rsid w:val="009E20BA"/>
    <w:rsid w:val="009E6C8F"/>
    <w:rsid w:val="009F6B6C"/>
    <w:rsid w:val="00A13308"/>
    <w:rsid w:val="00A22EBC"/>
    <w:rsid w:val="00A22F3F"/>
    <w:rsid w:val="00A23379"/>
    <w:rsid w:val="00A25651"/>
    <w:rsid w:val="00A26843"/>
    <w:rsid w:val="00A4399F"/>
    <w:rsid w:val="00A4747A"/>
    <w:rsid w:val="00A51FED"/>
    <w:rsid w:val="00A61AFA"/>
    <w:rsid w:val="00A61F49"/>
    <w:rsid w:val="00A630CD"/>
    <w:rsid w:val="00A631E5"/>
    <w:rsid w:val="00A638D8"/>
    <w:rsid w:val="00A6627A"/>
    <w:rsid w:val="00A66A9D"/>
    <w:rsid w:val="00A83F3D"/>
    <w:rsid w:val="00A921EA"/>
    <w:rsid w:val="00A97D3A"/>
    <w:rsid w:val="00AA2355"/>
    <w:rsid w:val="00AA380E"/>
    <w:rsid w:val="00AA673C"/>
    <w:rsid w:val="00AB098D"/>
    <w:rsid w:val="00AB7079"/>
    <w:rsid w:val="00AC234E"/>
    <w:rsid w:val="00AC4337"/>
    <w:rsid w:val="00AC69D7"/>
    <w:rsid w:val="00AD0A95"/>
    <w:rsid w:val="00AD1100"/>
    <w:rsid w:val="00AD6241"/>
    <w:rsid w:val="00AD6919"/>
    <w:rsid w:val="00AE59E1"/>
    <w:rsid w:val="00AF001E"/>
    <w:rsid w:val="00B02310"/>
    <w:rsid w:val="00B1755F"/>
    <w:rsid w:val="00B207FE"/>
    <w:rsid w:val="00B218E2"/>
    <w:rsid w:val="00B268F3"/>
    <w:rsid w:val="00B524D0"/>
    <w:rsid w:val="00B606AE"/>
    <w:rsid w:val="00B64E91"/>
    <w:rsid w:val="00B65585"/>
    <w:rsid w:val="00B72EEA"/>
    <w:rsid w:val="00B735CE"/>
    <w:rsid w:val="00B73CB8"/>
    <w:rsid w:val="00B81BA3"/>
    <w:rsid w:val="00B8745D"/>
    <w:rsid w:val="00BB295F"/>
    <w:rsid w:val="00BB3FDF"/>
    <w:rsid w:val="00BB6ED8"/>
    <w:rsid w:val="00BC0D49"/>
    <w:rsid w:val="00BC2011"/>
    <w:rsid w:val="00BE4774"/>
    <w:rsid w:val="00BE54A9"/>
    <w:rsid w:val="00BE74FF"/>
    <w:rsid w:val="00C0612E"/>
    <w:rsid w:val="00C10561"/>
    <w:rsid w:val="00C23814"/>
    <w:rsid w:val="00C24926"/>
    <w:rsid w:val="00C251CC"/>
    <w:rsid w:val="00C307FF"/>
    <w:rsid w:val="00C345D9"/>
    <w:rsid w:val="00C36161"/>
    <w:rsid w:val="00C37633"/>
    <w:rsid w:val="00C41BE0"/>
    <w:rsid w:val="00C5217A"/>
    <w:rsid w:val="00C55228"/>
    <w:rsid w:val="00C557A8"/>
    <w:rsid w:val="00C55CA9"/>
    <w:rsid w:val="00C56887"/>
    <w:rsid w:val="00C66B2C"/>
    <w:rsid w:val="00C81D9A"/>
    <w:rsid w:val="00C86624"/>
    <w:rsid w:val="00C86E16"/>
    <w:rsid w:val="00C932B7"/>
    <w:rsid w:val="00CA2C38"/>
    <w:rsid w:val="00CA3654"/>
    <w:rsid w:val="00CA6F67"/>
    <w:rsid w:val="00CB2B3B"/>
    <w:rsid w:val="00CD1EEE"/>
    <w:rsid w:val="00CD4548"/>
    <w:rsid w:val="00CD50A4"/>
    <w:rsid w:val="00CD701B"/>
    <w:rsid w:val="00CE10F9"/>
    <w:rsid w:val="00CF38B9"/>
    <w:rsid w:val="00D06B02"/>
    <w:rsid w:val="00D10E98"/>
    <w:rsid w:val="00D116D6"/>
    <w:rsid w:val="00D11D15"/>
    <w:rsid w:val="00D14AF1"/>
    <w:rsid w:val="00D1751B"/>
    <w:rsid w:val="00D17C7A"/>
    <w:rsid w:val="00D23EE1"/>
    <w:rsid w:val="00D301D5"/>
    <w:rsid w:val="00D30F45"/>
    <w:rsid w:val="00D321E0"/>
    <w:rsid w:val="00D365DD"/>
    <w:rsid w:val="00D47C87"/>
    <w:rsid w:val="00D57A82"/>
    <w:rsid w:val="00D62490"/>
    <w:rsid w:val="00D647D4"/>
    <w:rsid w:val="00D71D09"/>
    <w:rsid w:val="00D76982"/>
    <w:rsid w:val="00D81D99"/>
    <w:rsid w:val="00D83C7A"/>
    <w:rsid w:val="00D8730F"/>
    <w:rsid w:val="00D87F89"/>
    <w:rsid w:val="00DA1207"/>
    <w:rsid w:val="00DB03AB"/>
    <w:rsid w:val="00DB29D3"/>
    <w:rsid w:val="00DB2A94"/>
    <w:rsid w:val="00DB672D"/>
    <w:rsid w:val="00DB7BE0"/>
    <w:rsid w:val="00DC33AE"/>
    <w:rsid w:val="00DC6C2F"/>
    <w:rsid w:val="00DD6E08"/>
    <w:rsid w:val="00DF0538"/>
    <w:rsid w:val="00DF4794"/>
    <w:rsid w:val="00E235B1"/>
    <w:rsid w:val="00E265D8"/>
    <w:rsid w:val="00E34FE8"/>
    <w:rsid w:val="00E3686F"/>
    <w:rsid w:val="00E440B9"/>
    <w:rsid w:val="00E47C25"/>
    <w:rsid w:val="00E5235F"/>
    <w:rsid w:val="00E53610"/>
    <w:rsid w:val="00E54255"/>
    <w:rsid w:val="00E575FD"/>
    <w:rsid w:val="00E66661"/>
    <w:rsid w:val="00E75365"/>
    <w:rsid w:val="00E7623F"/>
    <w:rsid w:val="00E85443"/>
    <w:rsid w:val="00E90A65"/>
    <w:rsid w:val="00E94A70"/>
    <w:rsid w:val="00EA0BC8"/>
    <w:rsid w:val="00EA563F"/>
    <w:rsid w:val="00EB3BEF"/>
    <w:rsid w:val="00EB6BE8"/>
    <w:rsid w:val="00EB6DF0"/>
    <w:rsid w:val="00EB7FA7"/>
    <w:rsid w:val="00EC18EB"/>
    <w:rsid w:val="00ED4928"/>
    <w:rsid w:val="00ED6EAB"/>
    <w:rsid w:val="00EE1AC5"/>
    <w:rsid w:val="00EE1BBC"/>
    <w:rsid w:val="00EE3088"/>
    <w:rsid w:val="00EF0BA0"/>
    <w:rsid w:val="00EF7FDF"/>
    <w:rsid w:val="00F06B9A"/>
    <w:rsid w:val="00F07937"/>
    <w:rsid w:val="00F134A0"/>
    <w:rsid w:val="00F13544"/>
    <w:rsid w:val="00F15999"/>
    <w:rsid w:val="00F33658"/>
    <w:rsid w:val="00F3425F"/>
    <w:rsid w:val="00F37552"/>
    <w:rsid w:val="00F44B25"/>
    <w:rsid w:val="00F456E7"/>
    <w:rsid w:val="00F53983"/>
    <w:rsid w:val="00F56B42"/>
    <w:rsid w:val="00F56FFA"/>
    <w:rsid w:val="00F5714D"/>
    <w:rsid w:val="00F6077D"/>
    <w:rsid w:val="00F63AC3"/>
    <w:rsid w:val="00F67D09"/>
    <w:rsid w:val="00F71859"/>
    <w:rsid w:val="00F75380"/>
    <w:rsid w:val="00F77776"/>
    <w:rsid w:val="00F87D86"/>
    <w:rsid w:val="00F939B0"/>
    <w:rsid w:val="00FA014C"/>
    <w:rsid w:val="00FA63CF"/>
    <w:rsid w:val="00FB47A9"/>
    <w:rsid w:val="00FB58E6"/>
    <w:rsid w:val="00FB6679"/>
    <w:rsid w:val="00FC1AB2"/>
    <w:rsid w:val="00FD0229"/>
    <w:rsid w:val="00FD676D"/>
    <w:rsid w:val="00FF2261"/>
    <w:rsid w:val="00FF639F"/>
    <w:rsid w:val="11197A68"/>
    <w:rsid w:val="2C787AEE"/>
    <w:rsid w:val="55842B80"/>
    <w:rsid w:val="563E24AB"/>
    <w:rsid w:val="607C77CD"/>
    <w:rsid w:val="7FE9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9"/>
    <w:qFormat/>
    <w:uiPriority w:val="0"/>
    <w:pPr>
      <w:keepNext/>
      <w:keepLines/>
      <w:widowControl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0"/>
      <w:szCs w:val="32"/>
      <w:lang w:val="zh-CN" w:eastAsia="zh-CN"/>
    </w:rPr>
  </w:style>
  <w:style w:type="paragraph" w:styleId="4">
    <w:name w:val="heading 3"/>
    <w:basedOn w:val="1"/>
    <w:next w:val="1"/>
    <w:link w:val="27"/>
    <w:qFormat/>
    <w:uiPriority w:val="0"/>
    <w:pPr>
      <w:keepNext/>
      <w:keepLines/>
      <w:widowControl/>
      <w:numPr>
        <w:ilvl w:val="2"/>
        <w:numId w:val="1"/>
      </w:numPr>
      <w:spacing w:line="415" w:lineRule="auto"/>
      <w:outlineLvl w:val="2"/>
    </w:pPr>
    <w:rPr>
      <w:rFonts w:ascii="Times New Roman" w:hAnsi="Times New Roman" w:eastAsia="黑体" w:cs="Times New Roman"/>
      <w:b/>
      <w:bCs/>
      <w:sz w:val="28"/>
      <w:szCs w:val="24"/>
      <w:lang w:val="zh-CN" w:eastAsia="zh-CN"/>
    </w:rPr>
  </w:style>
  <w:style w:type="paragraph" w:styleId="5">
    <w:name w:val="heading 4"/>
    <w:basedOn w:val="1"/>
    <w:next w:val="1"/>
    <w:link w:val="28"/>
    <w:qFormat/>
    <w:uiPriority w:val="0"/>
    <w:pPr>
      <w:keepNext/>
      <w:keepLines/>
      <w:widowControl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4"/>
      <w:szCs w:val="28"/>
    </w:rPr>
  </w:style>
  <w:style w:type="paragraph" w:styleId="6">
    <w:name w:val="heading 5"/>
    <w:basedOn w:val="3"/>
    <w:next w:val="1"/>
    <w:link w:val="31"/>
    <w:qFormat/>
    <w:uiPriority w:val="0"/>
    <w:pPr>
      <w:numPr>
        <w:ilvl w:val="0"/>
        <w:numId w:val="0"/>
      </w:numPr>
      <w:tabs>
        <w:tab w:val="left" w:pos="1008"/>
      </w:tabs>
      <w:spacing w:before="280" w:after="290" w:line="376" w:lineRule="auto"/>
      <w:ind w:left="1008" w:hanging="1008"/>
      <w:outlineLvl w:val="4"/>
    </w:pPr>
    <w:rPr>
      <w:bCs w:val="0"/>
      <w:sz w:val="28"/>
      <w:szCs w:val="28"/>
    </w:rPr>
  </w:style>
  <w:style w:type="paragraph" w:styleId="7">
    <w:name w:val="heading 6"/>
    <w:basedOn w:val="1"/>
    <w:next w:val="1"/>
    <w:link w:val="32"/>
    <w:qFormat/>
    <w:uiPriority w:val="0"/>
    <w:pPr>
      <w:keepNext/>
      <w:keepLines/>
      <w:widowControl/>
      <w:tabs>
        <w:tab w:val="left" w:pos="1152"/>
      </w:tabs>
      <w:spacing w:before="240" w:after="64" w:line="320" w:lineRule="auto"/>
      <w:ind w:left="1152" w:hanging="1152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33"/>
    <w:qFormat/>
    <w:uiPriority w:val="0"/>
    <w:pPr>
      <w:keepNext/>
      <w:keepLines/>
      <w:widowControl/>
      <w:tabs>
        <w:tab w:val="left" w:pos="1296"/>
      </w:tabs>
      <w:spacing w:before="240" w:after="64" w:line="320" w:lineRule="auto"/>
      <w:ind w:left="1296" w:hanging="1296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34"/>
    <w:qFormat/>
    <w:uiPriority w:val="0"/>
    <w:pPr>
      <w:keepNext/>
      <w:keepLines/>
      <w:widowControl/>
      <w:tabs>
        <w:tab w:val="left" w:pos="1440"/>
      </w:tabs>
      <w:spacing w:before="240" w:after="64" w:line="320" w:lineRule="auto"/>
      <w:ind w:left="1440" w:hanging="1440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35"/>
    <w:qFormat/>
    <w:uiPriority w:val="0"/>
    <w:pPr>
      <w:keepNext/>
      <w:keepLines/>
      <w:widowControl/>
      <w:tabs>
        <w:tab w:val="left" w:pos="1584"/>
      </w:tabs>
      <w:spacing w:before="240" w:after="64" w:line="320" w:lineRule="auto"/>
      <w:ind w:left="1584" w:hanging="1584"/>
      <w:outlineLvl w:val="8"/>
    </w:pPr>
    <w:rPr>
      <w:rFonts w:ascii="Arial" w:hAnsi="Arial" w:eastAsia="黑体" w:cs="Times New Roman"/>
      <w:szCs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0"/>
    <w:semiHidden/>
    <w:unhideWhenUsed/>
    <w:qFormat/>
    <w:uiPriority w:val="99"/>
    <w:rPr>
      <w:sz w:val="20"/>
      <w:szCs w:val="20"/>
    </w:rPr>
  </w:style>
  <w:style w:type="paragraph" w:styleId="12">
    <w:name w:val="toc 3"/>
    <w:basedOn w:val="1"/>
    <w:next w:val="1"/>
    <w:qFormat/>
    <w:uiPriority w:val="39"/>
    <w:pPr>
      <w:widowControl/>
      <w:ind w:left="840" w:leftChars="400"/>
    </w:pPr>
    <w:rPr>
      <w:rFonts w:ascii="Times New Roman" w:hAnsi="Times New Roman" w:cs="Times New Roman"/>
      <w:szCs w:val="24"/>
    </w:rPr>
  </w:style>
  <w:style w:type="paragraph" w:styleId="13">
    <w:name w:val="Balloon Text"/>
    <w:basedOn w:val="1"/>
    <w:link w:val="38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2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widowControl/>
    </w:pPr>
    <w:rPr>
      <w:rFonts w:ascii="Times New Roman" w:hAnsi="Times New Roman" w:cs="Times New Roman"/>
      <w:szCs w:val="24"/>
    </w:rPr>
  </w:style>
  <w:style w:type="paragraph" w:styleId="17">
    <w:name w:val="toc 2"/>
    <w:basedOn w:val="1"/>
    <w:next w:val="1"/>
    <w:qFormat/>
    <w:uiPriority w:val="39"/>
    <w:pPr>
      <w:widowControl/>
      <w:ind w:left="200" w:leftChars="200"/>
    </w:pPr>
    <w:rPr>
      <w:rFonts w:ascii="Times New Roman" w:hAnsi="Times New Roman" w:cs="Times New Roman"/>
      <w:szCs w:val="24"/>
    </w:rPr>
  </w:style>
  <w:style w:type="paragraph" w:styleId="18">
    <w:name w:val="annotation subject"/>
    <w:basedOn w:val="11"/>
    <w:next w:val="11"/>
    <w:link w:val="41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4">
    <w:name w:val="页眉 Char"/>
    <w:basedOn w:val="21"/>
    <w:link w:val="15"/>
    <w:qFormat/>
    <w:uiPriority w:val="0"/>
    <w:rPr>
      <w:sz w:val="18"/>
      <w:szCs w:val="18"/>
    </w:rPr>
  </w:style>
  <w:style w:type="character" w:customStyle="1" w:styleId="25">
    <w:name w:val="页脚 Char"/>
    <w:basedOn w:val="21"/>
    <w:link w:val="14"/>
    <w:qFormat/>
    <w:uiPriority w:val="99"/>
    <w:rPr>
      <w:sz w:val="18"/>
      <w:szCs w:val="18"/>
    </w:rPr>
  </w:style>
  <w:style w:type="character" w:customStyle="1" w:styleId="26">
    <w:name w:val="标题 2 字符"/>
    <w:basedOn w:val="21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21"/>
    <w:link w:val="4"/>
    <w:qFormat/>
    <w:uiPriority w:val="0"/>
    <w:rPr>
      <w:rFonts w:ascii="Times New Roman" w:hAnsi="Times New Roman" w:eastAsia="黑体" w:cs="Times New Roman"/>
      <w:b/>
      <w:bCs/>
      <w:sz w:val="28"/>
      <w:szCs w:val="24"/>
      <w:lang w:val="zh-CN" w:eastAsia="zh-CN"/>
    </w:rPr>
  </w:style>
  <w:style w:type="character" w:customStyle="1" w:styleId="28">
    <w:name w:val="标题 4 Char"/>
    <w:basedOn w:val="21"/>
    <w:link w:val="5"/>
    <w:qFormat/>
    <w:uiPriority w:val="0"/>
    <w:rPr>
      <w:rFonts w:ascii="Arial" w:hAnsi="Arial" w:eastAsia="黑体" w:cs="Times New Roman"/>
      <w:b/>
      <w:bCs/>
      <w:sz w:val="24"/>
      <w:szCs w:val="28"/>
    </w:rPr>
  </w:style>
  <w:style w:type="character" w:customStyle="1" w:styleId="29">
    <w:name w:val="标题 2 Char"/>
    <w:link w:val="3"/>
    <w:qFormat/>
    <w:uiPriority w:val="0"/>
    <w:rPr>
      <w:rFonts w:ascii="Arial" w:hAnsi="Arial" w:eastAsia="黑体" w:cs="Times New Roman"/>
      <w:b/>
      <w:bCs/>
      <w:sz w:val="30"/>
      <w:szCs w:val="32"/>
      <w:lang w:val="zh-CN" w:eastAsia="zh-CN"/>
    </w:rPr>
  </w:style>
  <w:style w:type="character" w:customStyle="1" w:styleId="30">
    <w:name w:val="标题 1 Char"/>
    <w:basedOn w:val="21"/>
    <w:link w:val="2"/>
    <w:qFormat/>
    <w:uiPriority w:val="9"/>
    <w:rPr>
      <w:rFonts w:eastAsia="黑体"/>
      <w:b/>
      <w:bCs/>
      <w:kern w:val="44"/>
      <w:sz w:val="44"/>
      <w:szCs w:val="44"/>
    </w:rPr>
  </w:style>
  <w:style w:type="character" w:customStyle="1" w:styleId="31">
    <w:name w:val="标题 5 Char"/>
    <w:basedOn w:val="21"/>
    <w:link w:val="6"/>
    <w:qFormat/>
    <w:uiPriority w:val="0"/>
    <w:rPr>
      <w:rFonts w:ascii="Arial" w:hAnsi="Arial" w:eastAsia="黑体" w:cs="Times New Roman"/>
      <w:b/>
      <w:sz w:val="28"/>
      <w:szCs w:val="28"/>
      <w:lang w:val="zh-CN" w:eastAsia="zh-CN"/>
    </w:rPr>
  </w:style>
  <w:style w:type="character" w:customStyle="1" w:styleId="32">
    <w:name w:val="标题 6 Char"/>
    <w:basedOn w:val="21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33">
    <w:name w:val="标题 7 Char"/>
    <w:basedOn w:val="21"/>
    <w:link w:val="8"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34">
    <w:name w:val="标题 8 Char"/>
    <w:basedOn w:val="21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35">
    <w:name w:val="标题 9 Char"/>
    <w:basedOn w:val="21"/>
    <w:link w:val="10"/>
    <w:qFormat/>
    <w:uiPriority w:val="0"/>
    <w:rPr>
      <w:rFonts w:ascii="Arial" w:hAnsi="Arial" w:eastAsia="黑体" w:cs="Times New Roman"/>
      <w:szCs w:val="21"/>
    </w:rPr>
  </w:style>
  <w:style w:type="paragraph" w:customStyle="1" w:styleId="36">
    <w:name w:val="TOC Heading"/>
    <w:basedOn w:val="2"/>
    <w:next w:val="1"/>
    <w:qFormat/>
    <w:uiPriority w:val="39"/>
    <w:pPr>
      <w:widowControl/>
      <w:tabs>
        <w:tab w:val="left" w:pos="432"/>
      </w:tabs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  <w:lang w:val="zh-CN" w:eastAsia="zh-CN"/>
    </w:rPr>
  </w:style>
  <w:style w:type="paragraph" w:customStyle="1" w:styleId="37">
    <w:name w:val="列出段落1"/>
    <w:basedOn w:val="1"/>
    <w:qFormat/>
    <w:uiPriority w:val="34"/>
    <w:pPr>
      <w:widowControl/>
      <w:ind w:left="420" w:firstLine="420" w:firstLineChars="200"/>
    </w:pPr>
    <w:rPr>
      <w:rFonts w:ascii="Calibri" w:hAnsi="Calibri" w:cs="Times New Roman"/>
    </w:rPr>
  </w:style>
  <w:style w:type="character" w:customStyle="1" w:styleId="38">
    <w:name w:val="批注框文本 Char"/>
    <w:basedOn w:val="21"/>
    <w:link w:val="13"/>
    <w:semiHidden/>
    <w:qFormat/>
    <w:uiPriority w:val="99"/>
    <w:rPr>
      <w:sz w:val="18"/>
      <w:szCs w:val="18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批注文字 Char"/>
    <w:basedOn w:val="21"/>
    <w:link w:val="11"/>
    <w:semiHidden/>
    <w:qFormat/>
    <w:uiPriority w:val="99"/>
    <w:rPr>
      <w:sz w:val="20"/>
      <w:szCs w:val="20"/>
    </w:rPr>
  </w:style>
  <w:style w:type="character" w:customStyle="1" w:styleId="41">
    <w:name w:val="批注主题 Char"/>
    <w:basedOn w:val="40"/>
    <w:link w:val="18"/>
    <w:semiHidden/>
    <w:qFormat/>
    <w:uiPriority w:val="99"/>
    <w:rPr>
      <w:b/>
      <w:bC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7.jpeg"/><Relationship Id="rId14" Type="http://schemas.openxmlformats.org/officeDocument/2006/relationships/image" Target="media/image6.png"/><Relationship Id="rId13" Type="http://schemas.openxmlformats.org/officeDocument/2006/relationships/image" Target="media/image5.bmp"/><Relationship Id="rId12" Type="http://schemas.openxmlformats.org/officeDocument/2006/relationships/image" Target="media/image4.wmf"/><Relationship Id="rId11" Type="http://schemas.openxmlformats.org/officeDocument/2006/relationships/image" Target="media/image3.wmf"/><Relationship Id="rId10" Type="http://schemas.openxmlformats.org/officeDocument/2006/relationships/image" Target="media/image2.bmp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2C38A-F009-446A-B607-95F4B1B068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tmp6.dotx</Template>
  <Pages>9</Pages>
  <Words>2327</Words>
  <Characters>2993</Characters>
  <Lines>25</Lines>
  <Paragraphs>7</Paragraphs>
  <TotalTime>0</TotalTime>
  <ScaleCrop>false</ScaleCrop>
  <LinksUpToDate>false</LinksUpToDate>
  <CharactersWithSpaces>3075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2024-03-21T06:14:00Z</dcterms:created>
  <dc:creator>Administrator</dc:creator>
  <cp:lastModifiedBy>小蜗牛</cp:lastModifiedBy>
  <dcterms:modified xsi:type="dcterms:W3CDTF">2024-09-29T03:28:34Z</dcterms:modified>
  <dc:title>绿色建筑有机挥发物预评价报告书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AADC6424CA204CB9ABFAA7C2DD2E6507</vt:lpwstr>
  </property>
  <property fmtid="{D5CDD505-2E9C-101B-9397-08002B2CF9AE}" pid="3" name="KSOProductBuildVer">
    <vt:lpwstr>2052-12.1.0.18276</vt:lpwstr>
  </property>
</Properties>
</file>