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01541">
      <w:pPr>
        <w:widowControl w:val="0"/>
        <w:spacing w:after="312" w:afterLines="100" w:line="240" w:lineRule="auto"/>
        <w:rPr>
          <w:rFonts w:ascii="宋体" w:hAnsi="宋体"/>
          <w:b/>
          <w:bCs/>
          <w:kern w:val="2"/>
          <w:sz w:val="30"/>
          <w:szCs w:val="24"/>
          <w:lang w:val="en-US"/>
        </w:rPr>
      </w:pPr>
    </w:p>
    <w:p w14:paraId="6132DAD7">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公共建筑换气</w:t>
      </w:r>
      <w:r>
        <w:rPr>
          <w:rFonts w:ascii="黑体" w:hAnsi="宋体" w:eastAsia="黑体"/>
          <w:b/>
          <w:bCs/>
          <w:sz w:val="72"/>
          <w:szCs w:val="72"/>
        </w:rPr>
        <w:t>次数</w:t>
      </w:r>
    </w:p>
    <w:p w14:paraId="786FD74C">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计算书</w:t>
      </w:r>
    </w:p>
    <w:p w14:paraId="7FC20B5F">
      <w:pPr>
        <w:spacing w:line="180" w:lineRule="atLeast"/>
        <w:jc w:val="center"/>
        <w:rPr>
          <w:rFonts w:ascii="宋体" w:hAnsi="宋体"/>
          <w:b/>
          <w:bCs/>
          <w:sz w:val="21"/>
          <w:szCs w:val="21"/>
        </w:rPr>
      </w:pPr>
    </w:p>
    <w:p w14:paraId="1D8B4CF5">
      <w:pPr>
        <w:spacing w:line="180" w:lineRule="atLeast"/>
        <w:jc w:val="center"/>
        <w:rPr>
          <w:rFonts w:ascii="宋体" w:hAnsi="宋体"/>
          <w:b/>
          <w:bCs/>
          <w:sz w:val="21"/>
          <w:szCs w:val="21"/>
          <w:lang w:val="en-US"/>
        </w:rPr>
      </w:pP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7755FD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0DF87BAC">
            <w:pPr>
              <w:pStyle w:val="14"/>
              <w:pBdr>
                <w:bottom w:val="none" w:color="auto" w:sz="0" w:space="0"/>
              </w:pBdr>
              <w:tabs>
                <w:tab w:val="clear" w:pos="4153"/>
                <w:tab w:val="clear" w:pos="8306"/>
              </w:tabs>
              <w:snapToGrid/>
              <w:jc w:val="center"/>
              <w:rPr>
                <w:rFonts w:ascii="宋体" w:hAnsi="宋体"/>
                <w:sz w:val="21"/>
                <w:szCs w:val="21"/>
              </w:rPr>
            </w:pPr>
            <w:r>
              <w:rPr>
                <w:rFonts w:hint="eastAsia" w:ascii="宋体" w:hAnsi="宋体"/>
                <w:sz w:val="21"/>
                <w:szCs w:val="21"/>
              </w:rPr>
              <w:t>工程名称</w:t>
            </w:r>
          </w:p>
        </w:tc>
        <w:tc>
          <w:tcPr>
            <w:tcW w:w="3780" w:type="dxa"/>
          </w:tcPr>
          <w:p w14:paraId="6D90009E">
            <w:pPr>
              <w:pStyle w:val="13"/>
              <w:tabs>
                <w:tab w:val="clear" w:pos="4153"/>
                <w:tab w:val="clear" w:pos="8306"/>
              </w:tabs>
              <w:snapToGrid/>
              <w:jc w:val="center"/>
              <w:rPr>
                <w:rFonts w:ascii="宋体" w:hAnsi="宋体"/>
                <w:sz w:val="21"/>
                <w:szCs w:val="21"/>
              </w:rPr>
            </w:pPr>
            <w:bookmarkStart w:id="0" w:name="工程名称"/>
            <w:r>
              <w:rPr>
                <w:sz w:val="21"/>
                <w:szCs w:val="21"/>
              </w:rPr>
              <w:t>中峰村油榨坪街村民议事中心</w:t>
            </w:r>
            <w:bookmarkEnd w:id="0"/>
          </w:p>
        </w:tc>
      </w:tr>
      <w:tr w14:paraId="145AD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651CABB">
            <w:pPr>
              <w:jc w:val="center"/>
              <w:rPr>
                <w:rFonts w:ascii="宋体" w:hAnsi="宋体"/>
                <w:sz w:val="21"/>
                <w:szCs w:val="21"/>
              </w:rPr>
            </w:pPr>
            <w:r>
              <w:rPr>
                <w:rFonts w:hint="eastAsia" w:ascii="宋体" w:hAnsi="宋体"/>
                <w:sz w:val="21"/>
                <w:szCs w:val="21"/>
              </w:rPr>
              <w:t>工程地点</w:t>
            </w:r>
          </w:p>
        </w:tc>
        <w:tc>
          <w:tcPr>
            <w:tcW w:w="3780" w:type="dxa"/>
          </w:tcPr>
          <w:p w14:paraId="4B60BBA7">
            <w:pPr>
              <w:jc w:val="center"/>
              <w:rPr>
                <w:rFonts w:ascii="宋体" w:hAnsi="宋体"/>
                <w:sz w:val="21"/>
                <w:szCs w:val="21"/>
              </w:rPr>
            </w:pPr>
            <w:r>
              <w:rPr>
                <w:rFonts w:hint="eastAsia" w:ascii="宋体" w:hAnsi="宋体"/>
                <w:sz w:val="21"/>
                <w:szCs w:val="21"/>
              </w:rPr>
              <w:t>桂林市资源县中峰镇</w:t>
            </w:r>
          </w:p>
        </w:tc>
      </w:tr>
      <w:tr w14:paraId="6D45D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674A322">
            <w:pPr>
              <w:jc w:val="center"/>
              <w:rPr>
                <w:rFonts w:ascii="宋体" w:hAnsi="宋体"/>
                <w:sz w:val="21"/>
                <w:szCs w:val="21"/>
              </w:rPr>
            </w:pPr>
            <w:r>
              <w:rPr>
                <w:rFonts w:hint="eastAsia" w:ascii="宋体" w:hAnsi="宋体"/>
                <w:sz w:val="21"/>
                <w:szCs w:val="21"/>
              </w:rPr>
              <w:t>设计编号</w:t>
            </w:r>
          </w:p>
        </w:tc>
        <w:tc>
          <w:tcPr>
            <w:tcW w:w="3780" w:type="dxa"/>
          </w:tcPr>
          <w:p w14:paraId="04D130D0">
            <w:pPr>
              <w:jc w:val="center"/>
              <w:rPr>
                <w:rFonts w:ascii="宋体" w:hAnsi="宋体"/>
                <w:sz w:val="21"/>
                <w:szCs w:val="21"/>
              </w:rPr>
            </w:pPr>
            <w:bookmarkStart w:id="1" w:name="设计编号"/>
            <w:bookmarkEnd w:id="1"/>
            <w:r>
              <w:rPr>
                <w:rFonts w:hint="eastAsia" w:ascii="宋体" w:hAnsi="宋体"/>
                <w:sz w:val="21"/>
                <w:szCs w:val="21"/>
              </w:rPr>
              <w:t>GL-JZ-24-K14</w:t>
            </w:r>
          </w:p>
        </w:tc>
      </w:tr>
      <w:tr w14:paraId="5E40E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20D8D87">
            <w:pPr>
              <w:jc w:val="center"/>
              <w:rPr>
                <w:rFonts w:ascii="宋体" w:hAnsi="宋体"/>
                <w:sz w:val="21"/>
                <w:szCs w:val="21"/>
              </w:rPr>
            </w:pPr>
            <w:r>
              <w:rPr>
                <w:rFonts w:hint="eastAsia" w:ascii="宋体" w:hAnsi="宋体"/>
                <w:sz w:val="21"/>
                <w:szCs w:val="21"/>
              </w:rPr>
              <w:t>建设单位</w:t>
            </w:r>
          </w:p>
        </w:tc>
        <w:tc>
          <w:tcPr>
            <w:tcW w:w="3780" w:type="dxa"/>
          </w:tcPr>
          <w:p w14:paraId="473E215B">
            <w:pPr>
              <w:jc w:val="center"/>
              <w:rPr>
                <w:rFonts w:ascii="宋体" w:hAnsi="宋体"/>
                <w:sz w:val="21"/>
                <w:szCs w:val="21"/>
              </w:rPr>
            </w:pPr>
            <w:bookmarkStart w:id="2" w:name="建设单位"/>
            <w:r>
              <w:rPr>
                <w:sz w:val="21"/>
                <w:szCs w:val="21"/>
              </w:rPr>
              <w:t>中峰镇人民政府</w:t>
            </w:r>
            <w:bookmarkEnd w:id="2"/>
          </w:p>
        </w:tc>
      </w:tr>
      <w:tr w14:paraId="634DAC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F074F65">
            <w:pPr>
              <w:jc w:val="center"/>
              <w:rPr>
                <w:rFonts w:ascii="宋体" w:hAnsi="宋体"/>
                <w:sz w:val="21"/>
                <w:szCs w:val="21"/>
              </w:rPr>
            </w:pPr>
            <w:r>
              <w:rPr>
                <w:rFonts w:hint="eastAsia" w:ascii="宋体" w:hAnsi="宋体"/>
                <w:sz w:val="21"/>
                <w:szCs w:val="21"/>
              </w:rPr>
              <w:t>设计单位</w:t>
            </w:r>
          </w:p>
        </w:tc>
        <w:tc>
          <w:tcPr>
            <w:tcW w:w="3780" w:type="dxa"/>
          </w:tcPr>
          <w:p w14:paraId="3E9EBAC6">
            <w:pPr>
              <w:jc w:val="center"/>
              <w:rPr>
                <w:rFonts w:ascii="宋体" w:hAnsi="宋体"/>
                <w:sz w:val="21"/>
                <w:szCs w:val="21"/>
              </w:rPr>
            </w:pPr>
            <w:r>
              <w:rPr>
                <w:rFonts w:hint="eastAsia" w:ascii="宋体" w:hAnsi="宋体"/>
                <w:sz w:val="21"/>
                <w:szCs w:val="21"/>
                <w:lang w:eastAsia="zh-CN"/>
              </w:rPr>
              <w:t>中物联规划设计研究院有限公司</w:t>
            </w:r>
          </w:p>
        </w:tc>
      </w:tr>
      <w:tr w14:paraId="065DC2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592253E">
            <w:pPr>
              <w:jc w:val="center"/>
              <w:rPr>
                <w:rFonts w:ascii="宋体" w:hAnsi="宋体"/>
                <w:sz w:val="21"/>
                <w:szCs w:val="21"/>
              </w:rPr>
            </w:pPr>
            <w:r>
              <w:rPr>
                <w:rFonts w:hint="eastAsia" w:ascii="宋体" w:hAnsi="宋体"/>
                <w:sz w:val="21"/>
                <w:szCs w:val="21"/>
              </w:rPr>
              <w:t>设 计 人</w:t>
            </w:r>
          </w:p>
        </w:tc>
        <w:tc>
          <w:tcPr>
            <w:tcW w:w="3780" w:type="dxa"/>
          </w:tcPr>
          <w:p w14:paraId="068F48AF">
            <w:pPr>
              <w:jc w:val="center"/>
              <w:rPr>
                <w:rFonts w:ascii="宋体" w:hAnsi="宋体"/>
                <w:sz w:val="21"/>
                <w:szCs w:val="21"/>
              </w:rPr>
            </w:pPr>
          </w:p>
        </w:tc>
      </w:tr>
      <w:tr w14:paraId="4BF9F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044CB36">
            <w:pPr>
              <w:jc w:val="center"/>
              <w:rPr>
                <w:rFonts w:ascii="宋体" w:hAnsi="宋体"/>
                <w:sz w:val="21"/>
                <w:szCs w:val="21"/>
              </w:rPr>
            </w:pPr>
            <w:r>
              <w:rPr>
                <w:rFonts w:hint="eastAsia" w:ascii="宋体" w:hAnsi="宋体"/>
                <w:sz w:val="21"/>
                <w:szCs w:val="21"/>
              </w:rPr>
              <w:t>校 对 人</w:t>
            </w:r>
          </w:p>
        </w:tc>
        <w:tc>
          <w:tcPr>
            <w:tcW w:w="3780" w:type="dxa"/>
          </w:tcPr>
          <w:p w14:paraId="4DB640FC">
            <w:pPr>
              <w:jc w:val="center"/>
              <w:rPr>
                <w:rFonts w:ascii="宋体" w:hAnsi="宋体"/>
                <w:sz w:val="21"/>
                <w:szCs w:val="21"/>
              </w:rPr>
            </w:pPr>
          </w:p>
        </w:tc>
      </w:tr>
      <w:tr w14:paraId="01C10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A8CD09E">
            <w:pPr>
              <w:jc w:val="center"/>
              <w:rPr>
                <w:rFonts w:ascii="宋体" w:hAnsi="宋体"/>
                <w:sz w:val="21"/>
                <w:szCs w:val="21"/>
              </w:rPr>
            </w:pPr>
            <w:r>
              <w:rPr>
                <w:rFonts w:hint="eastAsia" w:ascii="宋体" w:hAnsi="宋体"/>
                <w:sz w:val="21"/>
                <w:szCs w:val="21"/>
              </w:rPr>
              <w:t>审 核 人</w:t>
            </w:r>
          </w:p>
        </w:tc>
        <w:tc>
          <w:tcPr>
            <w:tcW w:w="3780" w:type="dxa"/>
          </w:tcPr>
          <w:p w14:paraId="4C2FF90F">
            <w:pPr>
              <w:jc w:val="center"/>
              <w:rPr>
                <w:rFonts w:ascii="宋体" w:hAnsi="宋体"/>
                <w:sz w:val="21"/>
                <w:szCs w:val="21"/>
              </w:rPr>
            </w:pPr>
          </w:p>
        </w:tc>
      </w:tr>
      <w:tr w14:paraId="52E55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2FDC5DD3">
            <w:pPr>
              <w:jc w:val="center"/>
              <w:rPr>
                <w:rFonts w:ascii="宋体" w:hAnsi="宋体"/>
                <w:sz w:val="21"/>
                <w:szCs w:val="21"/>
              </w:rPr>
            </w:pPr>
            <w:r>
              <w:rPr>
                <w:rFonts w:hint="eastAsia" w:ascii="宋体" w:hAnsi="宋体"/>
                <w:sz w:val="21"/>
                <w:szCs w:val="21"/>
              </w:rPr>
              <w:t>设计日期</w:t>
            </w:r>
          </w:p>
        </w:tc>
        <w:tc>
          <w:tcPr>
            <w:tcW w:w="3780" w:type="dxa"/>
          </w:tcPr>
          <w:p w14:paraId="0A85822F">
            <w:pPr>
              <w:jc w:val="center"/>
              <w:rPr>
                <w:rFonts w:hint="default" w:ascii="宋体" w:hAnsi="宋体" w:eastAsia="宋体"/>
                <w:sz w:val="21"/>
                <w:szCs w:val="21"/>
                <w:lang w:val="en-US" w:eastAsia="zh-CN"/>
              </w:rPr>
            </w:pPr>
            <w:bookmarkStart w:id="3" w:name="设计日期"/>
            <w:bookmarkEnd w:id="3"/>
            <w:bookmarkStart w:id="4" w:name="计算日期"/>
            <w:r>
              <w:rPr>
                <w:rFonts w:hint="eastAsia" w:ascii="宋体" w:hAnsi="宋体"/>
                <w:sz w:val="21"/>
                <w:szCs w:val="21"/>
                <w:lang w:eastAsia="zh-CN"/>
              </w:rPr>
              <w:t>2024年</w:t>
            </w:r>
            <w:r>
              <w:rPr>
                <w:rFonts w:hint="eastAsia" w:ascii="宋体" w:hAnsi="宋体"/>
                <w:sz w:val="21"/>
                <w:szCs w:val="21"/>
                <w:lang w:val="en-US" w:eastAsia="zh-CN"/>
              </w:rPr>
              <w:t>10</w:t>
            </w:r>
            <w:r>
              <w:rPr>
                <w:rFonts w:hint="eastAsia" w:ascii="宋体" w:hAnsi="宋体"/>
                <w:sz w:val="21"/>
                <w:szCs w:val="21"/>
                <w:lang w:eastAsia="zh-CN"/>
              </w:rPr>
              <w:t>月</w:t>
            </w:r>
            <w:bookmarkEnd w:id="4"/>
          </w:p>
        </w:tc>
      </w:tr>
    </w:tbl>
    <w:p w14:paraId="34836813">
      <w:pPr>
        <w:spacing w:line="240" w:lineRule="auto"/>
        <w:rPr>
          <w:rFonts w:ascii="宋体" w:hAnsi="宋体"/>
          <w:lang w:val="en-US"/>
        </w:rPr>
      </w:pPr>
    </w:p>
    <w:p w14:paraId="380A9548">
      <w:pPr>
        <w:spacing w:line="240" w:lineRule="auto"/>
        <w:jc w:val="center"/>
        <w:rPr>
          <w:rFonts w:ascii="宋体" w:hAnsi="宋体"/>
          <w:b/>
          <w:bCs/>
          <w:sz w:val="30"/>
          <w:szCs w:val="32"/>
        </w:rPr>
      </w:pPr>
      <w:bookmarkStart w:id="5" w:name="二维码"/>
      <w:bookmarkEnd w:id="5"/>
      <w:r>
        <w:drawing>
          <wp:inline distT="0" distB="0" distL="0" distR="0">
            <wp:extent cx="1743075" cy="17430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8"/>
                    <a:stretch>
                      <a:fillRect/>
                    </a:stretch>
                  </pic:blipFill>
                  <pic:spPr>
                    <a:xfrm>
                      <a:off x="0" y="0"/>
                      <a:ext cx="1743258" cy="1743258"/>
                    </a:xfrm>
                    <a:prstGeom prst="rect">
                      <a:avLst/>
                    </a:prstGeom>
                  </pic:spPr>
                </pic:pic>
              </a:graphicData>
            </a:graphic>
          </wp:inline>
        </w:drawing>
      </w:r>
      <w:bookmarkStart w:id="34" w:name="_GoBack"/>
      <w:bookmarkEnd w:id="34"/>
    </w:p>
    <w:p w14:paraId="6F3DEDF2">
      <w:pPr>
        <w:spacing w:line="240" w:lineRule="auto"/>
        <w:jc w:val="center"/>
        <w:rPr>
          <w:rFonts w:ascii="宋体" w:hAnsi="宋体"/>
          <w:b/>
          <w:bCs/>
          <w:sz w:val="30"/>
          <w:szCs w:val="32"/>
        </w:rPr>
      </w:pPr>
    </w:p>
    <w:tbl>
      <w:tblPr>
        <w:tblStyle w:val="16"/>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3780"/>
      </w:tblGrid>
      <w:tr w14:paraId="3F994E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6048250B">
            <w:pPr>
              <w:pStyle w:val="14"/>
              <w:pBdr>
                <w:bottom w:val="none" w:color="auto" w:sz="0" w:space="0"/>
              </w:pBdr>
              <w:tabs>
                <w:tab w:val="clear" w:pos="4153"/>
                <w:tab w:val="clear" w:pos="8306"/>
              </w:tabs>
              <w:snapToGrid/>
              <w:jc w:val="center"/>
              <w:rPr>
                <w:rFonts w:hint="eastAsia" w:ascii="宋体" w:hAnsi="宋体" w:eastAsia="宋体" w:cs="宋体"/>
                <w:sz w:val="21"/>
                <w:szCs w:val="21"/>
              </w:rPr>
            </w:pPr>
            <w:r>
              <w:rPr>
                <w:rFonts w:hint="eastAsia" w:ascii="宋体" w:hAnsi="宋体" w:eastAsia="宋体" w:cs="宋体"/>
                <w:sz w:val="21"/>
                <w:szCs w:val="21"/>
              </w:rPr>
              <w:t>采用软件</w:t>
            </w:r>
          </w:p>
        </w:tc>
        <w:tc>
          <w:tcPr>
            <w:tcW w:w="3780" w:type="dxa"/>
            <w:shd w:val="clear" w:color="auto" w:fill="auto"/>
            <w:vAlign w:val="center"/>
          </w:tcPr>
          <w:p w14:paraId="09AF3A0A">
            <w:pPr>
              <w:pStyle w:val="14"/>
              <w:pBdr>
                <w:bottom w:val="none" w:color="auto" w:sz="0" w:space="0"/>
              </w:pBdr>
              <w:tabs>
                <w:tab w:val="clear" w:pos="4153"/>
                <w:tab w:val="clear" w:pos="8306"/>
              </w:tabs>
              <w:snapToGrid/>
              <w:jc w:val="center"/>
              <w:rPr>
                <w:rFonts w:hint="eastAsia" w:ascii="宋体" w:hAnsi="宋体" w:eastAsia="宋体" w:cs="宋体"/>
                <w:sz w:val="21"/>
                <w:szCs w:val="21"/>
              </w:rPr>
            </w:pPr>
            <w:bookmarkStart w:id="6" w:name="采用软件"/>
            <w:r>
              <w:rPr>
                <w:rFonts w:hint="eastAsia" w:ascii="宋体" w:hAnsi="宋体" w:eastAsia="宋体" w:cs="宋体"/>
                <w:sz w:val="21"/>
                <w:szCs w:val="21"/>
              </w:rPr>
              <w:t>建筑通风Vent2023</w:t>
            </w:r>
            <w:bookmarkEnd w:id="6"/>
          </w:p>
        </w:tc>
      </w:tr>
      <w:tr w14:paraId="6D7A0F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tcBorders>
              <w:bottom w:val="single" w:color="auto" w:sz="4" w:space="0"/>
            </w:tcBorders>
            <w:shd w:val="clear" w:color="auto" w:fill="E6E6E6"/>
            <w:vAlign w:val="center"/>
          </w:tcPr>
          <w:p w14:paraId="45C4586C">
            <w:pPr>
              <w:jc w:val="center"/>
              <w:rPr>
                <w:rFonts w:hint="eastAsia" w:ascii="宋体" w:hAnsi="宋体" w:eastAsia="宋体" w:cs="宋体"/>
                <w:sz w:val="21"/>
                <w:szCs w:val="21"/>
              </w:rPr>
            </w:pPr>
            <w:r>
              <w:rPr>
                <w:rFonts w:hint="eastAsia" w:ascii="宋体" w:hAnsi="宋体" w:eastAsia="宋体" w:cs="宋体"/>
                <w:sz w:val="21"/>
                <w:szCs w:val="21"/>
              </w:rPr>
              <w:t>软件版本</w:t>
            </w:r>
          </w:p>
        </w:tc>
        <w:tc>
          <w:tcPr>
            <w:tcW w:w="3780" w:type="dxa"/>
            <w:tcBorders>
              <w:bottom w:val="single" w:color="auto" w:sz="4" w:space="0"/>
            </w:tcBorders>
            <w:vAlign w:val="center"/>
          </w:tcPr>
          <w:p w14:paraId="3D0EBA69">
            <w:pPr>
              <w:jc w:val="center"/>
              <w:rPr>
                <w:rFonts w:hint="eastAsia" w:ascii="宋体" w:hAnsi="宋体" w:eastAsia="宋体" w:cs="宋体"/>
                <w:sz w:val="21"/>
                <w:szCs w:val="21"/>
              </w:rPr>
            </w:pPr>
            <w:bookmarkStart w:id="7" w:name="软件版本"/>
            <w:r>
              <w:rPr>
                <w:rFonts w:hint="eastAsia" w:ascii="宋体" w:hAnsi="宋体" w:eastAsia="宋体" w:cs="宋体"/>
                <w:sz w:val="21"/>
                <w:szCs w:val="21"/>
              </w:rPr>
              <w:t>20220401</w:t>
            </w:r>
            <w:bookmarkEnd w:id="7"/>
          </w:p>
        </w:tc>
      </w:tr>
      <w:tr w14:paraId="0338FA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3BF2C3C0">
            <w:pPr>
              <w:jc w:val="center"/>
              <w:rPr>
                <w:rFonts w:hint="eastAsia" w:ascii="宋体" w:hAnsi="宋体" w:eastAsia="宋体" w:cs="宋体"/>
                <w:sz w:val="21"/>
                <w:szCs w:val="21"/>
              </w:rPr>
            </w:pPr>
            <w:r>
              <w:rPr>
                <w:rFonts w:hint="eastAsia" w:ascii="宋体" w:hAnsi="宋体" w:eastAsia="宋体" w:cs="宋体"/>
                <w:sz w:val="21"/>
                <w:szCs w:val="21"/>
              </w:rPr>
              <w:t>研发单位</w:t>
            </w:r>
          </w:p>
        </w:tc>
        <w:tc>
          <w:tcPr>
            <w:tcW w:w="3780" w:type="dxa"/>
            <w:tcBorders>
              <w:top w:val="single" w:color="auto" w:sz="4" w:space="0"/>
              <w:left w:val="single" w:color="auto" w:sz="4" w:space="0"/>
              <w:bottom w:val="single" w:color="auto" w:sz="4" w:space="0"/>
            </w:tcBorders>
            <w:shd w:val="clear" w:color="auto" w:fill="FFFFFF"/>
            <w:vAlign w:val="center"/>
          </w:tcPr>
          <w:p w14:paraId="5B944183">
            <w:pPr>
              <w:jc w:val="center"/>
              <w:rPr>
                <w:rFonts w:hint="eastAsia" w:ascii="宋体" w:hAnsi="宋体" w:eastAsia="宋体" w:cs="宋体"/>
                <w:sz w:val="21"/>
                <w:szCs w:val="21"/>
              </w:rPr>
            </w:pPr>
            <w:r>
              <w:rPr>
                <w:rFonts w:hint="eastAsia" w:ascii="宋体" w:hAnsi="宋体" w:eastAsia="宋体" w:cs="宋体"/>
                <w:sz w:val="21"/>
                <w:szCs w:val="21"/>
              </w:rPr>
              <w:t>北京绿建软件股份有限公司</w:t>
            </w:r>
          </w:p>
        </w:tc>
      </w:tr>
      <w:tr w14:paraId="73B90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25FB5299">
            <w:pPr>
              <w:jc w:val="center"/>
              <w:rPr>
                <w:rFonts w:hint="eastAsia" w:ascii="宋体" w:hAnsi="宋体" w:eastAsia="宋体" w:cs="宋体"/>
                <w:sz w:val="21"/>
                <w:szCs w:val="21"/>
              </w:rPr>
            </w:pPr>
            <w:r>
              <w:rPr>
                <w:rFonts w:hint="eastAsia" w:ascii="宋体" w:hAnsi="宋体" w:eastAsia="宋体" w:cs="宋体"/>
                <w:sz w:val="21"/>
                <w:szCs w:val="21"/>
              </w:rPr>
              <w:t>正版授权码</w:t>
            </w:r>
          </w:p>
        </w:tc>
        <w:tc>
          <w:tcPr>
            <w:tcW w:w="3780" w:type="dxa"/>
            <w:tcBorders>
              <w:top w:val="single" w:color="auto" w:sz="4" w:space="0"/>
              <w:left w:val="single" w:color="auto" w:sz="4" w:space="0"/>
              <w:bottom w:val="single" w:color="auto" w:sz="12" w:space="0"/>
            </w:tcBorders>
            <w:shd w:val="clear" w:color="auto" w:fill="FFFFFF"/>
            <w:vAlign w:val="center"/>
          </w:tcPr>
          <w:p w14:paraId="00E164CA">
            <w:pPr>
              <w:jc w:val="center"/>
              <w:rPr>
                <w:rFonts w:hint="eastAsia" w:ascii="宋体" w:hAnsi="宋体" w:eastAsia="宋体" w:cs="宋体"/>
                <w:sz w:val="21"/>
                <w:szCs w:val="21"/>
              </w:rPr>
            </w:pPr>
            <w:bookmarkStart w:id="8" w:name="加密锁号"/>
            <w:r>
              <w:rPr>
                <w:rFonts w:hint="eastAsia" w:ascii="宋体" w:hAnsi="宋体" w:eastAsia="宋体" w:cs="宋体"/>
                <w:sz w:val="21"/>
                <w:szCs w:val="21"/>
              </w:rPr>
              <w:t>SP110C85A1</w:t>
            </w:r>
            <w:bookmarkEnd w:id="8"/>
          </w:p>
        </w:tc>
      </w:tr>
    </w:tbl>
    <w:p w14:paraId="24AC0D60">
      <w:pPr>
        <w:spacing w:line="1000" w:lineRule="exact"/>
        <w:jc w:val="center"/>
      </w:pPr>
    </w:p>
    <w:p w14:paraId="0A96C279">
      <w:pPr>
        <w:pStyle w:val="15"/>
        <w:sectPr>
          <w:headerReference r:id="rId5" w:type="default"/>
          <w:footerReference r:id="rId6" w:type="default"/>
          <w:pgSz w:w="11906" w:h="16838"/>
          <w:pgMar w:top="1440" w:right="1418" w:bottom="1440" w:left="1418" w:header="851" w:footer="992" w:gutter="0"/>
          <w:cols w:space="425" w:num="1"/>
          <w:titlePg/>
          <w:docGrid w:type="lines" w:linePitch="312" w:charSpace="0"/>
        </w:sectPr>
      </w:pPr>
    </w:p>
    <w:p w14:paraId="3EDAF3C4">
      <w:pPr>
        <w:pStyle w:val="2"/>
      </w:pPr>
      <w:bookmarkStart w:id="9" w:name="_Toc420663548"/>
      <w:bookmarkStart w:id="10" w:name="_Toc420309360"/>
      <w:r>
        <w:rPr>
          <w:rFonts w:hint="eastAsia"/>
        </w:rPr>
        <w:t>建筑概况</w:t>
      </w:r>
      <w:bookmarkEnd w:id="9"/>
      <w:bookmarkEnd w:id="10"/>
    </w:p>
    <w:tbl>
      <w:tblPr>
        <w:tblStyle w:val="16"/>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972"/>
        <w:gridCol w:w="6518"/>
      </w:tblGrid>
      <w:tr w14:paraId="5278A6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972" w:type="dxa"/>
            <w:shd w:val="clear" w:color="auto" w:fill="E6E6E6"/>
          </w:tcPr>
          <w:p w14:paraId="2DE9FC92">
            <w:pPr>
              <w:pStyle w:val="3"/>
              <w:ind w:firstLine="0" w:firstLineChars="0"/>
              <w:rPr>
                <w:rFonts w:ascii="宋体" w:hAnsi="宋体"/>
                <w:lang w:val="en-US"/>
              </w:rPr>
            </w:pPr>
            <w:r>
              <w:rPr>
                <w:rFonts w:hint="eastAsia" w:ascii="宋体" w:hAnsi="宋体"/>
                <w:lang w:val="en-US"/>
              </w:rPr>
              <w:t>工程名称</w:t>
            </w:r>
          </w:p>
        </w:tc>
        <w:tc>
          <w:tcPr>
            <w:tcW w:w="6518" w:type="dxa"/>
          </w:tcPr>
          <w:p w14:paraId="4936FC82">
            <w:pPr>
              <w:pStyle w:val="3"/>
              <w:ind w:firstLine="0" w:firstLineChars="0"/>
              <w:rPr>
                <w:rFonts w:ascii="宋体" w:hAnsi="宋体"/>
                <w:lang w:val="en-US"/>
              </w:rPr>
            </w:pPr>
            <w:bookmarkStart w:id="11" w:name="工程名称2"/>
            <w:r>
              <w:t>中峰村油榨坪街村民议事中心</w:t>
            </w:r>
            <w:bookmarkEnd w:id="11"/>
          </w:p>
        </w:tc>
      </w:tr>
      <w:tr w14:paraId="21570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972" w:type="dxa"/>
            <w:shd w:val="clear" w:color="auto" w:fill="E6E6E6"/>
          </w:tcPr>
          <w:p w14:paraId="5DC22672">
            <w:pPr>
              <w:pStyle w:val="3"/>
              <w:ind w:firstLine="0" w:firstLineChars="0"/>
              <w:rPr>
                <w:rFonts w:ascii="宋体" w:hAnsi="宋体"/>
                <w:lang w:val="en-US"/>
              </w:rPr>
            </w:pPr>
            <w:r>
              <w:rPr>
                <w:rFonts w:hint="eastAsia" w:ascii="宋体" w:hAnsi="宋体"/>
                <w:lang w:val="en-US"/>
              </w:rPr>
              <w:t>工程地点</w:t>
            </w:r>
          </w:p>
        </w:tc>
        <w:tc>
          <w:tcPr>
            <w:tcW w:w="6518" w:type="dxa"/>
          </w:tcPr>
          <w:p w14:paraId="309EF3E5">
            <w:pPr>
              <w:pStyle w:val="3"/>
              <w:ind w:firstLine="0" w:firstLineChars="0"/>
              <w:rPr>
                <w:rFonts w:ascii="宋体" w:hAnsi="宋体"/>
                <w:lang w:val="en-US"/>
              </w:rPr>
            </w:pPr>
            <w:r>
              <w:rPr>
                <w:rFonts w:hint="eastAsia"/>
              </w:rPr>
              <w:t>桂林市资源县中峰镇</w:t>
            </w:r>
          </w:p>
        </w:tc>
      </w:tr>
    </w:tbl>
    <w:p w14:paraId="59C3442B">
      <w:pPr>
        <w:pStyle w:val="3"/>
        <w:ind w:firstLine="420"/>
      </w:pPr>
      <w:bookmarkStart w:id="12" w:name="项目概况"/>
      <w:bookmarkEnd w:id="12"/>
      <w:bookmarkStart w:id="13" w:name="_Toc420309361"/>
      <w:bookmarkStart w:id="14" w:name="_Toc420663549"/>
    </w:p>
    <w:p w14:paraId="6186FB9B">
      <w:pPr>
        <w:pStyle w:val="2"/>
      </w:pPr>
      <w:bookmarkStart w:id="15" w:name="TitleFormat"/>
      <w:r>
        <w:rPr>
          <w:rFonts w:hint="eastAsia"/>
        </w:rPr>
        <w:t>计算依据</w:t>
      </w:r>
      <w:bookmarkEnd w:id="13"/>
      <w:bookmarkEnd w:id="14"/>
    </w:p>
    <w:bookmarkEnd w:id="15"/>
    <w:p w14:paraId="4305FE73">
      <w:pPr>
        <w:widowControl w:val="0"/>
        <w:spacing w:line="240" w:lineRule="auto"/>
        <w:jc w:val="both"/>
        <w:rPr>
          <w:kern w:val="2"/>
          <w:sz w:val="21"/>
          <w:szCs w:val="24"/>
          <w:lang w:val="en-US"/>
        </w:rPr>
      </w:pPr>
      <w:bookmarkStart w:id="16" w:name="计算依据"/>
      <w:bookmarkEnd w:id="16"/>
      <w:r>
        <w:rPr>
          <w:rFonts w:hint="eastAsia"/>
          <w:kern w:val="2"/>
          <w:sz w:val="21"/>
          <w:szCs w:val="24"/>
          <w:lang w:val="en-US"/>
        </w:rPr>
        <w:t xml:space="preserve">1. </w:t>
      </w:r>
      <w:bookmarkStart w:id="17" w:name="参考标准名称1"/>
      <w:r>
        <w:rPr>
          <w:rFonts w:hint="eastAsia"/>
          <w:kern w:val="2"/>
          <w:sz w:val="21"/>
          <w:szCs w:val="24"/>
          <w:lang w:val="en-US"/>
        </w:rPr>
        <w:t>《绿色建筑评价标准》GB/T50378-2019</w:t>
      </w:r>
      <w:bookmarkEnd w:id="17"/>
    </w:p>
    <w:p w14:paraId="5971A6F6">
      <w:pPr>
        <w:widowControl w:val="0"/>
        <w:spacing w:line="240" w:lineRule="auto"/>
        <w:jc w:val="both"/>
        <w:rPr>
          <w:kern w:val="2"/>
          <w:sz w:val="21"/>
          <w:szCs w:val="24"/>
          <w:lang w:val="en-US"/>
        </w:rPr>
      </w:pPr>
      <w:r>
        <w:rPr>
          <w:rFonts w:hint="eastAsia"/>
          <w:kern w:val="2"/>
          <w:sz w:val="21"/>
          <w:szCs w:val="24"/>
          <w:lang w:val="en-US"/>
        </w:rPr>
        <w:t>2. 《绿色建筑评价技术细则》</w:t>
      </w:r>
    </w:p>
    <w:p w14:paraId="3F6EAF53">
      <w:pPr>
        <w:widowControl w:val="0"/>
        <w:spacing w:line="240" w:lineRule="auto"/>
        <w:jc w:val="both"/>
        <w:rPr>
          <w:kern w:val="2"/>
          <w:sz w:val="21"/>
          <w:szCs w:val="24"/>
          <w:lang w:val="en-US"/>
        </w:rPr>
      </w:pPr>
      <w:r>
        <w:rPr>
          <w:rFonts w:hint="eastAsia"/>
          <w:kern w:val="2"/>
          <w:sz w:val="21"/>
          <w:szCs w:val="24"/>
          <w:lang w:val="en-US"/>
        </w:rPr>
        <w:t xml:space="preserve">3.  </w:t>
      </w:r>
      <w:bookmarkStart w:id="18" w:name="工程名称3"/>
      <w:r>
        <w:t>中峰村油榨坪街村民议事中心</w:t>
      </w:r>
      <w:bookmarkEnd w:id="18"/>
      <w:r>
        <w:rPr>
          <w:rFonts w:hint="eastAsia"/>
          <w:kern w:val="2"/>
          <w:sz w:val="21"/>
          <w:szCs w:val="24"/>
          <w:lang w:val="en-US"/>
        </w:rPr>
        <w:t>相关建筑图纸</w:t>
      </w:r>
    </w:p>
    <w:p w14:paraId="577376BC">
      <w:pPr>
        <w:pStyle w:val="2"/>
        <w:rPr>
          <w:kern w:val="2"/>
        </w:rPr>
      </w:pPr>
      <w:bookmarkStart w:id="19" w:name="_Toc420663550"/>
      <w:r>
        <w:rPr>
          <w:rFonts w:hint="eastAsia"/>
          <w:kern w:val="2"/>
        </w:rPr>
        <w:t>参考</w:t>
      </w:r>
      <w:r>
        <w:rPr>
          <w:kern w:val="2"/>
        </w:rPr>
        <w:t>标准</w:t>
      </w:r>
      <w:bookmarkEnd w:id="19"/>
    </w:p>
    <w:p w14:paraId="3B9C0242">
      <w:pPr>
        <w:pStyle w:val="3"/>
        <w:ind w:firstLine="420"/>
        <w:rPr>
          <w:kern w:val="2"/>
          <w:szCs w:val="24"/>
          <w:lang w:val="en-US"/>
        </w:rPr>
      </w:pPr>
      <w:bookmarkStart w:id="20" w:name="参考标准名称2"/>
      <w:bookmarkStart w:id="21" w:name="_Toc420663551"/>
      <w:r>
        <w:rPr>
          <w:rFonts w:hint="eastAsia"/>
          <w:kern w:val="2"/>
          <w:szCs w:val="24"/>
          <w:lang w:val="en-US"/>
        </w:rPr>
        <w:t>《绿色建筑评价标准》GB/T50378-2019</w:t>
      </w:r>
      <w:bookmarkEnd w:id="20"/>
      <w:r>
        <w:rPr>
          <w:rFonts w:hint="eastAsia"/>
          <w:kern w:val="2"/>
          <w:szCs w:val="24"/>
          <w:lang w:val="en-US"/>
        </w:rPr>
        <w:t xml:space="preserve"> 中5.2.10条款 对公共建筑的室内自然通风效果按以下规则评分：</w:t>
      </w:r>
    </w:p>
    <w:p w14:paraId="5FA4BBEE">
      <w:pPr>
        <w:pStyle w:val="3"/>
        <w:ind w:firstLine="420"/>
        <w:rPr>
          <w:kern w:val="2"/>
          <w:szCs w:val="24"/>
          <w:lang w:val="en-US"/>
        </w:rPr>
      </w:pPr>
      <w:r>
        <w:rPr>
          <w:rFonts w:hint="eastAsia"/>
          <w:kern w:val="2"/>
          <w:szCs w:val="24"/>
          <w:lang w:val="en-US"/>
        </w:rPr>
        <w:t>根据在过渡季典型工况下主要功能房间平均自然通风换气次数不小于 2 次/h 的面积比例，按照下表的规则评分，最高得 8 分。</w:t>
      </w:r>
    </w:p>
    <w:p w14:paraId="779756A3">
      <w:pPr>
        <w:widowControl w:val="0"/>
        <w:spacing w:before="156" w:beforeLines="50" w:after="156" w:afterLines="50" w:line="240" w:lineRule="auto"/>
        <w:ind w:firstLine="1700" w:firstLineChars="850"/>
        <w:jc w:val="both"/>
        <w:rPr>
          <w:rFonts w:ascii="Arial" w:hAnsi="Arial" w:eastAsia="黑体" w:cs="Arial"/>
          <w:kern w:val="2"/>
          <w:sz w:val="20"/>
          <w:szCs w:val="18"/>
          <w:lang w:val="en-US"/>
        </w:rPr>
      </w:pPr>
      <w:bookmarkStart w:id="22" w:name="OLE_LINK3"/>
      <w:bookmarkStart w:id="23" w:name="OLE_LINK4"/>
      <w:r>
        <w:rPr>
          <w:rFonts w:hint="eastAsia" w:ascii="Arial" w:hAnsi="Arial" w:eastAsia="黑体" w:cs="Arial"/>
          <w:kern w:val="2"/>
          <w:sz w:val="20"/>
          <w:szCs w:val="18"/>
          <w:lang w:val="en-US"/>
        </w:rPr>
        <w:t>表1 公共建筑过渡季节典型工况下主要功能房间自然通风评分规则</w:t>
      </w:r>
    </w:p>
    <w:bookmarkEnd w:id="22"/>
    <w:bookmarkEnd w:id="23"/>
    <w:tbl>
      <w:tblPr>
        <w:tblStyle w:val="16"/>
        <w:tblW w:w="8237" w:type="dxa"/>
        <w:jc w:val="center"/>
        <w:tblLayout w:type="autofit"/>
        <w:tblCellMar>
          <w:top w:w="0" w:type="dxa"/>
          <w:left w:w="108" w:type="dxa"/>
          <w:bottom w:w="0" w:type="dxa"/>
          <w:right w:w="108" w:type="dxa"/>
        </w:tblCellMar>
      </w:tblPr>
      <w:tblGrid>
        <w:gridCol w:w="6536"/>
        <w:gridCol w:w="1701"/>
      </w:tblGrid>
      <w:tr w14:paraId="39D8FE4D">
        <w:tblPrEx>
          <w:tblCellMar>
            <w:top w:w="0" w:type="dxa"/>
            <w:left w:w="108" w:type="dxa"/>
            <w:bottom w:w="0" w:type="dxa"/>
            <w:right w:w="108" w:type="dxa"/>
          </w:tblCellMar>
        </w:tblPrEx>
        <w:trPr>
          <w:trHeight w:val="270" w:hRule="atLeast"/>
          <w:jc w:val="center"/>
        </w:trPr>
        <w:tc>
          <w:tcPr>
            <w:tcW w:w="6536" w:type="dxa"/>
            <w:tcBorders>
              <w:top w:val="single" w:color="auto" w:sz="4" w:space="0"/>
              <w:left w:val="single" w:color="auto" w:sz="4" w:space="0"/>
              <w:bottom w:val="single" w:color="auto" w:sz="4" w:space="0"/>
              <w:right w:val="single" w:color="auto" w:sz="4" w:space="0"/>
            </w:tcBorders>
            <w:shd w:val="clear" w:color="auto" w:fill="auto"/>
            <w:vAlign w:val="center"/>
          </w:tcPr>
          <w:p w14:paraId="5C734F18">
            <w:pPr>
              <w:widowControl w:val="0"/>
              <w:spacing w:line="240" w:lineRule="auto"/>
              <w:jc w:val="center"/>
              <w:rPr>
                <w:kern w:val="2"/>
                <w:sz w:val="21"/>
                <w:szCs w:val="24"/>
                <w:lang w:val="en-US"/>
              </w:rPr>
            </w:pPr>
            <w:r>
              <w:rPr>
                <w:rFonts w:hint="eastAsia"/>
                <w:kern w:val="2"/>
                <w:sz w:val="21"/>
                <w:szCs w:val="24"/>
                <w:lang w:val="en-US"/>
              </w:rPr>
              <w:t>面积比例 RR</w:t>
            </w:r>
          </w:p>
        </w:tc>
        <w:tc>
          <w:tcPr>
            <w:tcW w:w="1701" w:type="dxa"/>
            <w:tcBorders>
              <w:top w:val="single" w:color="auto" w:sz="4" w:space="0"/>
              <w:left w:val="nil"/>
              <w:bottom w:val="single" w:color="auto" w:sz="4" w:space="0"/>
              <w:right w:val="single" w:color="auto" w:sz="4" w:space="0"/>
            </w:tcBorders>
            <w:shd w:val="clear" w:color="auto" w:fill="auto"/>
            <w:vAlign w:val="center"/>
          </w:tcPr>
          <w:p w14:paraId="1A91C69D">
            <w:pPr>
              <w:widowControl w:val="0"/>
              <w:spacing w:line="240" w:lineRule="auto"/>
              <w:jc w:val="center"/>
              <w:rPr>
                <w:kern w:val="2"/>
                <w:sz w:val="21"/>
                <w:szCs w:val="24"/>
                <w:lang w:val="en-US"/>
              </w:rPr>
            </w:pPr>
            <w:r>
              <w:rPr>
                <w:rFonts w:hint="eastAsia"/>
                <w:kern w:val="2"/>
                <w:sz w:val="21"/>
                <w:szCs w:val="24"/>
                <w:lang w:val="en-US"/>
              </w:rPr>
              <w:t>得分</w:t>
            </w:r>
          </w:p>
        </w:tc>
      </w:tr>
      <w:tr w14:paraId="25C1E2F2">
        <w:tblPrEx>
          <w:tblCellMar>
            <w:top w:w="0" w:type="dxa"/>
            <w:left w:w="108" w:type="dxa"/>
            <w:bottom w:w="0" w:type="dxa"/>
            <w:right w:w="108" w:type="dxa"/>
          </w:tblCellMar>
        </w:tblPrEx>
        <w:trPr>
          <w:trHeight w:val="270" w:hRule="atLeast"/>
          <w:jc w:val="center"/>
        </w:trPr>
        <w:tc>
          <w:tcPr>
            <w:tcW w:w="6536" w:type="dxa"/>
            <w:tcBorders>
              <w:top w:val="single" w:color="auto" w:sz="4" w:space="0"/>
              <w:left w:val="single" w:color="auto" w:sz="4" w:space="0"/>
              <w:bottom w:val="single" w:color="auto" w:sz="4" w:space="0"/>
              <w:right w:val="single" w:color="auto" w:sz="4" w:space="0"/>
            </w:tcBorders>
            <w:shd w:val="clear" w:color="auto" w:fill="auto"/>
            <w:vAlign w:val="center"/>
          </w:tcPr>
          <w:p w14:paraId="326F2DB9">
            <w:pPr>
              <w:widowControl w:val="0"/>
              <w:spacing w:line="240" w:lineRule="auto"/>
              <w:jc w:val="center"/>
              <w:rPr>
                <w:kern w:val="2"/>
                <w:sz w:val="21"/>
                <w:szCs w:val="24"/>
                <w:lang w:val="en-US"/>
              </w:rPr>
            </w:pPr>
            <w:r>
              <w:rPr>
                <w:rFonts w:hint="eastAsia"/>
                <w:kern w:val="2"/>
                <w:sz w:val="21"/>
                <w:szCs w:val="24"/>
                <w:lang w:val="en-US"/>
              </w:rPr>
              <w:t>70%≤RR＜80%</w:t>
            </w:r>
          </w:p>
        </w:tc>
        <w:tc>
          <w:tcPr>
            <w:tcW w:w="1701" w:type="dxa"/>
            <w:tcBorders>
              <w:top w:val="single" w:color="auto" w:sz="4" w:space="0"/>
              <w:left w:val="nil"/>
              <w:bottom w:val="single" w:color="auto" w:sz="4" w:space="0"/>
              <w:right w:val="single" w:color="auto" w:sz="4" w:space="0"/>
            </w:tcBorders>
            <w:shd w:val="clear" w:color="auto" w:fill="auto"/>
            <w:vAlign w:val="center"/>
          </w:tcPr>
          <w:p w14:paraId="16B100D8">
            <w:pPr>
              <w:widowControl w:val="0"/>
              <w:spacing w:line="240" w:lineRule="auto"/>
              <w:jc w:val="center"/>
              <w:rPr>
                <w:kern w:val="2"/>
                <w:sz w:val="21"/>
                <w:szCs w:val="24"/>
                <w:lang w:val="en-US"/>
              </w:rPr>
            </w:pPr>
            <w:r>
              <w:rPr>
                <w:rFonts w:hint="eastAsia"/>
                <w:kern w:val="2"/>
                <w:sz w:val="21"/>
                <w:szCs w:val="24"/>
                <w:lang w:val="en-US"/>
              </w:rPr>
              <w:t>5</w:t>
            </w:r>
          </w:p>
        </w:tc>
      </w:tr>
      <w:tr w14:paraId="1EE7514D">
        <w:tblPrEx>
          <w:tblCellMar>
            <w:top w:w="0" w:type="dxa"/>
            <w:left w:w="108" w:type="dxa"/>
            <w:bottom w:w="0" w:type="dxa"/>
            <w:right w:w="108" w:type="dxa"/>
          </w:tblCellMar>
        </w:tblPrEx>
        <w:trPr>
          <w:trHeight w:val="270" w:hRule="atLeast"/>
          <w:jc w:val="center"/>
        </w:trPr>
        <w:tc>
          <w:tcPr>
            <w:tcW w:w="6536" w:type="dxa"/>
            <w:tcBorders>
              <w:top w:val="single" w:color="auto" w:sz="4" w:space="0"/>
              <w:left w:val="single" w:color="auto" w:sz="4" w:space="0"/>
              <w:bottom w:val="single" w:color="auto" w:sz="4" w:space="0"/>
              <w:right w:val="single" w:color="auto" w:sz="4" w:space="0"/>
            </w:tcBorders>
            <w:shd w:val="clear" w:color="auto" w:fill="auto"/>
            <w:vAlign w:val="center"/>
          </w:tcPr>
          <w:p w14:paraId="74A722B6">
            <w:pPr>
              <w:widowControl w:val="0"/>
              <w:spacing w:line="240" w:lineRule="auto"/>
              <w:jc w:val="center"/>
              <w:rPr>
                <w:kern w:val="2"/>
                <w:sz w:val="21"/>
                <w:szCs w:val="24"/>
                <w:lang w:val="en-US"/>
              </w:rPr>
            </w:pPr>
            <w:r>
              <w:rPr>
                <w:rFonts w:hint="eastAsia"/>
                <w:kern w:val="2"/>
                <w:sz w:val="21"/>
                <w:szCs w:val="24"/>
                <w:lang w:val="en-US"/>
              </w:rPr>
              <w:t>80%≤RR＜90%</w:t>
            </w:r>
          </w:p>
        </w:tc>
        <w:tc>
          <w:tcPr>
            <w:tcW w:w="1701" w:type="dxa"/>
            <w:tcBorders>
              <w:top w:val="nil"/>
              <w:left w:val="nil"/>
              <w:bottom w:val="single" w:color="auto" w:sz="4" w:space="0"/>
              <w:right w:val="single" w:color="auto" w:sz="4" w:space="0"/>
            </w:tcBorders>
            <w:shd w:val="clear" w:color="auto" w:fill="auto"/>
            <w:vAlign w:val="center"/>
          </w:tcPr>
          <w:p w14:paraId="2949AF17">
            <w:pPr>
              <w:widowControl w:val="0"/>
              <w:spacing w:line="240" w:lineRule="auto"/>
              <w:jc w:val="center"/>
              <w:rPr>
                <w:kern w:val="2"/>
                <w:sz w:val="21"/>
                <w:szCs w:val="24"/>
                <w:lang w:val="en-US"/>
              </w:rPr>
            </w:pPr>
            <w:r>
              <w:rPr>
                <w:rFonts w:hint="eastAsia"/>
                <w:kern w:val="2"/>
                <w:sz w:val="21"/>
                <w:szCs w:val="24"/>
                <w:lang w:val="en-US"/>
              </w:rPr>
              <w:t>6</w:t>
            </w:r>
          </w:p>
        </w:tc>
      </w:tr>
      <w:tr w14:paraId="685D7EC4">
        <w:tblPrEx>
          <w:tblCellMar>
            <w:top w:w="0" w:type="dxa"/>
            <w:left w:w="108" w:type="dxa"/>
            <w:bottom w:w="0" w:type="dxa"/>
            <w:right w:w="108" w:type="dxa"/>
          </w:tblCellMar>
        </w:tblPrEx>
        <w:trPr>
          <w:trHeight w:val="270" w:hRule="atLeast"/>
          <w:jc w:val="center"/>
        </w:trPr>
        <w:tc>
          <w:tcPr>
            <w:tcW w:w="6536" w:type="dxa"/>
            <w:tcBorders>
              <w:top w:val="single" w:color="auto" w:sz="4" w:space="0"/>
              <w:left w:val="single" w:color="auto" w:sz="4" w:space="0"/>
              <w:bottom w:val="single" w:color="auto" w:sz="4" w:space="0"/>
              <w:right w:val="single" w:color="auto" w:sz="4" w:space="0"/>
            </w:tcBorders>
            <w:shd w:val="clear" w:color="auto" w:fill="auto"/>
            <w:vAlign w:val="center"/>
          </w:tcPr>
          <w:p w14:paraId="3A6D3916">
            <w:pPr>
              <w:widowControl w:val="0"/>
              <w:spacing w:line="240" w:lineRule="auto"/>
              <w:jc w:val="center"/>
              <w:rPr>
                <w:kern w:val="2"/>
                <w:sz w:val="21"/>
                <w:szCs w:val="24"/>
                <w:lang w:val="en-US"/>
              </w:rPr>
            </w:pPr>
            <w:r>
              <w:rPr>
                <w:rFonts w:hint="eastAsia"/>
                <w:kern w:val="2"/>
                <w:sz w:val="21"/>
                <w:szCs w:val="24"/>
                <w:lang w:val="en-US"/>
              </w:rPr>
              <w:t>90%≤RR＜100%</w:t>
            </w:r>
          </w:p>
        </w:tc>
        <w:tc>
          <w:tcPr>
            <w:tcW w:w="1701" w:type="dxa"/>
            <w:tcBorders>
              <w:top w:val="nil"/>
              <w:left w:val="nil"/>
              <w:bottom w:val="single" w:color="auto" w:sz="4" w:space="0"/>
              <w:right w:val="single" w:color="auto" w:sz="4" w:space="0"/>
            </w:tcBorders>
            <w:shd w:val="clear" w:color="auto" w:fill="auto"/>
            <w:vAlign w:val="center"/>
          </w:tcPr>
          <w:p w14:paraId="2382A1F4">
            <w:pPr>
              <w:widowControl w:val="0"/>
              <w:spacing w:line="240" w:lineRule="auto"/>
              <w:jc w:val="center"/>
              <w:rPr>
                <w:kern w:val="2"/>
                <w:sz w:val="21"/>
                <w:szCs w:val="24"/>
                <w:lang w:val="en-US"/>
              </w:rPr>
            </w:pPr>
            <w:r>
              <w:rPr>
                <w:rFonts w:hint="eastAsia"/>
                <w:kern w:val="2"/>
                <w:sz w:val="21"/>
                <w:szCs w:val="24"/>
                <w:lang w:val="en-US"/>
              </w:rPr>
              <w:t>7</w:t>
            </w:r>
          </w:p>
        </w:tc>
      </w:tr>
      <w:tr w14:paraId="50333FB1">
        <w:tblPrEx>
          <w:tblCellMar>
            <w:top w:w="0" w:type="dxa"/>
            <w:left w:w="108" w:type="dxa"/>
            <w:bottom w:w="0" w:type="dxa"/>
            <w:right w:w="108" w:type="dxa"/>
          </w:tblCellMar>
        </w:tblPrEx>
        <w:trPr>
          <w:trHeight w:val="270" w:hRule="atLeast"/>
          <w:jc w:val="center"/>
        </w:trPr>
        <w:tc>
          <w:tcPr>
            <w:tcW w:w="6536" w:type="dxa"/>
            <w:tcBorders>
              <w:top w:val="single" w:color="auto" w:sz="4" w:space="0"/>
              <w:left w:val="single" w:color="auto" w:sz="4" w:space="0"/>
              <w:bottom w:val="single" w:color="auto" w:sz="4" w:space="0"/>
              <w:right w:val="single" w:color="auto" w:sz="4" w:space="0"/>
            </w:tcBorders>
            <w:shd w:val="clear" w:color="auto" w:fill="auto"/>
            <w:vAlign w:val="center"/>
          </w:tcPr>
          <w:p w14:paraId="01DEA035">
            <w:pPr>
              <w:widowControl w:val="0"/>
              <w:spacing w:line="240" w:lineRule="auto"/>
              <w:jc w:val="center"/>
              <w:rPr>
                <w:kern w:val="2"/>
                <w:sz w:val="21"/>
                <w:szCs w:val="24"/>
                <w:lang w:val="en-US"/>
              </w:rPr>
            </w:pPr>
            <w:r>
              <w:rPr>
                <w:rFonts w:hint="eastAsia"/>
                <w:kern w:val="2"/>
                <w:sz w:val="21"/>
                <w:szCs w:val="24"/>
                <w:lang w:val="en-US"/>
              </w:rPr>
              <w:t>RR=100%</w:t>
            </w:r>
          </w:p>
        </w:tc>
        <w:tc>
          <w:tcPr>
            <w:tcW w:w="1701" w:type="dxa"/>
            <w:tcBorders>
              <w:top w:val="nil"/>
              <w:left w:val="nil"/>
              <w:bottom w:val="single" w:color="auto" w:sz="4" w:space="0"/>
              <w:right w:val="single" w:color="auto" w:sz="4" w:space="0"/>
            </w:tcBorders>
            <w:shd w:val="clear" w:color="auto" w:fill="auto"/>
            <w:vAlign w:val="center"/>
          </w:tcPr>
          <w:p w14:paraId="3E3FADD5">
            <w:pPr>
              <w:widowControl w:val="0"/>
              <w:spacing w:line="240" w:lineRule="auto"/>
              <w:jc w:val="center"/>
              <w:rPr>
                <w:kern w:val="2"/>
                <w:sz w:val="21"/>
                <w:szCs w:val="24"/>
                <w:lang w:val="en-US"/>
              </w:rPr>
            </w:pPr>
            <w:r>
              <w:rPr>
                <w:rFonts w:hint="eastAsia"/>
                <w:kern w:val="2"/>
                <w:sz w:val="21"/>
                <w:szCs w:val="24"/>
                <w:lang w:val="en-US"/>
              </w:rPr>
              <w:t>8</w:t>
            </w:r>
          </w:p>
        </w:tc>
      </w:tr>
    </w:tbl>
    <w:p w14:paraId="0D9F7C9F">
      <w:pPr>
        <w:pStyle w:val="2"/>
        <w:rPr>
          <w:kern w:val="2"/>
        </w:rPr>
      </w:pPr>
      <w:r>
        <w:rPr>
          <w:rFonts w:hint="eastAsia"/>
          <w:kern w:val="2"/>
        </w:rPr>
        <w:t>计算</w:t>
      </w:r>
      <w:bookmarkEnd w:id="21"/>
      <w:r>
        <w:rPr>
          <w:rFonts w:hint="eastAsia"/>
          <w:kern w:val="2"/>
        </w:rPr>
        <w:t>方法</w:t>
      </w:r>
    </w:p>
    <w:p w14:paraId="7D7132AA">
      <w:pPr>
        <w:pStyle w:val="3"/>
        <w:ind w:firstLine="420"/>
        <w:rPr>
          <w:lang w:val="en-US"/>
        </w:rPr>
      </w:pPr>
      <w:r>
        <w:rPr>
          <w:rFonts w:hint="eastAsia"/>
          <w:lang w:val="en-US"/>
        </w:rPr>
        <w:t>本项目采用</w:t>
      </w:r>
      <w:r>
        <w:rPr>
          <w:lang w:val="en-US"/>
        </w:rPr>
        <w:t>多区域网络法对</w:t>
      </w:r>
      <w:r>
        <w:rPr>
          <w:rFonts w:hint="eastAsia"/>
          <w:lang w:val="en-US"/>
        </w:rPr>
        <w:t>该</w:t>
      </w:r>
      <w:r>
        <w:rPr>
          <w:lang w:val="en-US"/>
        </w:rPr>
        <w:t>建筑室内换气次数进行计算，多区域网络法即把室内各房间分为不同的</w:t>
      </w:r>
      <w:r>
        <w:rPr>
          <w:rFonts w:hint="eastAsia"/>
          <w:lang w:val="en-US"/>
        </w:rPr>
        <w:t>通风</w:t>
      </w:r>
      <w:r>
        <w:rPr>
          <w:lang w:val="en-US"/>
        </w:rPr>
        <w:t>换气区域，</w:t>
      </w:r>
      <w:r>
        <w:rPr>
          <w:rFonts w:hint="eastAsia"/>
          <w:lang w:val="en-US"/>
        </w:rPr>
        <w:t>以</w:t>
      </w:r>
      <w:r>
        <w:rPr>
          <w:lang w:val="en-US"/>
        </w:rPr>
        <w:t>门窗风压作为边界条件，</w:t>
      </w:r>
      <w:r>
        <w:rPr>
          <w:rFonts w:hint="eastAsia"/>
          <w:lang w:val="en-US"/>
        </w:rPr>
        <w:t>不同区域</w:t>
      </w:r>
      <w:r>
        <w:rPr>
          <w:lang w:val="en-US"/>
        </w:rPr>
        <w:t>之间通过</w:t>
      </w:r>
      <w:r>
        <w:rPr>
          <w:rFonts w:hint="eastAsia"/>
          <w:lang w:val="en-US"/>
        </w:rPr>
        <w:t>联通</w:t>
      </w:r>
      <w:r>
        <w:rPr>
          <w:lang w:val="en-US"/>
        </w:rPr>
        <w:t>的门窗</w:t>
      </w:r>
      <w:r>
        <w:rPr>
          <w:rFonts w:hint="eastAsia"/>
          <w:lang w:val="en-US"/>
        </w:rPr>
        <w:t>作为连接</w:t>
      </w:r>
      <w:r>
        <w:rPr>
          <w:lang w:val="en-US"/>
        </w:rPr>
        <w:t>，进行数据的传输，最终获得各个房间的</w:t>
      </w:r>
      <w:r>
        <w:rPr>
          <w:rFonts w:hint="eastAsia"/>
          <w:lang w:val="en-US"/>
        </w:rPr>
        <w:t>换气</w:t>
      </w:r>
      <w:r>
        <w:rPr>
          <w:lang w:val="en-US"/>
        </w:rPr>
        <w:t>次数。</w:t>
      </w:r>
    </w:p>
    <w:p w14:paraId="3786F516">
      <w:pPr>
        <w:pStyle w:val="3"/>
        <w:ind w:firstLine="420"/>
        <w:rPr>
          <w:lang w:val="en-US"/>
        </w:rPr>
      </w:pPr>
      <w:r>
        <w:rPr>
          <w:rFonts w:hint="eastAsia"/>
          <w:lang w:val="en-US"/>
        </w:rPr>
        <w:t>房间换气</w:t>
      </w:r>
      <w:r>
        <w:rPr>
          <w:lang w:val="en-US"/>
        </w:rPr>
        <w:t>次数的计算源于</w:t>
      </w:r>
      <w:r>
        <w:rPr>
          <w:rFonts w:hint="eastAsia"/>
          <w:lang w:val="en-US"/>
        </w:rPr>
        <w:t>通风路径</w:t>
      </w:r>
      <w:r>
        <w:rPr>
          <w:lang w:val="en-US"/>
        </w:rPr>
        <w:t>空气质量流量的计算，</w:t>
      </w:r>
      <w:r>
        <w:rPr>
          <w:rFonts w:hint="eastAsia"/>
          <w:lang w:val="en-US"/>
        </w:rPr>
        <w:t>基于</w:t>
      </w:r>
      <w:r>
        <w:rPr>
          <w:lang w:val="en-US"/>
        </w:rPr>
        <w:t>多区域网络</w:t>
      </w:r>
      <w:r>
        <w:rPr>
          <w:rFonts w:hint="eastAsia"/>
          <w:lang w:val="en-US"/>
        </w:rPr>
        <w:t>法</w:t>
      </w:r>
      <w:r>
        <w:rPr>
          <w:lang w:val="en-US"/>
        </w:rPr>
        <w:t>的空气质量流量</w:t>
      </w:r>
      <w:r>
        <w:rPr>
          <w:rFonts w:hint="eastAsia"/>
          <w:lang w:val="en-US"/>
        </w:rPr>
        <w:t>计算</w:t>
      </w:r>
      <w:r>
        <w:rPr>
          <w:lang w:val="en-US"/>
        </w:rPr>
        <w:t>如下式</w:t>
      </w:r>
      <w:r>
        <w:rPr>
          <w:rFonts w:hint="eastAsia"/>
          <w:lang w:val="en-US"/>
        </w:rPr>
        <w:t>：</w:t>
      </w:r>
    </w:p>
    <w:p w14:paraId="07E77CAB">
      <w:pPr>
        <w:pStyle w:val="3"/>
        <w:ind w:firstLine="1134" w:firstLineChars="540"/>
        <w:rPr>
          <w:rFonts w:ascii="Calibri" w:hAnsi="Calibri"/>
        </w:rPr>
      </w:pPr>
      <m:oMathPara>
        <m:oMathParaPr>
          <m:jc m:val="left"/>
        </m:oMathParaPr>
        <m:oMath>
          <m:r>
            <m:rPr/>
            <w:rPr>
              <w:rFonts w:ascii="Cambria Math" w:hAnsi="Cambria Math"/>
            </w:rPr>
            <m:t>Q</m:t>
          </m:r>
          <m:r>
            <m:rPr>
              <m:sty m:val="p"/>
            </m:rPr>
            <w:rPr>
              <w:rFonts w:ascii="Cambria Math" w:hAnsi="Cambria Math"/>
            </w:rPr>
            <m:t>=</m:t>
          </m:r>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d</m:t>
              </m:r>
              <m:ctrlPr>
                <w:rPr>
                  <w:rFonts w:ascii="Cambria Math" w:hAnsi="Cambria Math"/>
                </w:rPr>
              </m:ctrlPr>
            </m:sub>
          </m:sSub>
          <m:r>
            <m:rPr/>
            <w:rPr>
              <w:rFonts w:ascii="Cambria Math" w:hAnsi="Cambria Math"/>
            </w:rPr>
            <m:t>A</m:t>
          </m:r>
          <m:rad>
            <m:radPr>
              <m:degHide m:val="1"/>
              <m:ctrlPr>
                <w:rPr>
                  <w:rFonts w:ascii="Cambria Math" w:hAnsi="Cambria Math"/>
                  <w:i/>
                </w:rPr>
              </m:ctrlPr>
            </m:radPr>
            <m:deg>
              <m:ctrlPr>
                <w:rPr>
                  <w:rFonts w:ascii="Cambria Math" w:hAnsi="Cambria Math"/>
                  <w:i/>
                </w:rPr>
              </m:ctrlPr>
            </m:deg>
            <m:e>
              <m:f>
                <m:fPr>
                  <m:ctrlPr>
                    <w:rPr>
                      <w:rFonts w:ascii="Cambria Math" w:hAnsi="Cambria Math"/>
                      <w:i/>
                    </w:rPr>
                  </m:ctrlPr>
                </m:fPr>
                <m:num>
                  <m:r>
                    <m:rPr/>
                    <w:rPr>
                      <w:rFonts w:ascii="Cambria Math" w:hAnsi="Cambria Math"/>
                    </w:rPr>
                    <m:t>2∆P</m:t>
                  </m:r>
                  <m:ctrlPr>
                    <w:rPr>
                      <w:rFonts w:ascii="Cambria Math" w:hAnsi="Cambria Math"/>
                      <w:i/>
                    </w:rPr>
                  </m:ctrlPr>
                </m:num>
                <m:den>
                  <m:r>
                    <m:rPr/>
                    <w:rPr>
                      <w:rFonts w:ascii="Cambria Math" w:hAnsi="Cambria Math"/>
                    </w:rPr>
                    <m:t>ρ</m:t>
                  </m:r>
                  <m:ctrlPr>
                    <w:rPr>
                      <w:rFonts w:ascii="Cambria Math" w:hAnsi="Cambria Math"/>
                      <w:i/>
                    </w:rPr>
                  </m:ctrlPr>
                </m:den>
              </m:f>
              <m:ctrlPr>
                <w:rPr>
                  <w:rFonts w:ascii="Cambria Math" w:hAnsi="Cambria Math"/>
                  <w:i/>
                </w:rPr>
              </m:ctrlPr>
            </m:e>
          </m:rad>
        </m:oMath>
      </m:oMathPara>
    </w:p>
    <w:p w14:paraId="6F2E0EE9">
      <w:pPr>
        <w:pStyle w:val="3"/>
        <w:ind w:firstLine="0" w:firstLineChars="0"/>
        <w:rPr>
          <w:lang w:val="en-US"/>
        </w:rPr>
      </w:pPr>
      <m:oMath>
        <m:r>
          <m:rPr/>
          <w:rPr>
            <w:rFonts w:ascii="Cambria Math" w:hAnsi="Cambria Math"/>
          </w:rPr>
          <m:t xml:space="preserve">  Q</m:t>
        </m:r>
      </m:oMath>
      <w:r>
        <w:rPr>
          <w:lang w:val="en-US"/>
        </w:rPr>
        <w:t>——</w:t>
      </w:r>
      <w:r>
        <w:rPr>
          <w:rFonts w:hint="eastAsia"/>
          <w:lang w:val="en-US"/>
        </w:rPr>
        <w:t>房间体积流量（</w:t>
      </w:r>
      <m:oMath>
        <m:sSup>
          <m:sSupPr>
            <m:ctrlPr>
              <w:rPr>
                <w:rFonts w:ascii="Cambria Math" w:hAnsi="Cambria Math"/>
              </w:rPr>
            </m:ctrlPr>
          </m:sSupPr>
          <m:e>
            <m:r>
              <m:rPr/>
              <w:rPr>
                <w:rFonts w:ascii="Cambria Math" w:hAnsi="Cambria Math"/>
                <w:lang w:val="en-US"/>
              </w:rPr>
              <m:t>m</m:t>
            </m:r>
            <m:ctrlPr>
              <w:rPr>
                <w:rFonts w:ascii="Cambria Math" w:hAnsi="Cambria Math"/>
              </w:rPr>
            </m:ctrlPr>
          </m:e>
          <m:sup>
            <m:r>
              <m:rPr/>
              <w:rPr>
                <w:rFonts w:ascii="Cambria Math" w:hAnsi="Cambria Math"/>
                <w:lang w:val="en-US"/>
              </w:rPr>
              <m:t>3</m:t>
            </m:r>
            <m:ctrlPr>
              <w:rPr>
                <w:rFonts w:ascii="Cambria Math" w:hAnsi="Cambria Math"/>
              </w:rPr>
            </m:ctrlPr>
          </m:sup>
        </m:sSup>
      </m:oMath>
      <w:r>
        <w:rPr>
          <w:lang w:val="en-US"/>
        </w:rPr>
        <w:t>/s</w:t>
      </w:r>
      <w:r>
        <w:rPr>
          <w:rFonts w:hint="eastAsia"/>
          <w:lang w:val="en-US"/>
        </w:rPr>
        <w:t>）</w:t>
      </w:r>
    </w:p>
    <w:p w14:paraId="331DCA24">
      <w:pPr>
        <w:pStyle w:val="3"/>
        <w:ind w:firstLine="0" w:firstLineChars="0"/>
        <w:rPr>
          <w:lang w:val="en-US"/>
        </w:rPr>
      </w:pPr>
      <w:r>
        <w:rPr>
          <w:rFonts w:ascii="Calibri" w:hAnsi="Calibri"/>
          <w:lang w:val="en-US"/>
        </w:rPr>
        <w:t>∆P——</w:t>
      </w:r>
      <w:r>
        <w:rPr>
          <w:rFonts w:hint="eastAsia" w:ascii="Calibri" w:hAnsi="Calibri"/>
          <w:lang w:val="en-US"/>
        </w:rPr>
        <w:t>相邻房间之间门窗的风压差；</w:t>
      </w:r>
    </w:p>
    <w:p w14:paraId="5203065C">
      <w:pPr>
        <w:pStyle w:val="3"/>
        <w:ind w:firstLine="0" w:firstLineChars="0"/>
        <w:rPr>
          <w:lang w:val="en-US"/>
        </w:rPr>
      </w:pPr>
      <m:oMath>
        <m:sSub>
          <m:sSubPr>
            <m:ctrlPr>
              <w:rPr>
                <w:rFonts w:ascii="Cambria Math" w:hAnsi="Cambria Math"/>
                <w:lang w:val="en-US"/>
              </w:rPr>
            </m:ctrlPr>
          </m:sSubPr>
          <m:e>
            <m:r>
              <m:rPr>
                <m:sty m:val="p"/>
              </m:rPr>
              <w:rPr>
                <w:rFonts w:ascii="Cambria Math" w:hAnsi="Cambria Math"/>
                <w:lang w:val="en-US"/>
              </w:rPr>
              <m:t>C</m:t>
            </m:r>
            <m:ctrlPr>
              <w:rPr>
                <w:rFonts w:ascii="Cambria Math" w:hAnsi="Cambria Math"/>
                <w:lang w:val="en-US"/>
              </w:rPr>
            </m:ctrlPr>
          </m:e>
          <m:sub>
            <m:r>
              <m:rPr>
                <m:sty m:val="p"/>
              </m:rPr>
              <w:rPr>
                <w:rFonts w:ascii="Cambria Math" w:hAnsi="Cambria Math"/>
                <w:lang w:val="en-US"/>
              </w:rPr>
              <m:t>d</m:t>
            </m:r>
            <m:ctrlPr>
              <w:rPr>
                <w:rFonts w:ascii="Cambria Math" w:hAnsi="Cambria Math"/>
                <w:lang w:val="en-US"/>
              </w:rPr>
            </m:ctrlPr>
          </m:sub>
        </m:sSub>
      </m:oMath>
      <w:r>
        <w:rPr>
          <w:lang w:val="en-US"/>
        </w:rPr>
        <w:t>——</w:t>
      </w:r>
      <w:r>
        <w:rPr>
          <w:rFonts w:hint="eastAsia"/>
          <w:lang w:val="en-US"/>
        </w:rPr>
        <w:t>流量系数，对于大的建筑洞口，取</w:t>
      </w:r>
      <w:r>
        <w:rPr>
          <w:lang w:val="en-US"/>
        </w:rPr>
        <w:t>0.5</w:t>
      </w:r>
      <w:r>
        <w:rPr>
          <w:rFonts w:hint="eastAsia"/>
          <w:lang w:val="en-US"/>
        </w:rPr>
        <w:t>，对于狭小的洞口取</w:t>
      </w:r>
      <w:r>
        <w:rPr>
          <w:lang w:val="en-US"/>
        </w:rPr>
        <w:t>0.65</w:t>
      </w:r>
      <w:r>
        <w:rPr>
          <w:rFonts w:hint="eastAsia"/>
          <w:lang w:val="en-US"/>
        </w:rPr>
        <w:t>，本项目计算取0.6；</w:t>
      </w:r>
    </w:p>
    <w:p w14:paraId="5AF26C17">
      <w:pPr>
        <w:pStyle w:val="3"/>
        <w:ind w:firstLine="0" w:firstLineChars="0"/>
        <w:rPr>
          <w:i/>
          <w:lang w:val="en-US"/>
        </w:rPr>
      </w:pPr>
      <w:r>
        <w:rPr>
          <w:i/>
          <w:lang w:val="en-US"/>
        </w:rPr>
        <w:t>A</w:t>
      </w:r>
      <w:r>
        <w:rPr>
          <w:lang w:val="en-US"/>
        </w:rPr>
        <w:t>——</w:t>
      </w:r>
      <w:r>
        <w:rPr>
          <w:rFonts w:hint="eastAsia"/>
          <w:lang w:val="en-US"/>
        </w:rPr>
        <w:t>洞口面积（</w:t>
      </w:r>
      <m:oMath>
        <m:sSup>
          <m:sSupPr>
            <m:ctrlPr>
              <w:rPr>
                <w:rFonts w:ascii="Cambria Math" w:hAnsi="Cambria Math"/>
              </w:rPr>
            </m:ctrlPr>
          </m:sSupPr>
          <m:e>
            <m:r>
              <m:rPr/>
              <w:rPr>
                <w:rFonts w:ascii="Cambria Math" w:hAnsi="Cambria Math"/>
                <w:lang w:val="en-US"/>
              </w:rPr>
              <m:t>m</m:t>
            </m:r>
            <m:ctrlPr>
              <w:rPr>
                <w:rFonts w:ascii="Cambria Math" w:hAnsi="Cambria Math"/>
              </w:rPr>
            </m:ctrlPr>
          </m:e>
          <m:sup>
            <m:r>
              <m:rPr/>
              <w:rPr>
                <w:rFonts w:ascii="Cambria Math" w:hAnsi="Cambria Math"/>
                <w:lang w:val="en-US"/>
              </w:rPr>
              <m:t>2</m:t>
            </m:r>
            <m:ctrlPr>
              <w:rPr>
                <w:rFonts w:ascii="Cambria Math" w:hAnsi="Cambria Math"/>
              </w:rPr>
            </m:ctrlPr>
          </m:sup>
        </m:sSup>
      </m:oMath>
      <w:r>
        <w:rPr>
          <w:rFonts w:hint="eastAsia"/>
          <w:lang w:val="en-US"/>
        </w:rPr>
        <w:t>）</w:t>
      </w:r>
    </w:p>
    <w:p w14:paraId="1938B441">
      <w:pPr>
        <w:pStyle w:val="3"/>
        <w:ind w:firstLine="0" w:firstLineChars="0"/>
        <w:rPr>
          <w:rFonts w:ascii="Calibri" w:hAnsi="Calibri"/>
        </w:rPr>
      </w:pPr>
      <m:oMath>
        <m:r>
          <m:rPr/>
          <w:rPr>
            <w:rFonts w:ascii="Cambria Math" w:hAnsi="Cambria Math"/>
          </w:rPr>
          <m:t>ρ</m:t>
        </m:r>
      </m:oMath>
      <w:r>
        <w:rPr>
          <w:lang w:val="en-US"/>
        </w:rPr>
        <w:t>——</w:t>
      </w:r>
      <w:r>
        <w:rPr>
          <w:rFonts w:hint="eastAsia"/>
          <w:lang w:val="en-US"/>
        </w:rPr>
        <w:t>空气密度</w:t>
      </w:r>
      <w:r>
        <w:rPr>
          <w:lang w:val="en-US"/>
        </w:rPr>
        <w:t xml:space="preserve"> </w:t>
      </w:r>
      <w:r>
        <w:rPr>
          <w:rFonts w:hint="eastAsia"/>
          <w:lang w:val="en-US"/>
        </w:rPr>
        <w:t>（</w:t>
      </w:r>
      <m:oMath>
        <m:f>
          <m:fPr>
            <m:type m:val="lin"/>
            <m:ctrlPr>
              <w:rPr>
                <w:rFonts w:ascii="Cambria Math" w:hAnsi="Cambria Math"/>
              </w:rPr>
            </m:ctrlPr>
          </m:fPr>
          <m:num>
            <m:r>
              <m:rPr/>
              <w:rPr>
                <w:rFonts w:ascii="Cambria Math" w:hAnsi="Cambria Math"/>
                <w:lang w:val="en-US"/>
              </w:rPr>
              <m:t>kg</m:t>
            </m:r>
            <m:ctrlPr>
              <w:rPr>
                <w:rFonts w:ascii="Cambria Math" w:hAnsi="Cambria Math"/>
              </w:rPr>
            </m:ctrlPr>
          </m:num>
          <m:den>
            <m:sSup>
              <m:sSupPr>
                <m:ctrlPr>
                  <w:rPr>
                    <w:rFonts w:ascii="Cambria Math" w:hAnsi="Cambria Math"/>
                  </w:rPr>
                </m:ctrlPr>
              </m:sSupPr>
              <m:e>
                <m:r>
                  <m:rPr/>
                  <w:rPr>
                    <w:rFonts w:ascii="Cambria Math" w:hAnsi="Cambria Math"/>
                    <w:lang w:val="en-US"/>
                  </w:rPr>
                  <m:t>m</m:t>
                </m:r>
                <m:ctrlPr>
                  <w:rPr>
                    <w:rFonts w:ascii="Cambria Math" w:hAnsi="Cambria Math"/>
                  </w:rPr>
                </m:ctrlPr>
              </m:e>
              <m:sup>
                <m:r>
                  <m:rPr/>
                  <w:rPr>
                    <w:rFonts w:ascii="Cambria Math" w:hAnsi="Cambria Math"/>
                    <w:lang w:val="en-US"/>
                  </w:rPr>
                  <m:t>3</m:t>
                </m:r>
                <m:ctrlPr>
                  <w:rPr>
                    <w:rFonts w:ascii="Cambria Math" w:hAnsi="Cambria Math"/>
                  </w:rPr>
                </m:ctrlPr>
              </m:sup>
            </m:sSup>
            <m:ctrlPr>
              <w:rPr>
                <w:rFonts w:ascii="Cambria Math" w:hAnsi="Cambria Math"/>
              </w:rPr>
            </m:ctrlPr>
          </m:den>
        </m:f>
      </m:oMath>
      <w:r>
        <w:rPr>
          <w:rFonts w:hint="eastAsia"/>
          <w:lang w:val="en-US"/>
        </w:rPr>
        <w:t>）</w:t>
      </w:r>
    </w:p>
    <w:p w14:paraId="752DAA0E">
      <w:pPr>
        <w:pStyle w:val="3"/>
        <w:ind w:firstLine="420"/>
        <w:rPr>
          <w:lang w:val="en-US"/>
        </w:rPr>
      </w:pPr>
      <w:r>
        <w:rPr>
          <w:rFonts w:hint="eastAsia"/>
          <w:lang w:val="en-US"/>
        </w:rPr>
        <w:t>通过上述方法获取一个房间的体积流量</w:t>
      </w:r>
      <m:oMath>
        <m:r>
          <m:rPr/>
          <w:rPr>
            <w:rFonts w:ascii="Cambria Math" w:hAnsi="Cambria Math"/>
          </w:rPr>
          <m:t>Q</m:t>
        </m:r>
      </m:oMath>
      <w:r>
        <w:rPr>
          <w:rFonts w:hint="eastAsia"/>
          <w:lang w:val="en-US"/>
        </w:rPr>
        <w:t>之后，即可进行房间换气次数的计算：</w:t>
      </w:r>
    </w:p>
    <w:p w14:paraId="766B2D5F">
      <w:pPr>
        <w:pStyle w:val="3"/>
        <w:ind w:firstLine="525" w:firstLineChars="250"/>
        <w:rPr>
          <w:lang w:val="en-US"/>
        </w:rPr>
      </w:pPr>
    </w:p>
    <w:p w14:paraId="73F516BE">
      <w:pPr>
        <w:pStyle w:val="3"/>
        <w:ind w:firstLine="1134" w:firstLineChars="540"/>
        <w:rPr>
          <w:rFonts w:ascii="Calibri" w:hAnsi="Calibri"/>
        </w:rPr>
      </w:pPr>
      <m:oMathPara>
        <m:oMathParaPr>
          <m:jc m:val="left"/>
        </m:oMathParaPr>
        <m:oMath>
          <m:r>
            <m:rPr/>
            <w:rPr>
              <w:rFonts w:ascii="Cambria Math" w:hAnsi="Cambria Math"/>
            </w:rPr>
            <m:t>Acr</m:t>
          </m:r>
          <m:r>
            <m:rPr>
              <m:sty m:val="p"/>
            </m:rPr>
            <w:rPr>
              <w:rFonts w:ascii="Cambria Math" w:hAnsi="Cambria Math"/>
            </w:rPr>
            <m:t>=</m:t>
          </m:r>
          <m:f>
            <m:fPr>
              <m:ctrlPr>
                <w:rPr>
                  <w:rFonts w:ascii="Cambria Math" w:hAnsi="Cambria Math"/>
                </w:rPr>
              </m:ctrlPr>
            </m:fPr>
            <m:num>
              <m:r>
                <m:rPr/>
                <w:rPr>
                  <w:rFonts w:ascii="Cambria Math" w:hAnsi="Cambria Math"/>
                </w:rPr>
                <m:t>Q∗3600</m:t>
              </m:r>
              <m:ctrlPr>
                <w:rPr>
                  <w:rFonts w:ascii="Cambria Math" w:hAnsi="Cambria Math"/>
                </w:rPr>
              </m:ctrlPr>
            </m:num>
            <m:den>
              <m:r>
                <m:rPr/>
                <w:rPr>
                  <w:rFonts w:ascii="Cambria Math" w:hAnsi="Cambria Math"/>
                </w:rPr>
                <m:t>V</m:t>
              </m:r>
              <m:ctrlPr>
                <w:rPr>
                  <w:rFonts w:ascii="Cambria Math" w:hAnsi="Cambria Math"/>
                </w:rPr>
              </m:ctrlPr>
            </m:den>
          </m:f>
        </m:oMath>
      </m:oMathPara>
    </w:p>
    <w:p w14:paraId="0CF19F61">
      <w:pPr>
        <w:pStyle w:val="3"/>
        <w:ind w:firstLine="0" w:firstLineChars="0"/>
        <w:rPr>
          <w:rFonts w:ascii="Calibri" w:hAnsi="Calibri"/>
        </w:rPr>
      </w:pPr>
      <m:oMath>
        <m:r>
          <m:rPr/>
          <w:rPr>
            <w:rFonts w:ascii="Cambria Math" w:hAnsi="Cambria Math"/>
          </w:rPr>
          <m:t>Q</m:t>
        </m:r>
      </m:oMath>
      <w:r>
        <w:rPr>
          <w:lang w:val="en-US"/>
        </w:rPr>
        <w:t>——</w:t>
      </w:r>
      <w:r>
        <w:rPr>
          <w:rFonts w:hint="eastAsia"/>
          <w:lang w:val="en-US"/>
        </w:rPr>
        <w:t>房间体积流量（</w:t>
      </w:r>
      <m:oMath>
        <m:sSup>
          <m:sSupPr>
            <m:ctrlPr>
              <w:rPr>
                <w:rFonts w:ascii="Cambria Math" w:hAnsi="Cambria Math"/>
              </w:rPr>
            </m:ctrlPr>
          </m:sSupPr>
          <m:e>
            <m:r>
              <m:rPr/>
              <w:rPr>
                <w:rFonts w:ascii="Cambria Math" w:hAnsi="Cambria Math"/>
                <w:lang w:val="en-US"/>
              </w:rPr>
              <m:t>m</m:t>
            </m:r>
            <m:ctrlPr>
              <w:rPr>
                <w:rFonts w:ascii="Cambria Math" w:hAnsi="Cambria Math"/>
              </w:rPr>
            </m:ctrlPr>
          </m:e>
          <m:sup>
            <m:r>
              <m:rPr/>
              <w:rPr>
                <w:rFonts w:ascii="Cambria Math" w:hAnsi="Cambria Math"/>
                <w:lang w:val="en-US"/>
              </w:rPr>
              <m:t>3</m:t>
            </m:r>
            <m:ctrlPr>
              <w:rPr>
                <w:rFonts w:ascii="Cambria Math" w:hAnsi="Cambria Math"/>
              </w:rPr>
            </m:ctrlPr>
          </m:sup>
        </m:sSup>
      </m:oMath>
      <w:r>
        <w:rPr>
          <w:lang w:val="en-US"/>
        </w:rPr>
        <w:t>/s</w:t>
      </w:r>
      <w:r>
        <w:rPr>
          <w:rFonts w:hint="eastAsia"/>
          <w:lang w:val="en-US"/>
        </w:rPr>
        <w:t>）</w:t>
      </w:r>
    </w:p>
    <w:p w14:paraId="3C8C7AB3">
      <w:pPr>
        <w:pStyle w:val="3"/>
        <w:ind w:firstLine="0" w:firstLineChars="0"/>
        <w:rPr>
          <w:lang w:val="en-US"/>
        </w:rPr>
      </w:pPr>
      <m:oMath>
        <m:r>
          <m:rPr/>
          <w:rPr>
            <w:rFonts w:ascii="Cambria Math" w:hAnsi="Cambria Math"/>
          </w:rPr>
          <m:t>Acr</m:t>
        </m:r>
      </m:oMath>
      <w:r>
        <w:rPr>
          <w:lang w:val="en-US"/>
        </w:rPr>
        <w:t>——</w:t>
      </w:r>
      <w:r>
        <w:rPr>
          <w:rFonts w:hint="eastAsia"/>
          <w:lang w:val="en-US"/>
        </w:rPr>
        <w:t>换气次数（次</w:t>
      </w:r>
      <w:r>
        <w:rPr>
          <w:lang w:val="en-US"/>
        </w:rPr>
        <w:t>/h</w:t>
      </w:r>
      <w:r>
        <w:rPr>
          <w:rFonts w:hint="eastAsia"/>
          <w:lang w:val="en-US"/>
        </w:rPr>
        <w:t>）；</w:t>
      </w:r>
    </w:p>
    <w:p w14:paraId="0AD701C3">
      <w:pPr>
        <w:pStyle w:val="3"/>
        <w:ind w:firstLine="0" w:firstLineChars="0"/>
        <w:rPr>
          <w:lang w:val="en-US"/>
        </w:rPr>
      </w:pPr>
      <m:oMath>
        <m:r>
          <m:rPr/>
          <w:rPr>
            <w:rFonts w:ascii="Cambria Math" w:hAnsi="Cambria Math"/>
          </w:rPr>
          <m:t>V</m:t>
        </m:r>
      </m:oMath>
      <w:r>
        <w:rPr>
          <w:lang w:val="en-US"/>
        </w:rPr>
        <w:t>——</w:t>
      </w:r>
      <w:r>
        <w:rPr>
          <w:rFonts w:hint="eastAsia"/>
          <w:lang w:val="en-US"/>
        </w:rPr>
        <w:t>房间体积（</w:t>
      </w:r>
      <w:r>
        <w:rPr>
          <w:lang w:val="en-US"/>
        </w:rPr>
        <w:t>m</w:t>
      </w:r>
      <w:r>
        <w:rPr>
          <w:vertAlign w:val="superscript"/>
          <w:lang w:val="en-US"/>
        </w:rPr>
        <w:t>3</w:t>
      </w:r>
      <w:r>
        <w:rPr>
          <w:rFonts w:hint="eastAsia"/>
          <w:lang w:val="en-US"/>
        </w:rPr>
        <w:t>）；</w:t>
      </w:r>
    </w:p>
    <w:p w14:paraId="047CAA8C">
      <w:pPr>
        <w:pStyle w:val="2"/>
        <w:rPr>
          <w:kern w:val="2"/>
        </w:rPr>
      </w:pPr>
      <w:r>
        <w:rPr>
          <w:rFonts w:hint="eastAsia"/>
          <w:kern w:val="2"/>
        </w:rPr>
        <w:t>换气次数</w:t>
      </w:r>
      <w:r>
        <w:rPr>
          <w:kern w:val="2"/>
        </w:rPr>
        <w:t>计算表</w:t>
      </w:r>
    </w:p>
    <w:p w14:paraId="16253526">
      <w:pPr>
        <w:widowControl w:val="0"/>
        <w:spacing w:after="156" w:afterLines="50" w:line="240" w:lineRule="auto"/>
        <w:jc w:val="center"/>
        <w:rPr>
          <w:rFonts w:ascii="黑体" w:hAnsi="黑体" w:eastAsia="黑体"/>
          <w:kern w:val="2"/>
          <w:sz w:val="21"/>
          <w:szCs w:val="24"/>
          <w:lang w:val="en-US"/>
        </w:rPr>
      </w:pPr>
      <w:r>
        <w:rPr>
          <w:rFonts w:hint="eastAsia" w:ascii="黑体" w:hAnsi="黑体" w:eastAsia="黑体"/>
          <w:kern w:val="2"/>
          <w:sz w:val="21"/>
          <w:szCs w:val="24"/>
          <w:lang w:val="en-US"/>
        </w:rPr>
        <w:t>表2 公共建筑过渡季节典型工况下换气次数统计表</w:t>
      </w:r>
    </w:p>
    <w:tbl>
      <w:tblPr>
        <w:tblStyle w:val="16"/>
        <w:tblW w:w="5000" w:type="pct"/>
        <w:tblInd w:w="0" w:type="dxa"/>
        <w:tblLayout w:type="autofit"/>
        <w:tblCellMar>
          <w:top w:w="0" w:type="dxa"/>
          <w:left w:w="108" w:type="dxa"/>
          <w:bottom w:w="0" w:type="dxa"/>
          <w:right w:w="108" w:type="dxa"/>
        </w:tblCellMar>
      </w:tblPr>
      <w:tblGrid>
        <w:gridCol w:w="3961"/>
        <w:gridCol w:w="3287"/>
        <w:gridCol w:w="2465"/>
      </w:tblGrid>
      <w:tr w14:paraId="292319D3">
        <w:tblPrEx>
          <w:tblCellMar>
            <w:top w:w="0" w:type="dxa"/>
            <w:left w:w="108" w:type="dxa"/>
            <w:bottom w:w="0" w:type="dxa"/>
            <w:right w:w="108" w:type="dxa"/>
          </w:tblCellMar>
        </w:tblPrEx>
        <w:trPr>
          <w:trHeight w:val="405" w:hRule="atLeast"/>
        </w:trPr>
        <w:tc>
          <w:tcPr>
            <w:tcW w:w="5000" w:type="pct"/>
            <w:gridSpan w:val="3"/>
            <w:tcBorders>
              <w:top w:val="single" w:color="auto" w:sz="4" w:space="0"/>
              <w:left w:val="single" w:color="auto" w:sz="4" w:space="0"/>
              <w:bottom w:val="single" w:color="auto" w:sz="4" w:space="0"/>
              <w:right w:val="single" w:color="000000" w:sz="4" w:space="0"/>
            </w:tcBorders>
            <w:shd w:val="clear" w:color="000000" w:fill="DEDEDE"/>
            <w:noWrap/>
            <w:vAlign w:val="center"/>
          </w:tcPr>
          <w:p w14:paraId="1D24CFBA">
            <w:pPr>
              <w:widowControl w:val="0"/>
              <w:spacing w:line="240" w:lineRule="auto"/>
              <w:jc w:val="center"/>
              <w:rPr>
                <w:kern w:val="2"/>
                <w:sz w:val="21"/>
                <w:szCs w:val="24"/>
                <w:lang w:val="en-US"/>
              </w:rPr>
            </w:pPr>
            <w:bookmarkStart w:id="24" w:name="统计计算表表头"/>
            <w:r>
              <w:rPr>
                <w:rFonts w:hint="eastAsia"/>
                <w:kern w:val="2"/>
                <w:sz w:val="21"/>
                <w:szCs w:val="24"/>
                <w:lang w:val="en-US"/>
              </w:rPr>
              <w:t>换气次数大于2次/h的面积比</w:t>
            </w:r>
          </w:p>
        </w:tc>
      </w:tr>
      <w:tr w14:paraId="34DFBA9B">
        <w:tblPrEx>
          <w:tblCellMar>
            <w:top w:w="0" w:type="dxa"/>
            <w:left w:w="108" w:type="dxa"/>
            <w:bottom w:w="0" w:type="dxa"/>
            <w:right w:w="108" w:type="dxa"/>
          </w:tblCellMar>
        </w:tblPrEx>
        <w:trPr>
          <w:trHeight w:val="405" w:hRule="atLeast"/>
        </w:trPr>
        <w:tc>
          <w:tcPr>
            <w:tcW w:w="2039" w:type="pct"/>
            <w:tcBorders>
              <w:top w:val="nil"/>
              <w:left w:val="single" w:color="auto" w:sz="4" w:space="0"/>
              <w:bottom w:val="single" w:color="auto" w:sz="4" w:space="0"/>
              <w:right w:val="single" w:color="auto" w:sz="4" w:space="0"/>
            </w:tcBorders>
            <w:shd w:val="clear" w:color="auto" w:fill="auto"/>
            <w:noWrap/>
            <w:vAlign w:val="center"/>
          </w:tcPr>
          <w:p w14:paraId="187A516E">
            <w:pPr>
              <w:widowControl w:val="0"/>
              <w:spacing w:line="240" w:lineRule="auto"/>
              <w:jc w:val="center"/>
              <w:rPr>
                <w:kern w:val="2"/>
                <w:sz w:val="21"/>
                <w:szCs w:val="24"/>
                <w:lang w:val="en-US"/>
              </w:rPr>
            </w:pPr>
            <w:r>
              <w:rPr>
                <w:rFonts w:hint="eastAsia"/>
                <w:kern w:val="2"/>
                <w:sz w:val="21"/>
                <w:szCs w:val="24"/>
                <w:lang w:val="en-US"/>
              </w:rPr>
              <w:t>换气次数大于2次/h的面积</w:t>
            </w:r>
          </w:p>
        </w:tc>
        <w:tc>
          <w:tcPr>
            <w:tcW w:w="1692" w:type="pct"/>
            <w:tcBorders>
              <w:top w:val="single" w:color="auto" w:sz="4" w:space="0"/>
              <w:left w:val="nil"/>
              <w:bottom w:val="single" w:color="auto" w:sz="4" w:space="0"/>
              <w:right w:val="single" w:color="auto" w:sz="4" w:space="0"/>
            </w:tcBorders>
            <w:shd w:val="clear" w:color="auto" w:fill="auto"/>
            <w:noWrap/>
            <w:vAlign w:val="center"/>
          </w:tcPr>
          <w:p w14:paraId="329B2223">
            <w:pPr>
              <w:widowControl w:val="0"/>
              <w:spacing w:line="240" w:lineRule="auto"/>
              <w:jc w:val="center"/>
              <w:rPr>
                <w:kern w:val="2"/>
                <w:sz w:val="21"/>
                <w:szCs w:val="24"/>
                <w:lang w:val="en-US"/>
              </w:rPr>
            </w:pPr>
            <w:bookmarkStart w:id="25" w:name="面积分子"/>
            <w:r>
              <w:rPr>
                <w:rFonts w:hint="eastAsia"/>
                <w:kern w:val="2"/>
                <w:sz w:val="21"/>
                <w:szCs w:val="24"/>
                <w:lang w:val="en-US"/>
              </w:rPr>
              <w:t>172.88</w:t>
            </w:r>
            <w:bookmarkEnd w:id="25"/>
          </w:p>
        </w:tc>
        <w:tc>
          <w:tcPr>
            <w:tcW w:w="1269" w:type="pct"/>
            <w:tcBorders>
              <w:top w:val="nil"/>
              <w:left w:val="nil"/>
              <w:bottom w:val="single" w:color="auto" w:sz="4" w:space="0"/>
              <w:right w:val="single" w:color="auto" w:sz="4" w:space="0"/>
            </w:tcBorders>
            <w:shd w:val="clear" w:color="auto" w:fill="auto"/>
            <w:noWrap/>
            <w:vAlign w:val="center"/>
          </w:tcPr>
          <w:p w14:paraId="2906155B">
            <w:pPr>
              <w:widowControl w:val="0"/>
              <w:spacing w:line="240" w:lineRule="auto"/>
              <w:jc w:val="center"/>
              <w:rPr>
                <w:kern w:val="2"/>
                <w:sz w:val="21"/>
                <w:szCs w:val="24"/>
                <w:lang w:val="en-US"/>
              </w:rPr>
            </w:pPr>
            <w:r>
              <w:rPr>
                <w:rFonts w:hint="eastAsia"/>
                <w:kern w:val="2"/>
                <w:sz w:val="21"/>
                <w:szCs w:val="24"/>
                <w:lang w:val="en-US"/>
              </w:rPr>
              <w:t>㎡</w:t>
            </w:r>
          </w:p>
        </w:tc>
      </w:tr>
      <w:tr w14:paraId="3AF9340D">
        <w:tblPrEx>
          <w:tblCellMar>
            <w:top w:w="0" w:type="dxa"/>
            <w:left w:w="108" w:type="dxa"/>
            <w:bottom w:w="0" w:type="dxa"/>
            <w:right w:w="108" w:type="dxa"/>
          </w:tblCellMar>
        </w:tblPrEx>
        <w:trPr>
          <w:trHeight w:val="405" w:hRule="atLeast"/>
        </w:trPr>
        <w:tc>
          <w:tcPr>
            <w:tcW w:w="2039" w:type="pct"/>
            <w:tcBorders>
              <w:top w:val="nil"/>
              <w:left w:val="single" w:color="auto" w:sz="4" w:space="0"/>
              <w:bottom w:val="single" w:color="auto" w:sz="4" w:space="0"/>
              <w:right w:val="single" w:color="auto" w:sz="4" w:space="0"/>
            </w:tcBorders>
            <w:shd w:val="clear" w:color="auto" w:fill="auto"/>
            <w:noWrap/>
            <w:vAlign w:val="center"/>
          </w:tcPr>
          <w:p w14:paraId="1C39D055">
            <w:pPr>
              <w:widowControl w:val="0"/>
              <w:spacing w:line="240" w:lineRule="auto"/>
              <w:jc w:val="center"/>
              <w:rPr>
                <w:kern w:val="2"/>
                <w:sz w:val="21"/>
                <w:szCs w:val="24"/>
                <w:lang w:val="en-US"/>
              </w:rPr>
            </w:pPr>
            <w:r>
              <w:rPr>
                <w:rFonts w:hint="eastAsia"/>
                <w:kern w:val="2"/>
                <w:sz w:val="21"/>
                <w:szCs w:val="24"/>
                <w:lang w:val="en-US"/>
              </w:rPr>
              <w:t>总面积</w:t>
            </w:r>
          </w:p>
        </w:tc>
        <w:tc>
          <w:tcPr>
            <w:tcW w:w="1692" w:type="pct"/>
            <w:tcBorders>
              <w:top w:val="single" w:color="auto" w:sz="4" w:space="0"/>
              <w:left w:val="nil"/>
              <w:bottom w:val="single" w:color="auto" w:sz="4" w:space="0"/>
              <w:right w:val="single" w:color="auto" w:sz="4" w:space="0"/>
            </w:tcBorders>
            <w:shd w:val="clear" w:color="auto" w:fill="auto"/>
            <w:noWrap/>
            <w:vAlign w:val="center"/>
          </w:tcPr>
          <w:p w14:paraId="36E53A57">
            <w:pPr>
              <w:widowControl w:val="0"/>
              <w:spacing w:line="240" w:lineRule="auto"/>
              <w:jc w:val="center"/>
              <w:rPr>
                <w:kern w:val="2"/>
                <w:sz w:val="21"/>
                <w:szCs w:val="24"/>
                <w:lang w:val="en-US"/>
              </w:rPr>
            </w:pPr>
            <w:bookmarkStart w:id="26" w:name="面积分母"/>
            <w:r>
              <w:rPr>
                <w:rFonts w:hint="eastAsia"/>
                <w:kern w:val="2"/>
                <w:sz w:val="21"/>
                <w:szCs w:val="24"/>
                <w:lang w:val="en-US"/>
              </w:rPr>
              <w:t>175.60</w:t>
            </w:r>
            <w:bookmarkEnd w:id="26"/>
          </w:p>
        </w:tc>
        <w:tc>
          <w:tcPr>
            <w:tcW w:w="1269" w:type="pct"/>
            <w:tcBorders>
              <w:top w:val="nil"/>
              <w:left w:val="nil"/>
              <w:bottom w:val="single" w:color="auto" w:sz="4" w:space="0"/>
              <w:right w:val="single" w:color="auto" w:sz="4" w:space="0"/>
            </w:tcBorders>
            <w:shd w:val="clear" w:color="auto" w:fill="auto"/>
            <w:noWrap/>
            <w:vAlign w:val="center"/>
          </w:tcPr>
          <w:p w14:paraId="6752F66B">
            <w:pPr>
              <w:widowControl w:val="0"/>
              <w:spacing w:line="240" w:lineRule="auto"/>
              <w:jc w:val="center"/>
              <w:rPr>
                <w:kern w:val="2"/>
                <w:sz w:val="21"/>
                <w:szCs w:val="24"/>
                <w:lang w:val="en-US"/>
              </w:rPr>
            </w:pPr>
            <w:r>
              <w:rPr>
                <w:rFonts w:hint="eastAsia"/>
                <w:kern w:val="2"/>
                <w:sz w:val="21"/>
                <w:szCs w:val="24"/>
                <w:lang w:val="en-US"/>
              </w:rPr>
              <w:t>㎡</w:t>
            </w:r>
          </w:p>
        </w:tc>
      </w:tr>
      <w:tr w14:paraId="076C3F1B">
        <w:tblPrEx>
          <w:tblCellMar>
            <w:top w:w="0" w:type="dxa"/>
            <w:left w:w="108" w:type="dxa"/>
            <w:bottom w:w="0" w:type="dxa"/>
            <w:right w:w="108" w:type="dxa"/>
          </w:tblCellMar>
        </w:tblPrEx>
        <w:trPr>
          <w:trHeight w:val="405" w:hRule="atLeast"/>
        </w:trPr>
        <w:tc>
          <w:tcPr>
            <w:tcW w:w="2039" w:type="pct"/>
            <w:tcBorders>
              <w:top w:val="nil"/>
              <w:left w:val="single" w:color="auto" w:sz="4" w:space="0"/>
              <w:bottom w:val="single" w:color="auto" w:sz="4" w:space="0"/>
              <w:right w:val="single" w:color="auto" w:sz="4" w:space="0"/>
            </w:tcBorders>
            <w:shd w:val="clear" w:color="auto" w:fill="auto"/>
            <w:noWrap/>
            <w:vAlign w:val="center"/>
          </w:tcPr>
          <w:p w14:paraId="0AD2F29E">
            <w:pPr>
              <w:widowControl w:val="0"/>
              <w:spacing w:line="240" w:lineRule="auto"/>
              <w:jc w:val="center"/>
              <w:rPr>
                <w:kern w:val="2"/>
                <w:sz w:val="21"/>
                <w:szCs w:val="24"/>
                <w:lang w:val="en-US"/>
              </w:rPr>
            </w:pPr>
            <w:r>
              <w:rPr>
                <w:rFonts w:hint="eastAsia"/>
                <w:kern w:val="2"/>
                <w:sz w:val="21"/>
                <w:szCs w:val="24"/>
                <w:lang w:val="en-US"/>
              </w:rPr>
              <w:t>面积比例RR</w:t>
            </w:r>
          </w:p>
        </w:tc>
        <w:tc>
          <w:tcPr>
            <w:tcW w:w="1692" w:type="pct"/>
            <w:tcBorders>
              <w:top w:val="single" w:color="auto" w:sz="4" w:space="0"/>
              <w:left w:val="nil"/>
              <w:bottom w:val="single" w:color="auto" w:sz="4" w:space="0"/>
              <w:right w:val="single" w:color="auto" w:sz="4" w:space="0"/>
            </w:tcBorders>
            <w:shd w:val="clear" w:color="auto" w:fill="auto"/>
            <w:noWrap/>
            <w:vAlign w:val="center"/>
          </w:tcPr>
          <w:p w14:paraId="0758274D">
            <w:pPr>
              <w:widowControl w:val="0"/>
              <w:spacing w:line="240" w:lineRule="auto"/>
              <w:jc w:val="center"/>
              <w:rPr>
                <w:kern w:val="2"/>
                <w:sz w:val="21"/>
                <w:szCs w:val="24"/>
                <w:lang w:val="en-US"/>
              </w:rPr>
            </w:pPr>
            <w:bookmarkStart w:id="27" w:name="面积比"/>
            <w:r>
              <w:rPr>
                <w:rFonts w:hint="eastAsia"/>
                <w:kern w:val="2"/>
                <w:sz w:val="21"/>
                <w:szCs w:val="24"/>
                <w:lang w:val="en-US"/>
              </w:rPr>
              <w:t>98.45</w:t>
            </w:r>
            <w:bookmarkEnd w:id="27"/>
          </w:p>
        </w:tc>
        <w:tc>
          <w:tcPr>
            <w:tcW w:w="1269" w:type="pct"/>
            <w:tcBorders>
              <w:top w:val="nil"/>
              <w:left w:val="nil"/>
              <w:bottom w:val="single" w:color="auto" w:sz="4" w:space="0"/>
              <w:right w:val="single" w:color="auto" w:sz="4" w:space="0"/>
            </w:tcBorders>
            <w:shd w:val="clear" w:color="auto" w:fill="auto"/>
            <w:noWrap/>
            <w:vAlign w:val="center"/>
          </w:tcPr>
          <w:p w14:paraId="0BF53A8A">
            <w:pPr>
              <w:widowControl w:val="0"/>
              <w:spacing w:line="240" w:lineRule="auto"/>
              <w:jc w:val="center"/>
              <w:rPr>
                <w:kern w:val="2"/>
                <w:sz w:val="21"/>
                <w:szCs w:val="24"/>
                <w:lang w:val="en-US"/>
              </w:rPr>
            </w:pPr>
            <w:r>
              <w:rPr>
                <w:rFonts w:hint="eastAsia"/>
                <w:kern w:val="2"/>
                <w:sz w:val="21"/>
                <w:szCs w:val="24"/>
                <w:lang w:val="en-US"/>
              </w:rPr>
              <w:t>%</w:t>
            </w:r>
          </w:p>
        </w:tc>
      </w:tr>
      <w:bookmarkEnd w:id="24"/>
    </w:tbl>
    <w:p w14:paraId="294570C4">
      <w:pPr>
        <w:pStyle w:val="3"/>
        <w:ind w:firstLine="525" w:firstLineChars="250"/>
        <w:rPr>
          <w:kern w:val="2"/>
        </w:rPr>
      </w:pPr>
    </w:p>
    <w:p w14:paraId="2CB256BB">
      <w:pPr>
        <w:spacing w:line="240" w:lineRule="auto"/>
        <w:rPr>
          <w:rFonts w:ascii="宋体" w:hAnsi="宋体" w:cs="宋体"/>
          <w:color w:val="000000"/>
          <w:szCs w:val="18"/>
          <w:lang w:val="en-US"/>
        </w:rPr>
        <w:sectPr>
          <w:pgSz w:w="11906" w:h="16838"/>
          <w:pgMar w:top="1440" w:right="991" w:bottom="1440" w:left="1418" w:header="850" w:footer="992" w:gutter="0"/>
          <w:cols w:space="425" w:num="1"/>
          <w:docGrid w:type="lines" w:linePitch="312" w:charSpace="0"/>
        </w:sectPr>
      </w:pPr>
    </w:p>
    <w:tbl>
      <w:tblPr>
        <w:tblStyle w:val="16"/>
        <w:tblW w:w="4787" w:type="dxa"/>
        <w:tblInd w:w="0" w:type="dxa"/>
        <w:tblLayout w:type="fixed"/>
        <w:tblCellMar>
          <w:top w:w="0" w:type="dxa"/>
          <w:left w:w="108" w:type="dxa"/>
          <w:bottom w:w="0" w:type="dxa"/>
          <w:right w:w="108" w:type="dxa"/>
        </w:tblCellMar>
      </w:tblPr>
      <w:tblGrid>
        <w:gridCol w:w="2280"/>
        <w:gridCol w:w="760"/>
        <w:gridCol w:w="760"/>
        <w:gridCol w:w="987"/>
      </w:tblGrid>
      <w:tr w14:paraId="6279DD72">
        <w:tblPrEx>
          <w:tblCellMar>
            <w:top w:w="0" w:type="dxa"/>
            <w:left w:w="108" w:type="dxa"/>
            <w:bottom w:w="0" w:type="dxa"/>
            <w:right w:w="108" w:type="dxa"/>
          </w:tblCellMar>
        </w:tblPrEx>
        <w:trPr>
          <w:trHeight w:val="540" w:hRule="atLeast"/>
          <w:tblHeader/>
        </w:trPr>
        <w:tc>
          <w:tcPr>
            <w:tcBorders>
              <w:top w:val="single" w:color="auto" w:sz="4" w:space="0"/>
              <w:left w:val="single" w:color="auto" w:sz="4" w:space="0"/>
              <w:bottom w:val="single" w:color="auto" w:sz="4" w:space="0"/>
              <w:right w:val="single" w:color="auto" w:sz="4" w:space="0"/>
            </w:tcBorders>
            <w:shd w:val="clear" w:color="auto" w:fill="DEDEDE"/>
            <w:noWrap/>
            <w:vAlign w:val="center"/>
          </w:tcPr>
          <w:p w14:paraId="4E73CB5E">
            <w:pPr>
              <w:spacing w:line="240" w:lineRule="auto"/>
              <w:rPr>
                <w:rFonts w:ascii="宋体" w:hAnsi="宋体" w:cs="宋体"/>
                <w:color w:val="000000"/>
                <w:szCs w:val="18"/>
                <w:lang w:val="en-US"/>
              </w:rPr>
            </w:pPr>
            <w:bookmarkStart w:id="28" w:name="房间表"/>
            <w:r>
              <w:rPr>
                <w:rFonts w:hint="eastAsia" w:ascii="宋体" w:hAnsi="宋体" w:cs="宋体"/>
                <w:color w:val="000000"/>
                <w:szCs w:val="18"/>
                <w:lang w:val="en-US"/>
              </w:rPr>
              <w:t>房间</w:t>
            </w:r>
          </w:p>
        </w:tc>
        <w:tc>
          <w:tcPr>
            <w:tcBorders>
              <w:top w:val="single" w:color="auto" w:sz="4" w:space="0"/>
              <w:left w:val="nil"/>
              <w:bottom w:val="single" w:color="auto" w:sz="4" w:space="0"/>
              <w:right w:val="single" w:color="auto" w:sz="4" w:space="0"/>
            </w:tcBorders>
            <w:shd w:val="clear" w:color="auto" w:fill="DEDEDE"/>
            <w:vAlign w:val="center"/>
          </w:tcPr>
          <w:p w14:paraId="37366FEE">
            <w:pPr>
              <w:spacing w:line="240" w:lineRule="auto"/>
              <w:rPr>
                <w:rFonts w:ascii="宋体" w:hAnsi="宋体" w:cs="宋体"/>
                <w:color w:val="000000"/>
                <w:szCs w:val="18"/>
                <w:lang w:val="en-US"/>
              </w:rPr>
            </w:pPr>
            <w:r>
              <w:rPr>
                <w:rFonts w:hint="eastAsia" w:ascii="宋体" w:hAnsi="宋体" w:cs="宋体"/>
                <w:color w:val="000000"/>
                <w:szCs w:val="18"/>
                <w:lang w:val="en-US"/>
              </w:rPr>
              <w:t>体积</w:t>
            </w:r>
            <w:r>
              <w:rPr>
                <w:rFonts w:hint="eastAsia" w:ascii="宋体" w:hAnsi="宋体" w:cs="宋体"/>
                <w:color w:val="000000"/>
                <w:szCs w:val="18"/>
                <w:lang w:val="en-US"/>
              </w:rPr>
              <w:br w:type="textWrapping"/>
            </w:r>
            <w:r>
              <w:rPr>
                <w:rFonts w:hint="eastAsia" w:ascii="宋体" w:hAnsi="宋体" w:cs="宋体"/>
                <w:color w:val="000000"/>
                <w:szCs w:val="18"/>
                <w:lang w:val="en-US"/>
              </w:rPr>
              <w:t>(m^3)</w:t>
            </w:r>
          </w:p>
        </w:tc>
        <w:tc>
          <w:tcPr>
            <w:tcBorders>
              <w:top w:val="single" w:color="auto" w:sz="4" w:space="0"/>
              <w:left w:val="nil"/>
              <w:bottom w:val="single" w:color="auto" w:sz="4" w:space="0"/>
              <w:right w:val="single" w:color="auto" w:sz="4" w:space="0"/>
            </w:tcBorders>
            <w:shd w:val="clear" w:color="auto" w:fill="DEDEDE"/>
            <w:vAlign w:val="center"/>
          </w:tcPr>
          <w:p w14:paraId="774B4B7A">
            <w:pPr>
              <w:spacing w:line="240" w:lineRule="auto"/>
              <w:rPr>
                <w:rFonts w:ascii="宋体" w:hAnsi="宋体" w:cs="宋体"/>
                <w:color w:val="000000"/>
                <w:szCs w:val="18"/>
                <w:lang w:val="en-US"/>
              </w:rPr>
            </w:pPr>
            <w:r>
              <w:rPr>
                <w:rFonts w:hint="eastAsia" w:ascii="宋体" w:hAnsi="宋体" w:cs="宋体"/>
                <w:color w:val="000000"/>
                <w:szCs w:val="18"/>
                <w:lang w:val="en-US"/>
              </w:rPr>
              <w:t>面积</w:t>
            </w:r>
            <w:r>
              <w:rPr>
                <w:rFonts w:hint="eastAsia" w:ascii="宋体" w:hAnsi="宋体" w:cs="宋体"/>
                <w:color w:val="000000"/>
                <w:szCs w:val="18"/>
                <w:lang w:val="en-US"/>
              </w:rPr>
              <w:br w:type="textWrapping"/>
            </w:r>
            <w:r>
              <w:rPr>
                <w:rFonts w:hint="eastAsia" w:ascii="宋体" w:hAnsi="宋体" w:cs="宋体"/>
                <w:color w:val="000000"/>
                <w:szCs w:val="18"/>
                <w:lang w:val="en-US"/>
              </w:rPr>
              <w:t>(m^2)</w:t>
            </w:r>
          </w:p>
        </w:tc>
        <w:tc>
          <w:tcPr>
            <w:tcBorders>
              <w:top w:val="single" w:color="auto" w:sz="4" w:space="0"/>
              <w:left w:val="nil"/>
              <w:bottom w:val="single" w:color="auto" w:sz="4" w:space="0"/>
              <w:right w:val="single" w:color="auto" w:sz="4" w:space="0"/>
            </w:tcBorders>
            <w:shd w:val="clear" w:color="auto" w:fill="DEDEDE"/>
            <w:vAlign w:val="center"/>
          </w:tcPr>
          <w:p w14:paraId="783598D7">
            <w:pPr>
              <w:spacing w:line="240" w:lineRule="auto"/>
              <w:rPr>
                <w:rFonts w:ascii="宋体" w:hAnsi="宋体" w:cs="宋体"/>
                <w:color w:val="000000"/>
                <w:szCs w:val="18"/>
                <w:lang w:val="en-US"/>
              </w:rPr>
            </w:pPr>
            <w:r>
              <w:rPr>
                <w:rFonts w:hint="eastAsia" w:ascii="宋体" w:hAnsi="宋体" w:cs="宋体"/>
                <w:color w:val="000000"/>
                <w:szCs w:val="18"/>
                <w:lang w:val="en-US"/>
              </w:rPr>
              <w:t>换气次数</w:t>
            </w:r>
            <w:r>
              <w:rPr>
                <w:rFonts w:hint="eastAsia" w:ascii="宋体" w:hAnsi="宋体" w:cs="宋体"/>
                <w:color w:val="000000"/>
                <w:szCs w:val="18"/>
                <w:lang w:val="en-US"/>
              </w:rPr>
              <w:br w:type="textWrapping"/>
            </w:r>
            <w:r>
              <w:rPr>
                <w:rFonts w:hint="eastAsia" w:ascii="宋体" w:hAnsi="宋体" w:cs="宋体"/>
                <w:color w:val="000000"/>
                <w:szCs w:val="18"/>
                <w:lang w:val="en-US"/>
              </w:rPr>
              <w:t>(次/h)</w:t>
            </w:r>
          </w:p>
        </w:tc>
      </w:tr>
      <w:tr w14:paraId="430CAA02">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1F7CA497">
            <w:pPr>
              <w:spacing w:line="240" w:lineRule="auto"/>
              <w:rPr>
                <w:rFonts w:ascii="宋体" w:hAnsi="宋体" w:cs="宋体"/>
                <w:color w:val="0000FF"/>
                <w:szCs w:val="18"/>
                <w:lang w:val="en-US"/>
              </w:rPr>
            </w:pPr>
            <w:r>
              <w:rPr>
                <w:rFonts w:ascii="宋体" w:hAnsi="宋体" w:cs="宋体"/>
                <w:color w:val="0000FF"/>
                <w:szCs w:val="18"/>
                <w:lang w:val="en-US"/>
              </w:rPr>
              <w:t xml:space="preserve"> 1层</w:t>
            </w:r>
          </w:p>
        </w:tc>
        <w:tc>
          <w:tcPr>
            <w:tcBorders>
              <w:top w:val="nil"/>
              <w:left w:val="nil"/>
              <w:bottom w:val="single" w:color="auto" w:sz="4" w:space="0"/>
              <w:right w:val="single" w:color="auto" w:sz="4" w:space="0"/>
            </w:tcBorders>
            <w:shd w:val="clear" w:color="auto" w:fill="FFFFFF"/>
            <w:noWrap/>
            <w:vAlign w:val="center"/>
          </w:tcPr>
          <w:p w14:paraId="56600C3F">
            <w:pPr>
              <w:spacing w:line="240" w:lineRule="auto"/>
              <w:rPr>
                <w:rFonts w:ascii="宋体" w:hAnsi="宋体" w:cs="宋体"/>
                <w:color w:val="000000"/>
                <w:szCs w:val="18"/>
                <w:lang w:val="en-US"/>
              </w:rPr>
            </w:pPr>
          </w:p>
        </w:tc>
        <w:tc>
          <w:tcPr>
            <w:tcBorders>
              <w:top w:val="nil"/>
              <w:left w:val="nil"/>
              <w:bottom w:val="single" w:color="auto" w:sz="4" w:space="0"/>
              <w:right w:val="single" w:color="auto" w:sz="4" w:space="0"/>
            </w:tcBorders>
            <w:shd w:val="clear" w:color="auto" w:fill="FFFFFF"/>
            <w:noWrap/>
            <w:vAlign w:val="center"/>
          </w:tcPr>
          <w:p w14:paraId="4878C970">
            <w:pPr>
              <w:spacing w:line="240" w:lineRule="auto"/>
              <w:rPr>
                <w:rFonts w:ascii="宋体" w:hAnsi="宋体" w:cs="宋体"/>
                <w:color w:val="000000"/>
                <w:szCs w:val="18"/>
                <w:lang w:val="en-US"/>
              </w:rPr>
            </w:pPr>
          </w:p>
        </w:tc>
        <w:tc>
          <w:tcPr>
            <w:tcBorders>
              <w:top w:val="nil"/>
              <w:left w:val="nil"/>
              <w:bottom w:val="single" w:color="auto" w:sz="4" w:space="0"/>
              <w:right w:val="single" w:color="auto" w:sz="4" w:space="0"/>
            </w:tcBorders>
            <w:shd w:val="clear" w:color="auto" w:fill="FFFFFF"/>
            <w:noWrap/>
            <w:vAlign w:val="center"/>
          </w:tcPr>
          <w:p w14:paraId="5C0622F1">
            <w:pPr>
              <w:spacing w:line="240" w:lineRule="auto"/>
              <w:rPr>
                <w:rFonts w:ascii="宋体" w:hAnsi="宋体" w:cs="宋体"/>
                <w:color w:val="000000"/>
                <w:szCs w:val="18"/>
                <w:lang w:val="en-US"/>
              </w:rPr>
            </w:pPr>
          </w:p>
        </w:tc>
      </w:tr>
      <w:tr w14:paraId="3E451223">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305BA1D7">
            <w:pPr>
              <w:spacing w:line="240" w:lineRule="auto"/>
              <w:rPr>
                <w:rFonts w:ascii="宋体" w:hAnsi="宋体" w:cs="宋体"/>
                <w:color w:val="0000FF"/>
                <w:szCs w:val="18"/>
                <w:lang w:val="en-US"/>
              </w:rPr>
            </w:pPr>
            <w:r>
              <w:rPr>
                <w:rFonts w:ascii="宋体" w:hAnsi="宋体" w:cs="宋体"/>
                <w:color w:val="0000FF"/>
                <w:szCs w:val="18"/>
                <w:lang w:val="en-US"/>
              </w:rPr>
              <w:t xml:space="preserve"> 1001[接待大厅（10人）]</w:t>
            </w:r>
          </w:p>
        </w:tc>
        <w:tc>
          <w:tcPr>
            <w:tcBorders>
              <w:top w:val="nil"/>
              <w:left w:val="nil"/>
              <w:bottom w:val="single" w:color="auto" w:sz="4" w:space="0"/>
              <w:right w:val="single" w:color="auto" w:sz="4" w:space="0"/>
            </w:tcBorders>
            <w:shd w:val="clear" w:color="auto" w:fill="FFFFFF"/>
            <w:noWrap/>
            <w:vAlign w:val="center"/>
          </w:tcPr>
          <w:p w14:paraId="3D16E6CC">
            <w:pPr>
              <w:spacing w:line="240" w:lineRule="auto"/>
              <w:rPr>
                <w:rFonts w:ascii="宋体" w:hAnsi="宋体" w:cs="宋体"/>
                <w:color w:val="000000"/>
                <w:szCs w:val="18"/>
                <w:lang w:val="en-US"/>
              </w:rPr>
            </w:pPr>
            <w:r>
              <w:rPr>
                <w:rFonts w:ascii="宋体" w:hAnsi="宋体" w:cs="宋体"/>
                <w:color w:val="000000"/>
                <w:szCs w:val="18"/>
                <w:lang w:val="en-US"/>
              </w:rPr>
              <w:t>187.20</w:t>
            </w:r>
          </w:p>
        </w:tc>
        <w:tc>
          <w:tcPr>
            <w:tcBorders>
              <w:top w:val="nil"/>
              <w:left w:val="nil"/>
              <w:bottom w:val="single" w:color="auto" w:sz="4" w:space="0"/>
              <w:right w:val="single" w:color="auto" w:sz="4" w:space="0"/>
            </w:tcBorders>
            <w:shd w:val="clear" w:color="auto" w:fill="FFFFFF"/>
            <w:noWrap/>
            <w:vAlign w:val="center"/>
          </w:tcPr>
          <w:p w14:paraId="60E4DF54">
            <w:pPr>
              <w:spacing w:line="240" w:lineRule="auto"/>
              <w:rPr>
                <w:rFonts w:ascii="宋体" w:hAnsi="宋体" w:cs="宋体"/>
                <w:color w:val="000000"/>
                <w:szCs w:val="18"/>
                <w:lang w:val="en-US"/>
              </w:rPr>
            </w:pPr>
            <w:r>
              <w:rPr>
                <w:rFonts w:ascii="宋体" w:hAnsi="宋体" w:cs="宋体"/>
                <w:color w:val="000000"/>
                <w:szCs w:val="18"/>
                <w:lang w:val="en-US"/>
              </w:rPr>
              <w:t>48.00</w:t>
            </w:r>
          </w:p>
        </w:tc>
        <w:tc>
          <w:tcPr>
            <w:tcBorders>
              <w:top w:val="nil"/>
              <w:left w:val="nil"/>
              <w:bottom w:val="single" w:color="auto" w:sz="4" w:space="0"/>
              <w:right w:val="single" w:color="auto" w:sz="4" w:space="0"/>
            </w:tcBorders>
            <w:shd w:val="clear" w:color="auto" w:fill="FFFFFF"/>
            <w:noWrap/>
            <w:vAlign w:val="center"/>
          </w:tcPr>
          <w:p w14:paraId="6FC0AA45">
            <w:pPr>
              <w:spacing w:line="240" w:lineRule="auto"/>
              <w:rPr>
                <w:rFonts w:ascii="宋体" w:hAnsi="宋体" w:cs="宋体"/>
                <w:color w:val="000000"/>
                <w:szCs w:val="18"/>
                <w:lang w:val="en-US"/>
              </w:rPr>
            </w:pPr>
            <w:r>
              <w:rPr>
                <w:rFonts w:ascii="宋体" w:hAnsi="宋体" w:cs="宋体"/>
                <w:color w:val="000000"/>
                <w:szCs w:val="18"/>
                <w:lang w:val="en-US"/>
              </w:rPr>
              <w:t>42.72</w:t>
            </w:r>
          </w:p>
        </w:tc>
      </w:tr>
      <w:tr w14:paraId="5D7A9927">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6C9B7E8B">
            <w:pPr>
              <w:spacing w:line="240" w:lineRule="auto"/>
              <w:rPr>
                <w:rFonts w:ascii="宋体" w:hAnsi="宋体" w:cs="宋体"/>
                <w:color w:val="0000FF"/>
                <w:szCs w:val="18"/>
                <w:lang w:val="en-US"/>
              </w:rPr>
            </w:pPr>
            <w:r>
              <w:rPr>
                <w:rFonts w:ascii="宋体" w:hAnsi="宋体" w:cs="宋体"/>
                <w:color w:val="0000FF"/>
                <w:szCs w:val="18"/>
                <w:lang w:val="en-US"/>
              </w:rPr>
              <w:t xml:space="preserve"> 1002[办公室（2人）]</w:t>
            </w:r>
          </w:p>
        </w:tc>
        <w:tc>
          <w:tcPr>
            <w:tcBorders>
              <w:top w:val="nil"/>
              <w:left w:val="nil"/>
              <w:bottom w:val="single" w:color="auto" w:sz="4" w:space="0"/>
              <w:right w:val="single" w:color="auto" w:sz="4" w:space="0"/>
            </w:tcBorders>
            <w:shd w:val="clear" w:color="auto" w:fill="FFFFFF"/>
            <w:noWrap/>
            <w:vAlign w:val="center"/>
          </w:tcPr>
          <w:p w14:paraId="6F62B31C">
            <w:pPr>
              <w:spacing w:line="240" w:lineRule="auto"/>
              <w:rPr>
                <w:rFonts w:ascii="宋体" w:hAnsi="宋体" w:cs="宋体"/>
                <w:color w:val="000000"/>
                <w:szCs w:val="18"/>
                <w:lang w:val="en-US"/>
              </w:rPr>
            </w:pPr>
            <w:r>
              <w:rPr>
                <w:rFonts w:ascii="宋体" w:hAnsi="宋体" w:cs="宋体"/>
                <w:color w:val="000000"/>
                <w:szCs w:val="18"/>
                <w:lang w:val="en-US"/>
              </w:rPr>
              <w:t>68.25</w:t>
            </w:r>
          </w:p>
        </w:tc>
        <w:tc>
          <w:tcPr>
            <w:tcBorders>
              <w:top w:val="nil"/>
              <w:left w:val="nil"/>
              <w:bottom w:val="single" w:color="auto" w:sz="4" w:space="0"/>
              <w:right w:val="single" w:color="auto" w:sz="4" w:space="0"/>
            </w:tcBorders>
            <w:shd w:val="clear" w:color="auto" w:fill="FFFFFF"/>
            <w:noWrap/>
            <w:vAlign w:val="center"/>
          </w:tcPr>
          <w:p w14:paraId="60FFE986">
            <w:pPr>
              <w:spacing w:line="240" w:lineRule="auto"/>
              <w:rPr>
                <w:rFonts w:ascii="宋体" w:hAnsi="宋体" w:cs="宋体"/>
                <w:color w:val="000000"/>
                <w:szCs w:val="18"/>
                <w:lang w:val="en-US"/>
              </w:rPr>
            </w:pPr>
            <w:r>
              <w:rPr>
                <w:rFonts w:ascii="宋体" w:hAnsi="宋体" w:cs="宋体"/>
                <w:color w:val="000000"/>
                <w:szCs w:val="18"/>
                <w:lang w:val="en-US"/>
              </w:rPr>
              <w:t>17.50</w:t>
            </w:r>
          </w:p>
        </w:tc>
        <w:tc>
          <w:tcPr>
            <w:tcBorders>
              <w:top w:val="nil"/>
              <w:left w:val="nil"/>
              <w:bottom w:val="single" w:color="auto" w:sz="4" w:space="0"/>
              <w:right w:val="single" w:color="auto" w:sz="4" w:space="0"/>
            </w:tcBorders>
            <w:shd w:val="clear" w:color="auto" w:fill="FFFFFF"/>
            <w:noWrap/>
            <w:vAlign w:val="center"/>
          </w:tcPr>
          <w:p w14:paraId="6A33FD8A">
            <w:pPr>
              <w:spacing w:line="240" w:lineRule="auto"/>
              <w:rPr>
                <w:rFonts w:ascii="宋体" w:hAnsi="宋体" w:cs="宋体"/>
                <w:color w:val="000000"/>
                <w:szCs w:val="18"/>
                <w:lang w:val="en-US"/>
              </w:rPr>
            </w:pPr>
            <w:r>
              <w:rPr>
                <w:rFonts w:ascii="宋体" w:hAnsi="宋体" w:cs="宋体"/>
                <w:color w:val="000000"/>
                <w:szCs w:val="18"/>
                <w:lang w:val="en-US"/>
              </w:rPr>
              <w:t>61.68</w:t>
            </w:r>
          </w:p>
        </w:tc>
      </w:tr>
      <w:tr w14:paraId="0E29BEAD">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63FB2625">
            <w:pPr>
              <w:spacing w:line="240" w:lineRule="auto"/>
              <w:rPr>
                <w:rFonts w:ascii="宋体" w:hAnsi="宋体" w:cs="宋体"/>
                <w:color w:val="0000FF"/>
                <w:szCs w:val="18"/>
                <w:lang w:val="en-US"/>
              </w:rPr>
            </w:pPr>
            <w:r>
              <w:rPr>
                <w:rFonts w:ascii="宋体" w:hAnsi="宋体" w:cs="宋体"/>
                <w:color w:val="0000FF"/>
                <w:szCs w:val="18"/>
                <w:lang w:val="en-US"/>
              </w:rPr>
              <w:t xml:space="preserve"> 1003[办公室（2人）]</w:t>
            </w:r>
          </w:p>
        </w:tc>
        <w:tc>
          <w:tcPr>
            <w:tcBorders>
              <w:top w:val="nil"/>
              <w:left w:val="nil"/>
              <w:bottom w:val="single" w:color="auto" w:sz="4" w:space="0"/>
              <w:right w:val="single" w:color="auto" w:sz="4" w:space="0"/>
            </w:tcBorders>
            <w:shd w:val="clear" w:color="auto" w:fill="FFFFFF"/>
            <w:noWrap/>
            <w:vAlign w:val="center"/>
          </w:tcPr>
          <w:p w14:paraId="7969C3D8">
            <w:pPr>
              <w:spacing w:line="240" w:lineRule="auto"/>
              <w:rPr>
                <w:rFonts w:ascii="宋体" w:hAnsi="宋体" w:cs="宋体"/>
                <w:color w:val="000000"/>
                <w:szCs w:val="18"/>
                <w:lang w:val="en-US"/>
              </w:rPr>
            </w:pPr>
            <w:r>
              <w:rPr>
                <w:rFonts w:ascii="宋体" w:hAnsi="宋体" w:cs="宋体"/>
                <w:color w:val="000000"/>
                <w:szCs w:val="18"/>
                <w:lang w:val="en-US"/>
              </w:rPr>
              <w:t>68.25</w:t>
            </w:r>
          </w:p>
        </w:tc>
        <w:tc>
          <w:tcPr>
            <w:tcBorders>
              <w:top w:val="nil"/>
              <w:left w:val="nil"/>
              <w:bottom w:val="single" w:color="auto" w:sz="4" w:space="0"/>
              <w:right w:val="single" w:color="auto" w:sz="4" w:space="0"/>
            </w:tcBorders>
            <w:shd w:val="clear" w:color="auto" w:fill="FFFFFF"/>
            <w:noWrap/>
            <w:vAlign w:val="center"/>
          </w:tcPr>
          <w:p w14:paraId="39D82B66">
            <w:pPr>
              <w:spacing w:line="240" w:lineRule="auto"/>
              <w:rPr>
                <w:rFonts w:ascii="宋体" w:hAnsi="宋体" w:cs="宋体"/>
                <w:color w:val="000000"/>
                <w:szCs w:val="18"/>
                <w:lang w:val="en-US"/>
              </w:rPr>
            </w:pPr>
            <w:r>
              <w:rPr>
                <w:rFonts w:ascii="宋体" w:hAnsi="宋体" w:cs="宋体"/>
                <w:color w:val="000000"/>
                <w:szCs w:val="18"/>
                <w:lang w:val="en-US"/>
              </w:rPr>
              <w:t>17.50</w:t>
            </w:r>
          </w:p>
        </w:tc>
        <w:tc>
          <w:tcPr>
            <w:tcBorders>
              <w:top w:val="nil"/>
              <w:left w:val="nil"/>
              <w:bottom w:val="single" w:color="auto" w:sz="4" w:space="0"/>
              <w:right w:val="single" w:color="auto" w:sz="4" w:space="0"/>
            </w:tcBorders>
            <w:shd w:val="clear" w:color="auto" w:fill="FFFFFF"/>
            <w:noWrap/>
            <w:vAlign w:val="center"/>
          </w:tcPr>
          <w:p w14:paraId="0588CA46">
            <w:pPr>
              <w:spacing w:line="240" w:lineRule="auto"/>
              <w:rPr>
                <w:rFonts w:ascii="宋体" w:hAnsi="宋体" w:cs="宋体"/>
                <w:color w:val="000000"/>
                <w:szCs w:val="18"/>
                <w:lang w:val="en-US"/>
              </w:rPr>
            </w:pPr>
            <w:r>
              <w:rPr>
                <w:rFonts w:ascii="宋体" w:hAnsi="宋体" w:cs="宋体"/>
                <w:color w:val="000000"/>
                <w:szCs w:val="18"/>
                <w:lang w:val="en-US"/>
              </w:rPr>
              <w:t>37.96</w:t>
            </w:r>
          </w:p>
        </w:tc>
      </w:tr>
      <w:tr w14:paraId="62BAAD4D">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0794AF60">
            <w:pPr>
              <w:spacing w:line="240" w:lineRule="auto"/>
              <w:rPr>
                <w:rFonts w:ascii="宋体" w:hAnsi="宋体" w:cs="宋体"/>
                <w:color w:val="0000FF"/>
                <w:szCs w:val="18"/>
                <w:lang w:val="en-US"/>
              </w:rPr>
            </w:pPr>
            <w:r>
              <w:rPr>
                <w:rFonts w:ascii="宋体" w:hAnsi="宋体" w:cs="宋体"/>
                <w:color w:val="0000FF"/>
                <w:szCs w:val="18"/>
                <w:lang w:val="en-US"/>
              </w:rPr>
              <w:t xml:space="preserve"> 1004[1#卫]</w:t>
            </w:r>
          </w:p>
        </w:tc>
        <w:tc>
          <w:tcPr>
            <w:tcBorders>
              <w:top w:val="nil"/>
              <w:left w:val="nil"/>
              <w:bottom w:val="single" w:color="auto" w:sz="4" w:space="0"/>
              <w:right w:val="single" w:color="auto" w:sz="4" w:space="0"/>
            </w:tcBorders>
            <w:shd w:val="clear" w:color="auto" w:fill="FFFFFF"/>
            <w:noWrap/>
            <w:vAlign w:val="center"/>
          </w:tcPr>
          <w:p w14:paraId="5F6ECDF4">
            <w:pPr>
              <w:spacing w:line="240" w:lineRule="auto"/>
              <w:rPr>
                <w:rFonts w:ascii="宋体" w:hAnsi="宋体" w:cs="宋体"/>
                <w:color w:val="000000"/>
                <w:szCs w:val="18"/>
                <w:lang w:val="en-US"/>
              </w:rPr>
            </w:pPr>
            <w:r>
              <w:rPr>
                <w:rFonts w:ascii="宋体" w:hAnsi="宋体" w:cs="宋体"/>
                <w:color w:val="000000"/>
                <w:szCs w:val="18"/>
                <w:lang w:val="en-US"/>
              </w:rPr>
              <w:t>10.61</w:t>
            </w:r>
          </w:p>
        </w:tc>
        <w:tc>
          <w:tcPr>
            <w:tcBorders>
              <w:top w:val="nil"/>
              <w:left w:val="nil"/>
              <w:bottom w:val="single" w:color="auto" w:sz="4" w:space="0"/>
              <w:right w:val="single" w:color="auto" w:sz="4" w:space="0"/>
            </w:tcBorders>
            <w:shd w:val="clear" w:color="auto" w:fill="FFFFFF"/>
            <w:noWrap/>
            <w:vAlign w:val="center"/>
          </w:tcPr>
          <w:p w14:paraId="32DF1B93">
            <w:pPr>
              <w:spacing w:line="240" w:lineRule="auto"/>
              <w:rPr>
                <w:rFonts w:ascii="宋体" w:hAnsi="宋体" w:cs="宋体"/>
                <w:color w:val="000000"/>
                <w:szCs w:val="18"/>
                <w:lang w:val="en-US"/>
              </w:rPr>
            </w:pPr>
            <w:r>
              <w:rPr>
                <w:rFonts w:ascii="宋体" w:hAnsi="宋体" w:cs="宋体"/>
                <w:color w:val="000000"/>
                <w:szCs w:val="18"/>
                <w:lang w:val="en-US"/>
              </w:rPr>
              <w:t>2.72</w:t>
            </w:r>
          </w:p>
        </w:tc>
        <w:tc>
          <w:tcPr>
            <w:tcBorders>
              <w:top w:val="nil"/>
              <w:left w:val="nil"/>
              <w:bottom w:val="single" w:color="auto" w:sz="4" w:space="0"/>
              <w:right w:val="single" w:color="auto" w:sz="4" w:space="0"/>
            </w:tcBorders>
            <w:shd w:val="clear" w:color="auto" w:fill="FFFFFF"/>
            <w:noWrap/>
            <w:vAlign w:val="center"/>
          </w:tcPr>
          <w:p w14:paraId="5FB5F1C8">
            <w:pPr>
              <w:spacing w:line="240" w:lineRule="auto"/>
              <w:rPr>
                <w:rFonts w:ascii="宋体" w:hAnsi="宋体" w:cs="宋体"/>
                <w:color w:val="000000"/>
                <w:szCs w:val="18"/>
                <w:lang w:val="en-US"/>
              </w:rPr>
            </w:pPr>
            <w:r>
              <w:rPr>
                <w:rFonts w:ascii="宋体" w:hAnsi="宋体" w:cs="宋体"/>
                <w:color w:val="000000"/>
                <w:szCs w:val="18"/>
                <w:lang w:val="en-US"/>
              </w:rPr>
              <w:t>0.00</w:t>
            </w:r>
          </w:p>
        </w:tc>
      </w:tr>
      <w:tr w14:paraId="11E3FD9B">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301E858A">
            <w:pPr>
              <w:spacing w:line="240" w:lineRule="auto"/>
              <w:rPr>
                <w:rFonts w:ascii="宋体" w:hAnsi="宋体" w:cs="宋体"/>
                <w:color w:val="0000FF"/>
                <w:szCs w:val="18"/>
                <w:lang w:val="en-US"/>
              </w:rPr>
            </w:pPr>
            <w:r>
              <w:rPr>
                <w:rFonts w:ascii="宋体" w:hAnsi="宋体" w:cs="宋体"/>
                <w:color w:val="0000FF"/>
                <w:szCs w:val="18"/>
                <w:lang w:val="en-US"/>
              </w:rPr>
              <w:t xml:space="preserve"> 1005[2#卫]</w:t>
            </w:r>
          </w:p>
        </w:tc>
        <w:tc>
          <w:tcPr>
            <w:tcBorders>
              <w:top w:val="nil"/>
              <w:left w:val="nil"/>
              <w:bottom w:val="single" w:color="auto" w:sz="4" w:space="0"/>
              <w:right w:val="single" w:color="auto" w:sz="4" w:space="0"/>
            </w:tcBorders>
            <w:shd w:val="clear" w:color="auto" w:fill="FFFFFF"/>
            <w:noWrap/>
            <w:vAlign w:val="center"/>
          </w:tcPr>
          <w:p w14:paraId="15DEACF6">
            <w:pPr>
              <w:spacing w:line="240" w:lineRule="auto"/>
              <w:rPr>
                <w:rFonts w:ascii="宋体" w:hAnsi="宋体" w:cs="宋体"/>
                <w:color w:val="000000"/>
                <w:szCs w:val="18"/>
                <w:lang w:val="en-US"/>
              </w:rPr>
            </w:pPr>
            <w:r>
              <w:rPr>
                <w:rFonts w:ascii="宋体" w:hAnsi="宋体" w:cs="宋体"/>
                <w:color w:val="000000"/>
                <w:szCs w:val="18"/>
                <w:lang w:val="en-US"/>
              </w:rPr>
              <w:t>10.61</w:t>
            </w:r>
          </w:p>
        </w:tc>
        <w:tc>
          <w:tcPr>
            <w:tcBorders>
              <w:top w:val="nil"/>
              <w:left w:val="nil"/>
              <w:bottom w:val="single" w:color="auto" w:sz="4" w:space="0"/>
              <w:right w:val="single" w:color="auto" w:sz="4" w:space="0"/>
            </w:tcBorders>
            <w:shd w:val="clear" w:color="auto" w:fill="FFFFFF"/>
            <w:noWrap/>
            <w:vAlign w:val="center"/>
          </w:tcPr>
          <w:p w14:paraId="42AAF883">
            <w:pPr>
              <w:spacing w:line="240" w:lineRule="auto"/>
              <w:rPr>
                <w:rFonts w:ascii="宋体" w:hAnsi="宋体" w:cs="宋体"/>
                <w:color w:val="000000"/>
                <w:szCs w:val="18"/>
                <w:lang w:val="en-US"/>
              </w:rPr>
            </w:pPr>
            <w:r>
              <w:rPr>
                <w:rFonts w:ascii="宋体" w:hAnsi="宋体" w:cs="宋体"/>
                <w:color w:val="000000"/>
                <w:szCs w:val="18"/>
                <w:lang w:val="en-US"/>
              </w:rPr>
              <w:t>2.72</w:t>
            </w:r>
          </w:p>
        </w:tc>
        <w:tc>
          <w:tcPr>
            <w:tcBorders>
              <w:top w:val="nil"/>
              <w:left w:val="nil"/>
              <w:bottom w:val="single" w:color="auto" w:sz="4" w:space="0"/>
              <w:right w:val="single" w:color="auto" w:sz="4" w:space="0"/>
            </w:tcBorders>
            <w:shd w:val="clear" w:color="auto" w:fill="FFFFFF"/>
            <w:noWrap/>
            <w:vAlign w:val="center"/>
          </w:tcPr>
          <w:p w14:paraId="4DDC1930">
            <w:pPr>
              <w:spacing w:line="240" w:lineRule="auto"/>
              <w:rPr>
                <w:rFonts w:ascii="宋体" w:hAnsi="宋体" w:cs="宋体"/>
                <w:color w:val="000000"/>
                <w:szCs w:val="18"/>
                <w:lang w:val="en-US"/>
              </w:rPr>
            </w:pPr>
            <w:r>
              <w:rPr>
                <w:rFonts w:ascii="宋体" w:hAnsi="宋体" w:cs="宋体"/>
                <w:color w:val="000000"/>
                <w:szCs w:val="18"/>
                <w:lang w:val="en-US"/>
              </w:rPr>
              <w:t>48.25</w:t>
            </w:r>
          </w:p>
        </w:tc>
      </w:tr>
      <w:tr w14:paraId="76C91A2E">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5B48214E">
            <w:pPr>
              <w:spacing w:line="240" w:lineRule="auto"/>
              <w:rPr>
                <w:rFonts w:ascii="宋体" w:hAnsi="宋体" w:cs="宋体"/>
                <w:color w:val="0000FF"/>
                <w:szCs w:val="18"/>
                <w:lang w:val="en-US"/>
              </w:rPr>
            </w:pPr>
            <w:r>
              <w:rPr>
                <w:rFonts w:ascii="宋体" w:hAnsi="宋体" w:cs="宋体"/>
                <w:color w:val="0000FF"/>
                <w:szCs w:val="18"/>
                <w:lang w:val="en-US"/>
              </w:rPr>
              <w:t xml:space="preserve"> 2层</w:t>
            </w:r>
          </w:p>
        </w:tc>
        <w:tc>
          <w:tcPr>
            <w:tcBorders>
              <w:top w:val="nil"/>
              <w:left w:val="nil"/>
              <w:bottom w:val="single" w:color="auto" w:sz="4" w:space="0"/>
              <w:right w:val="single" w:color="auto" w:sz="4" w:space="0"/>
            </w:tcBorders>
            <w:shd w:val="clear" w:color="auto" w:fill="FFFFFF"/>
            <w:noWrap/>
            <w:vAlign w:val="center"/>
          </w:tcPr>
          <w:p w14:paraId="30B4C0A9">
            <w:pPr>
              <w:spacing w:line="240" w:lineRule="auto"/>
              <w:rPr>
                <w:rFonts w:ascii="宋体" w:hAnsi="宋体" w:cs="宋体"/>
                <w:color w:val="000000"/>
                <w:szCs w:val="18"/>
                <w:lang w:val="en-US"/>
              </w:rPr>
            </w:pPr>
          </w:p>
        </w:tc>
        <w:tc>
          <w:tcPr>
            <w:tcBorders>
              <w:top w:val="nil"/>
              <w:left w:val="nil"/>
              <w:bottom w:val="single" w:color="auto" w:sz="4" w:space="0"/>
              <w:right w:val="single" w:color="auto" w:sz="4" w:space="0"/>
            </w:tcBorders>
            <w:shd w:val="clear" w:color="auto" w:fill="FFFFFF"/>
            <w:noWrap/>
            <w:vAlign w:val="center"/>
          </w:tcPr>
          <w:p w14:paraId="72395165">
            <w:pPr>
              <w:spacing w:line="240" w:lineRule="auto"/>
              <w:rPr>
                <w:rFonts w:ascii="宋体" w:hAnsi="宋体" w:cs="宋体"/>
                <w:color w:val="000000"/>
                <w:szCs w:val="18"/>
                <w:lang w:val="en-US"/>
              </w:rPr>
            </w:pPr>
          </w:p>
        </w:tc>
        <w:tc>
          <w:tcPr>
            <w:tcBorders>
              <w:top w:val="nil"/>
              <w:left w:val="nil"/>
              <w:bottom w:val="single" w:color="auto" w:sz="4" w:space="0"/>
              <w:right w:val="single" w:color="auto" w:sz="4" w:space="0"/>
            </w:tcBorders>
            <w:shd w:val="clear" w:color="auto" w:fill="FFFFFF"/>
            <w:noWrap/>
            <w:vAlign w:val="center"/>
          </w:tcPr>
          <w:p w14:paraId="0A051C9F">
            <w:pPr>
              <w:spacing w:line="240" w:lineRule="auto"/>
              <w:rPr>
                <w:rFonts w:ascii="宋体" w:hAnsi="宋体" w:cs="宋体"/>
                <w:color w:val="000000"/>
                <w:szCs w:val="18"/>
                <w:lang w:val="en-US"/>
              </w:rPr>
            </w:pPr>
          </w:p>
        </w:tc>
      </w:tr>
      <w:tr w14:paraId="6F546670">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589F6561">
            <w:pPr>
              <w:spacing w:line="240" w:lineRule="auto"/>
              <w:rPr>
                <w:rFonts w:ascii="宋体" w:hAnsi="宋体" w:cs="宋体"/>
                <w:color w:val="0000FF"/>
                <w:szCs w:val="18"/>
                <w:lang w:val="en-US"/>
              </w:rPr>
            </w:pPr>
            <w:r>
              <w:rPr>
                <w:rFonts w:ascii="宋体" w:hAnsi="宋体" w:cs="宋体"/>
                <w:color w:val="0000FF"/>
                <w:szCs w:val="18"/>
                <w:lang w:val="en-US"/>
              </w:rPr>
              <w:t xml:space="preserve"> 2001[办公室（7人）]</w:t>
            </w:r>
          </w:p>
        </w:tc>
        <w:tc>
          <w:tcPr>
            <w:tcBorders>
              <w:top w:val="nil"/>
              <w:left w:val="nil"/>
              <w:bottom w:val="single" w:color="auto" w:sz="4" w:space="0"/>
              <w:right w:val="single" w:color="auto" w:sz="4" w:space="0"/>
            </w:tcBorders>
            <w:shd w:val="clear" w:color="auto" w:fill="FFFFFF"/>
            <w:noWrap/>
            <w:vAlign w:val="center"/>
          </w:tcPr>
          <w:p w14:paraId="5239C419">
            <w:pPr>
              <w:spacing w:line="240" w:lineRule="auto"/>
              <w:rPr>
                <w:rFonts w:ascii="宋体" w:hAnsi="宋体" w:cs="宋体"/>
                <w:color w:val="000000"/>
                <w:szCs w:val="18"/>
                <w:lang w:val="en-US"/>
              </w:rPr>
            </w:pPr>
            <w:r>
              <w:rPr>
                <w:rFonts w:ascii="宋体" w:hAnsi="宋体" w:cs="宋体"/>
                <w:color w:val="000000"/>
                <w:szCs w:val="18"/>
                <w:lang w:val="en-US"/>
              </w:rPr>
              <w:t>210.38</w:t>
            </w:r>
          </w:p>
        </w:tc>
        <w:tc>
          <w:tcPr>
            <w:tcBorders>
              <w:top w:val="nil"/>
              <w:left w:val="nil"/>
              <w:bottom w:val="single" w:color="auto" w:sz="4" w:space="0"/>
              <w:right w:val="single" w:color="auto" w:sz="4" w:space="0"/>
            </w:tcBorders>
            <w:shd w:val="clear" w:color="auto" w:fill="FFFFFF"/>
            <w:noWrap/>
            <w:vAlign w:val="center"/>
          </w:tcPr>
          <w:p w14:paraId="1C133D4F">
            <w:pPr>
              <w:spacing w:line="240" w:lineRule="auto"/>
              <w:rPr>
                <w:rFonts w:ascii="宋体" w:hAnsi="宋体" w:cs="宋体"/>
                <w:color w:val="000000"/>
                <w:szCs w:val="18"/>
                <w:lang w:val="en-US"/>
              </w:rPr>
            </w:pPr>
            <w:r>
              <w:rPr>
                <w:rFonts w:ascii="宋体" w:hAnsi="宋体" w:cs="宋体"/>
                <w:color w:val="000000"/>
                <w:szCs w:val="18"/>
                <w:lang w:val="en-US"/>
              </w:rPr>
              <w:t>48.00</w:t>
            </w:r>
          </w:p>
        </w:tc>
        <w:tc>
          <w:tcPr>
            <w:tcBorders>
              <w:top w:val="nil"/>
              <w:left w:val="nil"/>
              <w:bottom w:val="single" w:color="auto" w:sz="4" w:space="0"/>
              <w:right w:val="single" w:color="auto" w:sz="4" w:space="0"/>
            </w:tcBorders>
            <w:shd w:val="clear" w:color="auto" w:fill="FFFFFF"/>
            <w:noWrap/>
            <w:vAlign w:val="center"/>
          </w:tcPr>
          <w:p w14:paraId="37E78304">
            <w:pPr>
              <w:spacing w:line="240" w:lineRule="auto"/>
              <w:rPr>
                <w:rFonts w:ascii="宋体" w:hAnsi="宋体" w:cs="宋体"/>
                <w:color w:val="000000"/>
                <w:szCs w:val="18"/>
                <w:lang w:val="en-US"/>
              </w:rPr>
            </w:pPr>
            <w:r>
              <w:rPr>
                <w:rFonts w:ascii="宋体" w:hAnsi="宋体" w:cs="宋体"/>
                <w:color w:val="000000"/>
                <w:szCs w:val="18"/>
                <w:lang w:val="en-US"/>
              </w:rPr>
              <w:t>31.16</w:t>
            </w:r>
          </w:p>
        </w:tc>
      </w:tr>
      <w:tr w14:paraId="023FDEA4">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096547BC">
            <w:pPr>
              <w:spacing w:line="240" w:lineRule="auto"/>
              <w:rPr>
                <w:rFonts w:ascii="宋体" w:hAnsi="宋体" w:cs="宋体"/>
                <w:color w:val="0000FF"/>
                <w:szCs w:val="18"/>
                <w:lang w:val="en-US"/>
              </w:rPr>
            </w:pPr>
            <w:r>
              <w:rPr>
                <w:rFonts w:ascii="宋体" w:hAnsi="宋体" w:cs="宋体"/>
                <w:color w:val="0000FF"/>
                <w:szCs w:val="18"/>
                <w:lang w:val="en-US"/>
              </w:rPr>
              <w:t xml:space="preserve"> 2002[办公室（2人）]</w:t>
            </w:r>
          </w:p>
        </w:tc>
        <w:tc>
          <w:tcPr>
            <w:tcBorders>
              <w:top w:val="nil"/>
              <w:left w:val="nil"/>
              <w:bottom w:val="single" w:color="auto" w:sz="4" w:space="0"/>
              <w:right w:val="single" w:color="auto" w:sz="4" w:space="0"/>
            </w:tcBorders>
            <w:shd w:val="clear" w:color="auto" w:fill="FFFFFF"/>
            <w:noWrap/>
            <w:vAlign w:val="center"/>
          </w:tcPr>
          <w:p w14:paraId="12920B5F">
            <w:pPr>
              <w:spacing w:line="240" w:lineRule="auto"/>
              <w:rPr>
                <w:rFonts w:ascii="宋体" w:hAnsi="宋体" w:cs="宋体"/>
                <w:color w:val="000000"/>
                <w:szCs w:val="18"/>
                <w:lang w:val="en-US"/>
              </w:rPr>
            </w:pPr>
            <w:r>
              <w:rPr>
                <w:rFonts w:ascii="宋体" w:hAnsi="宋体" w:cs="宋体"/>
                <w:color w:val="000000"/>
                <w:szCs w:val="18"/>
                <w:lang w:val="en-US"/>
              </w:rPr>
              <w:t>88.46</w:t>
            </w:r>
          </w:p>
        </w:tc>
        <w:tc>
          <w:tcPr>
            <w:tcBorders>
              <w:top w:val="nil"/>
              <w:left w:val="nil"/>
              <w:bottom w:val="single" w:color="auto" w:sz="4" w:space="0"/>
              <w:right w:val="single" w:color="auto" w:sz="4" w:space="0"/>
            </w:tcBorders>
            <w:shd w:val="clear" w:color="auto" w:fill="FFFFFF"/>
            <w:noWrap/>
            <w:vAlign w:val="center"/>
          </w:tcPr>
          <w:p w14:paraId="3768F826">
            <w:pPr>
              <w:spacing w:line="240" w:lineRule="auto"/>
              <w:rPr>
                <w:rFonts w:ascii="宋体" w:hAnsi="宋体" w:cs="宋体"/>
                <w:color w:val="000000"/>
                <w:szCs w:val="18"/>
                <w:lang w:val="en-US"/>
              </w:rPr>
            </w:pPr>
            <w:r>
              <w:rPr>
                <w:rFonts w:ascii="宋体" w:hAnsi="宋体" w:cs="宋体"/>
                <w:color w:val="000000"/>
                <w:szCs w:val="18"/>
                <w:lang w:val="en-US"/>
              </w:rPr>
              <w:t>17.50</w:t>
            </w:r>
          </w:p>
        </w:tc>
        <w:tc>
          <w:tcPr>
            <w:tcBorders>
              <w:top w:val="nil"/>
              <w:left w:val="nil"/>
              <w:bottom w:val="single" w:color="auto" w:sz="4" w:space="0"/>
              <w:right w:val="single" w:color="auto" w:sz="4" w:space="0"/>
            </w:tcBorders>
            <w:shd w:val="clear" w:color="auto" w:fill="FFFFFF"/>
            <w:noWrap/>
            <w:vAlign w:val="center"/>
          </w:tcPr>
          <w:p w14:paraId="237B518F">
            <w:pPr>
              <w:spacing w:line="240" w:lineRule="auto"/>
              <w:rPr>
                <w:rFonts w:ascii="宋体" w:hAnsi="宋体" w:cs="宋体"/>
                <w:color w:val="000000"/>
                <w:szCs w:val="18"/>
                <w:lang w:val="en-US"/>
              </w:rPr>
            </w:pPr>
            <w:r>
              <w:rPr>
                <w:rFonts w:ascii="宋体" w:hAnsi="宋体" w:cs="宋体"/>
                <w:color w:val="000000"/>
                <w:szCs w:val="18"/>
                <w:lang w:val="en-US"/>
              </w:rPr>
              <w:t>59.21</w:t>
            </w:r>
          </w:p>
        </w:tc>
      </w:tr>
      <w:tr w14:paraId="284F199C">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2D230DC4">
            <w:pPr>
              <w:spacing w:line="240" w:lineRule="auto"/>
              <w:rPr>
                <w:rFonts w:ascii="宋体" w:hAnsi="宋体" w:cs="宋体"/>
                <w:color w:val="0000FF"/>
                <w:szCs w:val="18"/>
                <w:lang w:val="en-US"/>
              </w:rPr>
            </w:pPr>
            <w:r>
              <w:rPr>
                <w:rFonts w:ascii="宋体" w:hAnsi="宋体" w:cs="宋体"/>
                <w:color w:val="0000FF"/>
                <w:szCs w:val="18"/>
                <w:lang w:val="en-US"/>
              </w:rPr>
              <w:t xml:space="preserve"> 2003[办公室（2人）]</w:t>
            </w:r>
          </w:p>
        </w:tc>
        <w:tc>
          <w:tcPr>
            <w:tcBorders>
              <w:top w:val="nil"/>
              <w:left w:val="nil"/>
              <w:bottom w:val="single" w:color="auto" w:sz="4" w:space="0"/>
              <w:right w:val="single" w:color="auto" w:sz="4" w:space="0"/>
            </w:tcBorders>
            <w:shd w:val="clear" w:color="auto" w:fill="FFFFFF"/>
            <w:noWrap/>
            <w:vAlign w:val="center"/>
          </w:tcPr>
          <w:p w14:paraId="55924FC8">
            <w:pPr>
              <w:spacing w:line="240" w:lineRule="auto"/>
              <w:rPr>
                <w:rFonts w:ascii="宋体" w:hAnsi="宋体" w:cs="宋体"/>
                <w:color w:val="000000"/>
                <w:szCs w:val="18"/>
                <w:lang w:val="en-US"/>
              </w:rPr>
            </w:pPr>
            <w:r>
              <w:rPr>
                <w:rFonts w:ascii="宋体" w:hAnsi="宋体" w:cs="宋体"/>
                <w:color w:val="000000"/>
                <w:szCs w:val="18"/>
                <w:lang w:val="en-US"/>
              </w:rPr>
              <w:t>88.46</w:t>
            </w:r>
          </w:p>
        </w:tc>
        <w:tc>
          <w:tcPr>
            <w:tcBorders>
              <w:top w:val="nil"/>
              <w:left w:val="nil"/>
              <w:bottom w:val="single" w:color="auto" w:sz="4" w:space="0"/>
              <w:right w:val="single" w:color="auto" w:sz="4" w:space="0"/>
            </w:tcBorders>
            <w:shd w:val="clear" w:color="auto" w:fill="FFFFFF"/>
            <w:noWrap/>
            <w:vAlign w:val="center"/>
          </w:tcPr>
          <w:p w14:paraId="25B63702">
            <w:pPr>
              <w:spacing w:line="240" w:lineRule="auto"/>
              <w:rPr>
                <w:rFonts w:ascii="宋体" w:hAnsi="宋体" w:cs="宋体"/>
                <w:color w:val="000000"/>
                <w:szCs w:val="18"/>
                <w:lang w:val="en-US"/>
              </w:rPr>
            </w:pPr>
            <w:r>
              <w:rPr>
                <w:rFonts w:ascii="宋体" w:hAnsi="宋体" w:cs="宋体"/>
                <w:color w:val="000000"/>
                <w:szCs w:val="18"/>
                <w:lang w:val="en-US"/>
              </w:rPr>
              <w:t>17.50</w:t>
            </w:r>
          </w:p>
        </w:tc>
        <w:tc>
          <w:tcPr>
            <w:tcBorders>
              <w:top w:val="nil"/>
              <w:left w:val="nil"/>
              <w:bottom w:val="single" w:color="auto" w:sz="4" w:space="0"/>
              <w:right w:val="single" w:color="auto" w:sz="4" w:space="0"/>
            </w:tcBorders>
            <w:shd w:val="clear" w:color="auto" w:fill="FFFFFF"/>
            <w:noWrap/>
            <w:vAlign w:val="center"/>
          </w:tcPr>
          <w:p w14:paraId="6BCF7512">
            <w:pPr>
              <w:spacing w:line="240" w:lineRule="auto"/>
              <w:rPr>
                <w:rFonts w:ascii="宋体" w:hAnsi="宋体" w:cs="宋体"/>
                <w:color w:val="000000"/>
                <w:szCs w:val="18"/>
                <w:lang w:val="en-US"/>
              </w:rPr>
            </w:pPr>
            <w:r>
              <w:rPr>
                <w:rFonts w:ascii="宋体" w:hAnsi="宋体" w:cs="宋体"/>
                <w:color w:val="000000"/>
                <w:szCs w:val="18"/>
                <w:lang w:val="en-US"/>
              </w:rPr>
              <w:t>33.49</w:t>
            </w:r>
          </w:p>
        </w:tc>
      </w:tr>
      <w:tr w14:paraId="6D217246">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130A2BEE">
            <w:pPr>
              <w:spacing w:line="240" w:lineRule="auto"/>
              <w:rPr>
                <w:rFonts w:ascii="宋体" w:hAnsi="宋体" w:cs="宋体"/>
                <w:color w:val="0000FF"/>
                <w:szCs w:val="18"/>
                <w:lang w:val="en-US"/>
              </w:rPr>
            </w:pPr>
            <w:r>
              <w:rPr>
                <w:rFonts w:ascii="宋体" w:hAnsi="宋体" w:cs="宋体"/>
                <w:color w:val="0000FF"/>
                <w:szCs w:val="18"/>
                <w:lang w:val="en-US"/>
              </w:rPr>
              <w:t xml:space="preserve"> 2004[4#卫]</w:t>
            </w:r>
          </w:p>
        </w:tc>
        <w:tc>
          <w:tcPr>
            <w:tcBorders>
              <w:top w:val="nil"/>
              <w:left w:val="nil"/>
              <w:bottom w:val="single" w:color="auto" w:sz="4" w:space="0"/>
              <w:right w:val="single" w:color="auto" w:sz="4" w:space="0"/>
            </w:tcBorders>
            <w:shd w:val="clear" w:color="auto" w:fill="FFFFFF"/>
            <w:noWrap/>
            <w:vAlign w:val="center"/>
          </w:tcPr>
          <w:p w14:paraId="438FED8D">
            <w:pPr>
              <w:spacing w:line="240" w:lineRule="auto"/>
              <w:rPr>
                <w:rFonts w:ascii="宋体" w:hAnsi="宋体" w:cs="宋体"/>
                <w:color w:val="000000"/>
                <w:szCs w:val="18"/>
                <w:lang w:val="en-US"/>
              </w:rPr>
            </w:pPr>
            <w:r>
              <w:rPr>
                <w:rFonts w:ascii="宋体" w:hAnsi="宋体" w:cs="宋体"/>
                <w:color w:val="000000"/>
                <w:szCs w:val="18"/>
                <w:lang w:val="en-US"/>
              </w:rPr>
              <w:t>9.48</w:t>
            </w:r>
          </w:p>
        </w:tc>
        <w:tc>
          <w:tcPr>
            <w:tcBorders>
              <w:top w:val="nil"/>
              <w:left w:val="nil"/>
              <w:bottom w:val="single" w:color="auto" w:sz="4" w:space="0"/>
              <w:right w:val="single" w:color="auto" w:sz="4" w:space="0"/>
            </w:tcBorders>
            <w:shd w:val="clear" w:color="auto" w:fill="FFFFFF"/>
            <w:noWrap/>
            <w:vAlign w:val="center"/>
          </w:tcPr>
          <w:p w14:paraId="24DA3A8D">
            <w:pPr>
              <w:spacing w:line="240" w:lineRule="auto"/>
              <w:rPr>
                <w:rFonts w:ascii="宋体" w:hAnsi="宋体" w:cs="宋体"/>
                <w:color w:val="000000"/>
                <w:szCs w:val="18"/>
                <w:lang w:val="en-US"/>
              </w:rPr>
            </w:pPr>
            <w:r>
              <w:rPr>
                <w:rFonts w:ascii="宋体" w:hAnsi="宋体" w:cs="宋体"/>
                <w:color w:val="000000"/>
                <w:szCs w:val="18"/>
                <w:lang w:val="en-US"/>
              </w:rPr>
              <w:t>2.08</w:t>
            </w:r>
          </w:p>
        </w:tc>
        <w:tc>
          <w:tcPr>
            <w:tcBorders>
              <w:top w:val="nil"/>
              <w:left w:val="nil"/>
              <w:bottom w:val="single" w:color="auto" w:sz="4" w:space="0"/>
              <w:right w:val="single" w:color="auto" w:sz="4" w:space="0"/>
            </w:tcBorders>
            <w:shd w:val="clear" w:color="auto" w:fill="FFFFFF"/>
            <w:noWrap/>
            <w:vAlign w:val="center"/>
          </w:tcPr>
          <w:p w14:paraId="1D13FF79">
            <w:pPr>
              <w:spacing w:line="240" w:lineRule="auto"/>
              <w:rPr>
                <w:rFonts w:ascii="宋体" w:hAnsi="宋体" w:cs="宋体"/>
                <w:color w:val="000000"/>
                <w:szCs w:val="18"/>
                <w:lang w:val="en-US"/>
              </w:rPr>
            </w:pPr>
            <w:r>
              <w:rPr>
                <w:rFonts w:ascii="宋体" w:hAnsi="宋体" w:cs="宋体"/>
                <w:color w:val="000000"/>
                <w:szCs w:val="18"/>
                <w:lang w:val="en-US"/>
              </w:rPr>
              <w:t>87.69</w:t>
            </w:r>
          </w:p>
        </w:tc>
      </w:tr>
      <w:tr w14:paraId="091CBDB9">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3868DDB6">
            <w:pPr>
              <w:spacing w:line="240" w:lineRule="auto"/>
              <w:rPr>
                <w:rFonts w:ascii="宋体" w:hAnsi="宋体" w:cs="宋体"/>
                <w:color w:val="0000FF"/>
                <w:szCs w:val="18"/>
                <w:lang w:val="en-US"/>
              </w:rPr>
            </w:pPr>
            <w:r>
              <w:rPr>
                <w:rFonts w:ascii="宋体" w:hAnsi="宋体" w:cs="宋体"/>
                <w:color w:val="0000FF"/>
                <w:szCs w:val="18"/>
                <w:lang w:val="en-US"/>
              </w:rPr>
              <w:t xml:space="preserve"> 2005[3#卫]</w:t>
            </w:r>
          </w:p>
        </w:tc>
        <w:tc>
          <w:tcPr>
            <w:tcBorders>
              <w:top w:val="nil"/>
              <w:left w:val="nil"/>
              <w:bottom w:val="single" w:color="auto" w:sz="4" w:space="0"/>
              <w:right w:val="single" w:color="auto" w:sz="4" w:space="0"/>
            </w:tcBorders>
            <w:shd w:val="clear" w:color="auto" w:fill="FFFFFF"/>
            <w:noWrap/>
            <w:vAlign w:val="center"/>
          </w:tcPr>
          <w:p w14:paraId="32032DC4">
            <w:pPr>
              <w:spacing w:line="240" w:lineRule="auto"/>
              <w:rPr>
                <w:rFonts w:ascii="宋体" w:hAnsi="宋体" w:cs="宋体"/>
                <w:color w:val="000000"/>
                <w:szCs w:val="18"/>
                <w:lang w:val="en-US"/>
              </w:rPr>
            </w:pPr>
            <w:r>
              <w:rPr>
                <w:rFonts w:ascii="宋体" w:hAnsi="宋体" w:cs="宋体"/>
                <w:color w:val="000000"/>
                <w:szCs w:val="18"/>
                <w:lang w:val="en-US"/>
              </w:rPr>
              <w:t>9.48</w:t>
            </w:r>
          </w:p>
        </w:tc>
        <w:tc>
          <w:tcPr>
            <w:tcBorders>
              <w:top w:val="nil"/>
              <w:left w:val="nil"/>
              <w:bottom w:val="single" w:color="auto" w:sz="4" w:space="0"/>
              <w:right w:val="single" w:color="auto" w:sz="4" w:space="0"/>
            </w:tcBorders>
            <w:shd w:val="clear" w:color="auto" w:fill="FFFFFF"/>
            <w:noWrap/>
            <w:vAlign w:val="center"/>
          </w:tcPr>
          <w:p w14:paraId="13407C8D">
            <w:pPr>
              <w:spacing w:line="240" w:lineRule="auto"/>
              <w:rPr>
                <w:rFonts w:ascii="宋体" w:hAnsi="宋体" w:cs="宋体"/>
                <w:color w:val="000000"/>
                <w:szCs w:val="18"/>
                <w:lang w:val="en-US"/>
              </w:rPr>
            </w:pPr>
            <w:r>
              <w:rPr>
                <w:rFonts w:ascii="宋体" w:hAnsi="宋体" w:cs="宋体"/>
                <w:color w:val="000000"/>
                <w:szCs w:val="18"/>
                <w:lang w:val="en-US"/>
              </w:rPr>
              <w:t>2.08</w:t>
            </w:r>
          </w:p>
        </w:tc>
        <w:tc>
          <w:tcPr>
            <w:tcBorders>
              <w:top w:val="nil"/>
              <w:left w:val="nil"/>
              <w:bottom w:val="single" w:color="auto" w:sz="4" w:space="0"/>
              <w:right w:val="single" w:color="auto" w:sz="4" w:space="0"/>
            </w:tcBorders>
            <w:shd w:val="clear" w:color="auto" w:fill="FFFFFF"/>
            <w:noWrap/>
            <w:vAlign w:val="center"/>
          </w:tcPr>
          <w:p w14:paraId="5F2E63F1">
            <w:pPr>
              <w:spacing w:line="240" w:lineRule="auto"/>
              <w:rPr>
                <w:rFonts w:ascii="宋体" w:hAnsi="宋体" w:cs="宋体"/>
                <w:color w:val="000000"/>
                <w:szCs w:val="18"/>
                <w:lang w:val="en-US"/>
              </w:rPr>
            </w:pPr>
            <w:r>
              <w:rPr>
                <w:rFonts w:ascii="宋体" w:hAnsi="宋体" w:cs="宋体"/>
                <w:color w:val="000000"/>
                <w:szCs w:val="18"/>
                <w:lang w:val="en-US"/>
              </w:rPr>
              <w:t>163.36</w:t>
            </w:r>
          </w:p>
        </w:tc>
      </w:tr>
      <w:tr w14:paraId="6657B071">
        <w:tblPrEx>
          <w:tblCellMar>
            <w:top w:w="0" w:type="dxa"/>
            <w:left w:w="108" w:type="dxa"/>
            <w:bottom w:w="0" w:type="dxa"/>
            <w:right w:w="108" w:type="dxa"/>
          </w:tblCellMar>
        </w:tblPrEx>
        <w:trPr>
          <w:trHeight w:val="270" w:hRule="atLeast"/>
        </w:trPr>
        <w:tc>
          <w:tcPr>
            <w:tcBorders>
              <w:top w:val="nil"/>
              <w:left w:val="single" w:color="auto" w:sz="4" w:space="0"/>
              <w:bottom w:val="single" w:color="auto" w:sz="4" w:space="0"/>
              <w:right w:val="single" w:color="auto" w:sz="4" w:space="0"/>
            </w:tcBorders>
            <w:shd w:val="clear" w:color="auto" w:fill="FFFFFF"/>
            <w:noWrap/>
            <w:vAlign w:val="center"/>
          </w:tcPr>
          <w:p w14:paraId="5242D7AC">
            <w:pPr>
              <w:spacing w:line="240" w:lineRule="auto"/>
              <w:rPr>
                <w:rFonts w:ascii="宋体" w:hAnsi="宋体" w:cs="宋体"/>
                <w:color w:val="0000FF"/>
                <w:szCs w:val="18"/>
                <w:lang w:val="en-US"/>
              </w:rPr>
            </w:pPr>
            <w:r>
              <w:rPr>
                <w:rFonts w:ascii="宋体" w:hAnsi="宋体" w:cs="宋体"/>
                <w:color w:val="0000FF"/>
                <w:szCs w:val="18"/>
                <w:lang w:val="en-US"/>
              </w:rPr>
              <w:t xml:space="preserve"> 3层</w:t>
            </w:r>
          </w:p>
        </w:tc>
        <w:tc>
          <w:tcPr>
            <w:tcBorders>
              <w:top w:val="nil"/>
              <w:left w:val="nil"/>
              <w:bottom w:val="single" w:color="auto" w:sz="4" w:space="0"/>
              <w:right w:val="single" w:color="auto" w:sz="4" w:space="0"/>
            </w:tcBorders>
            <w:shd w:val="clear" w:color="auto" w:fill="FFFFFF"/>
            <w:noWrap/>
            <w:vAlign w:val="center"/>
          </w:tcPr>
          <w:p w14:paraId="3F9F2C73">
            <w:pPr>
              <w:spacing w:line="240" w:lineRule="auto"/>
              <w:rPr>
                <w:rFonts w:ascii="宋体" w:hAnsi="宋体" w:cs="宋体"/>
                <w:color w:val="000000"/>
                <w:szCs w:val="18"/>
                <w:lang w:val="en-US"/>
              </w:rPr>
            </w:pPr>
          </w:p>
        </w:tc>
        <w:tc>
          <w:tcPr>
            <w:tcBorders>
              <w:top w:val="nil"/>
              <w:left w:val="nil"/>
              <w:bottom w:val="single" w:color="auto" w:sz="4" w:space="0"/>
              <w:right w:val="single" w:color="auto" w:sz="4" w:space="0"/>
            </w:tcBorders>
            <w:shd w:val="clear" w:color="auto" w:fill="FFFFFF"/>
            <w:noWrap/>
            <w:vAlign w:val="center"/>
          </w:tcPr>
          <w:p w14:paraId="0793C7A7">
            <w:pPr>
              <w:spacing w:line="240" w:lineRule="auto"/>
              <w:rPr>
                <w:rFonts w:ascii="宋体" w:hAnsi="宋体" w:cs="宋体"/>
                <w:color w:val="000000"/>
                <w:szCs w:val="18"/>
                <w:lang w:val="en-US"/>
              </w:rPr>
            </w:pPr>
          </w:p>
        </w:tc>
        <w:tc>
          <w:tcPr>
            <w:tcBorders>
              <w:top w:val="nil"/>
              <w:left w:val="nil"/>
              <w:bottom w:val="single" w:color="auto" w:sz="4" w:space="0"/>
              <w:right w:val="single" w:color="auto" w:sz="4" w:space="0"/>
            </w:tcBorders>
            <w:shd w:val="clear" w:color="auto" w:fill="FFFFFF"/>
            <w:noWrap/>
            <w:vAlign w:val="center"/>
          </w:tcPr>
          <w:p w14:paraId="71C8671C">
            <w:pPr>
              <w:spacing w:line="240" w:lineRule="auto"/>
              <w:rPr>
                <w:rFonts w:ascii="宋体" w:hAnsi="宋体" w:cs="宋体"/>
                <w:color w:val="000000"/>
                <w:szCs w:val="18"/>
                <w:lang w:val="en-US"/>
              </w:rPr>
            </w:pPr>
          </w:p>
        </w:tc>
      </w:tr>
      <w:bookmarkEnd w:id="28"/>
    </w:tbl>
    <w:p w14:paraId="129810F6">
      <w:pPr>
        <w:pStyle w:val="3"/>
        <w:ind w:firstLine="0" w:firstLineChars="0"/>
        <w:rPr>
          <w:kern w:val="2"/>
        </w:rPr>
        <w:sectPr>
          <w:type w:val="continuous"/>
          <w:pgSz w:w="11906" w:h="16838"/>
          <w:pgMar w:top="1440" w:right="991" w:bottom="1440" w:left="1418" w:header="851" w:footer="992" w:gutter="0"/>
          <w:cols w:space="425" w:num="2"/>
          <w:docGrid w:type="lines" w:linePitch="312" w:charSpace="0"/>
        </w:sectPr>
      </w:pPr>
    </w:p>
    <w:p w14:paraId="11F46604">
      <w:pPr>
        <w:pStyle w:val="3"/>
        <w:ind w:firstLine="0" w:firstLineChars="0"/>
        <w:rPr>
          <w:kern w:val="2"/>
        </w:rPr>
      </w:pPr>
    </w:p>
    <w:p w14:paraId="0D5A3800">
      <w:pPr>
        <w:pStyle w:val="2"/>
        <w:rPr>
          <w:kern w:val="2"/>
        </w:rPr>
      </w:pPr>
      <w:r>
        <w:rPr>
          <w:rFonts w:hint="eastAsia"/>
          <w:kern w:val="2"/>
        </w:rPr>
        <w:t>结论</w:t>
      </w:r>
    </w:p>
    <w:p w14:paraId="7B314A7C">
      <w:pPr>
        <w:pStyle w:val="3"/>
        <w:ind w:left="360" w:firstLine="0" w:firstLineChars="0"/>
        <w:rPr>
          <w:kern w:val="2"/>
          <w:szCs w:val="24"/>
          <w:lang w:val="en-US"/>
        </w:rPr>
      </w:pPr>
      <w:bookmarkStart w:id="29" w:name="工程名称5"/>
      <w:bookmarkEnd w:id="29"/>
      <w:bookmarkStart w:id="30" w:name="总结论"/>
      <w:r>
        <w:rPr>
          <w:rFonts w:hint="eastAsia"/>
          <w:kern w:val="2"/>
          <w:szCs w:val="24"/>
          <w:lang w:val="en-US"/>
        </w:rPr>
        <w:t>该建筑</w:t>
      </w:r>
      <w:r>
        <w:rPr>
          <w:rFonts w:hint="eastAsia"/>
        </w:rPr>
        <w:t>主要功能房间</w:t>
      </w:r>
      <w:bookmarkStart w:id="31" w:name="最小比例值"/>
      <w:r>
        <w:rPr>
          <w:rFonts w:hint="eastAsia"/>
          <w:kern w:val="2"/>
          <w:szCs w:val="24"/>
          <w:lang w:val="en-US"/>
        </w:rPr>
        <w:t>换气次数</w:t>
      </w:r>
      <w:bookmarkEnd w:id="31"/>
      <w:r>
        <w:rPr>
          <w:rFonts w:hint="eastAsia"/>
          <w:kern w:val="2"/>
          <w:szCs w:val="24"/>
          <w:lang w:val="en-US"/>
        </w:rPr>
        <w:t>大于2次</w:t>
      </w:r>
      <w:r>
        <w:rPr>
          <w:rFonts w:hint="eastAsia"/>
          <w:b/>
          <w:kern w:val="2"/>
          <w:szCs w:val="24"/>
          <w:lang w:val="en-US"/>
        </w:rPr>
        <w:t>/</w:t>
      </w:r>
      <w:r>
        <w:rPr>
          <w:rFonts w:hint="eastAsia"/>
          <w:kern w:val="2"/>
          <w:szCs w:val="24"/>
          <w:lang w:val="en-US"/>
        </w:rPr>
        <w:t>h的面积比例</w:t>
      </w:r>
      <w:r>
        <w:rPr>
          <w:kern w:val="2"/>
          <w:szCs w:val="24"/>
          <w:lang w:val="en-US"/>
        </w:rPr>
        <w:t>为</w:t>
      </w:r>
      <w:bookmarkStart w:id="32" w:name="面积比2"/>
      <w:r>
        <w:rPr>
          <w:rFonts w:hint="eastAsia"/>
          <w:kern w:val="2"/>
          <w:szCs w:val="24"/>
          <w:lang w:val="en-US"/>
        </w:rPr>
        <w:t>98.45</w:t>
      </w:r>
      <w:bookmarkEnd w:id="32"/>
      <w:r>
        <w:rPr>
          <w:kern w:val="2"/>
          <w:szCs w:val="24"/>
          <w:lang w:val="en-US"/>
        </w:rPr>
        <w:t>%</w:t>
      </w:r>
      <w:r>
        <w:rPr>
          <w:rFonts w:hint="eastAsia"/>
          <w:kern w:val="2"/>
          <w:szCs w:val="24"/>
          <w:lang w:val="en-US"/>
        </w:rPr>
        <w:t>，</w:t>
      </w:r>
      <w:bookmarkEnd w:id="30"/>
      <w:r>
        <w:rPr>
          <w:rFonts w:hint="eastAsia"/>
          <w:kern w:val="2"/>
          <w:szCs w:val="24"/>
          <w:lang w:val="en-US"/>
        </w:rPr>
        <w:t>按照绿标5.2.10条款</w:t>
      </w:r>
      <w:r>
        <w:rPr>
          <w:kern w:val="2"/>
          <w:szCs w:val="24"/>
          <w:lang w:val="en-US"/>
        </w:rPr>
        <w:t>要求得</w:t>
      </w:r>
      <w:bookmarkStart w:id="33" w:name="得分"/>
      <w:r>
        <w:rPr>
          <w:rFonts w:hint="eastAsia"/>
          <w:kern w:val="2"/>
          <w:szCs w:val="24"/>
          <w:lang w:val="en-US"/>
        </w:rPr>
        <w:t>7.0</w:t>
      </w:r>
      <w:bookmarkEnd w:id="33"/>
      <w:r>
        <w:rPr>
          <w:rFonts w:hint="eastAsia"/>
          <w:kern w:val="2"/>
          <w:szCs w:val="24"/>
          <w:lang w:val="en-US"/>
        </w:rPr>
        <w:t>分。</w:t>
      </w:r>
    </w:p>
    <w:p w14:paraId="54831794">
      <w:pPr>
        <w:rPr>
          <w:lang w:val="en-US"/>
        </w:rPr>
      </w:pPr>
    </w:p>
    <w:p w14:paraId="59996C78">
      <w:pPr>
        <w:rPr>
          <w:lang w:val="en-US"/>
        </w:rPr>
      </w:pPr>
    </w:p>
    <w:sectPr>
      <w:type w:val="continuous"/>
      <w:pgSz w:w="11906" w:h="16838"/>
      <w:pgMar w:top="1440" w:right="991" w:bottom="1440"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700E6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04EB0CA0">
          <w:pPr>
            <w:pStyle w:val="13"/>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19"/>
              <w:rFonts w:asciiTheme="minorEastAsia" w:hAnsiTheme="minorEastAsia" w:eastAsiaTheme="minorEastAsia"/>
              <w:sz w:val="20"/>
              <w:szCs w:val="21"/>
            </w:rPr>
            <w:t>http://www.gbsware.cn/</w:t>
          </w:r>
          <w:r>
            <w:rPr>
              <w:rStyle w:val="19"/>
              <w:rFonts w:asciiTheme="minorEastAsia" w:hAnsiTheme="minorEastAsia" w:eastAsiaTheme="minorEastAsia"/>
              <w:sz w:val="20"/>
              <w:szCs w:val="21"/>
            </w:rPr>
            <w:fldChar w:fldCharType="end"/>
          </w:r>
        </w:p>
      </w:tc>
      <w:tc>
        <w:tcPr>
          <w:tcW w:w="3020" w:type="dxa"/>
        </w:tcPr>
        <w:p w14:paraId="03308FFF">
          <w:pPr>
            <w:pStyle w:val="13"/>
            <w:jc w:val="center"/>
            <w:rPr>
              <w:rFonts w:asciiTheme="minorEastAsia" w:hAnsiTheme="minorEastAsia" w:eastAsiaTheme="minorEastAsia"/>
              <w:sz w:val="20"/>
              <w:szCs w:val="21"/>
            </w:rPr>
          </w:pPr>
          <w:sdt>
            <w:sdtPr>
              <w:rPr>
                <w:sz w:val="20"/>
              </w:rPr>
              <w:id w:val="1728636285"/>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3</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3</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2FAD7525">
          <w:pPr>
            <w:pStyle w:val="13"/>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ENT2023</w:t>
          </w:r>
        </w:p>
      </w:tc>
    </w:tr>
  </w:tbl>
  <w:p w14:paraId="3FCFD0A0">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D1A5D">
    <w:pPr>
      <w:pStyle w:val="14"/>
      <w:spacing w:line="240" w:lineRule="atLeast"/>
      <w:jc w:val="left"/>
      <w:rPr>
        <w:lang w:val="en-US"/>
      </w:rPr>
    </w:pPr>
    <w:r>
      <w:rPr>
        <w:lang w:val="en-US"/>
      </w:rPr>
      <w:drawing>
        <wp:inline distT="0" distB="0" distL="0" distR="0">
          <wp:extent cx="866140" cy="251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lang w:val="en-US"/>
      </w:rPr>
      <w:ptab w:relativeTo="margin" w:alignment="center" w:leader="none"/>
    </w:r>
    <w:r>
      <w:rPr>
        <w:lang w:val="en-US"/>
      </w:rPr>
      <w:ptab w:relativeTo="margin" w:alignment="right" w:leader="none"/>
    </w:r>
    <w:r>
      <w:rPr>
        <w:rFonts w:hint="eastAsia"/>
        <w:lang w:val="en-US"/>
      </w:rPr>
      <w:t>公共</w:t>
    </w:r>
    <w:r>
      <w:rPr>
        <w:lang w:val="en-US"/>
      </w:rPr>
      <w:t>建筑换气次数计算书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sz w:val="28"/>
        <w:szCs w:val="28"/>
      </w:rPr>
    </w:lvl>
    <w:lvl w:ilvl="1" w:tentative="0">
      <w:start w:val="1"/>
      <w:numFmt w:val="decimal"/>
      <w:pStyle w:val="4"/>
      <w:lvlText w:val="%1.%2"/>
      <w:lvlJc w:val="left"/>
      <w:pPr>
        <w:tabs>
          <w:tab w:val="left" w:pos="1146"/>
        </w:tabs>
        <w:ind w:left="1146"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xZjUyZTk5NDRhZGUwN2M3ZjJjZTc5OGIxOTk0M2IifQ=="/>
  </w:docVars>
  <w:rsids>
    <w:rsidRoot w:val="3B467650"/>
    <w:rsid w:val="00000C1C"/>
    <w:rsid w:val="00032830"/>
    <w:rsid w:val="00036F88"/>
    <w:rsid w:val="00063EF1"/>
    <w:rsid w:val="000A23A3"/>
    <w:rsid w:val="000B33ED"/>
    <w:rsid w:val="000C30C7"/>
    <w:rsid w:val="000C7D8C"/>
    <w:rsid w:val="0010146B"/>
    <w:rsid w:val="00106F82"/>
    <w:rsid w:val="001123CA"/>
    <w:rsid w:val="0014719B"/>
    <w:rsid w:val="00167687"/>
    <w:rsid w:val="001C3C21"/>
    <w:rsid w:val="001D7D45"/>
    <w:rsid w:val="001E25A9"/>
    <w:rsid w:val="002402D4"/>
    <w:rsid w:val="002436EA"/>
    <w:rsid w:val="00256F52"/>
    <w:rsid w:val="00265BA5"/>
    <w:rsid w:val="002945D5"/>
    <w:rsid w:val="002A6472"/>
    <w:rsid w:val="002D486B"/>
    <w:rsid w:val="0038057B"/>
    <w:rsid w:val="00390600"/>
    <w:rsid w:val="00431D13"/>
    <w:rsid w:val="004513F7"/>
    <w:rsid w:val="00457EFE"/>
    <w:rsid w:val="00460AA8"/>
    <w:rsid w:val="004946E4"/>
    <w:rsid w:val="0051229F"/>
    <w:rsid w:val="005920CA"/>
    <w:rsid w:val="005C6D1E"/>
    <w:rsid w:val="005F5C93"/>
    <w:rsid w:val="005F6099"/>
    <w:rsid w:val="00646B82"/>
    <w:rsid w:val="00670BE4"/>
    <w:rsid w:val="00694BF6"/>
    <w:rsid w:val="006B226B"/>
    <w:rsid w:val="006D5658"/>
    <w:rsid w:val="007109AF"/>
    <w:rsid w:val="0071743A"/>
    <w:rsid w:val="00717EFF"/>
    <w:rsid w:val="00772B34"/>
    <w:rsid w:val="00775530"/>
    <w:rsid w:val="007D7DA5"/>
    <w:rsid w:val="008E189C"/>
    <w:rsid w:val="00927560"/>
    <w:rsid w:val="009727E4"/>
    <w:rsid w:val="009A4679"/>
    <w:rsid w:val="009F7F00"/>
    <w:rsid w:val="00A37C21"/>
    <w:rsid w:val="00A87B3B"/>
    <w:rsid w:val="00AA2A10"/>
    <w:rsid w:val="00AC7365"/>
    <w:rsid w:val="00B35FE6"/>
    <w:rsid w:val="00B75415"/>
    <w:rsid w:val="00BA40F1"/>
    <w:rsid w:val="00BB00D4"/>
    <w:rsid w:val="00BB06E3"/>
    <w:rsid w:val="00C03E74"/>
    <w:rsid w:val="00C9229B"/>
    <w:rsid w:val="00CF1333"/>
    <w:rsid w:val="00D116EB"/>
    <w:rsid w:val="00D160E9"/>
    <w:rsid w:val="00D25428"/>
    <w:rsid w:val="00D2798E"/>
    <w:rsid w:val="00D776D5"/>
    <w:rsid w:val="00DA5C56"/>
    <w:rsid w:val="00DC1940"/>
    <w:rsid w:val="00DC1ED2"/>
    <w:rsid w:val="00E513D4"/>
    <w:rsid w:val="00F138C8"/>
    <w:rsid w:val="00F31AAA"/>
    <w:rsid w:val="00F541C9"/>
    <w:rsid w:val="00F7186B"/>
    <w:rsid w:val="00F74333"/>
    <w:rsid w:val="00FC1684"/>
    <w:rsid w:val="00FD73EC"/>
    <w:rsid w:val="00FF70E7"/>
    <w:rsid w:val="26E4166D"/>
    <w:rsid w:val="373A5357"/>
    <w:rsid w:val="3B467650"/>
    <w:rsid w:val="64C47B63"/>
    <w:rsid w:val="67B1176B"/>
    <w:rsid w:val="717D0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exact"/>
    </w:pPr>
    <w:rPr>
      <w:rFonts w:ascii="Times New Roman" w:hAnsi="Times New Roman" w:eastAsia="宋体" w:cs="Times New Roman"/>
      <w:sz w:val="18"/>
      <w:lang w:val="en-GB" w:eastAsia="zh-CN" w:bidi="ar-SA"/>
    </w:rPr>
  </w:style>
  <w:style w:type="paragraph" w:styleId="2">
    <w:name w:val="heading 1"/>
    <w:next w:val="3"/>
    <w:link w:val="20"/>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1"/>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22"/>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23"/>
    <w:qFormat/>
    <w:uiPriority w:val="0"/>
    <w:pPr>
      <w:keepNext/>
      <w:numPr>
        <w:ilvl w:val="3"/>
        <w:numId w:val="1"/>
      </w:numPr>
      <w:spacing w:before="240" w:after="60"/>
      <w:outlineLvl w:val="3"/>
    </w:pPr>
    <w:rPr>
      <w:b/>
      <w:bCs/>
      <w:sz w:val="21"/>
      <w:szCs w:val="28"/>
    </w:rPr>
  </w:style>
  <w:style w:type="paragraph" w:styleId="7">
    <w:name w:val="heading 5"/>
    <w:basedOn w:val="1"/>
    <w:next w:val="1"/>
    <w:link w:val="24"/>
    <w:qFormat/>
    <w:uiPriority w:val="0"/>
    <w:pPr>
      <w:numPr>
        <w:ilvl w:val="4"/>
        <w:numId w:val="1"/>
      </w:numPr>
      <w:spacing w:before="240" w:after="60"/>
      <w:outlineLvl w:val="4"/>
    </w:pPr>
    <w:rPr>
      <w:b/>
      <w:bCs/>
      <w:iCs/>
      <w:sz w:val="21"/>
      <w:szCs w:val="26"/>
    </w:rPr>
  </w:style>
  <w:style w:type="paragraph" w:styleId="8">
    <w:name w:val="heading 6"/>
    <w:basedOn w:val="1"/>
    <w:next w:val="1"/>
    <w:link w:val="25"/>
    <w:qFormat/>
    <w:uiPriority w:val="0"/>
    <w:pPr>
      <w:numPr>
        <w:ilvl w:val="5"/>
        <w:numId w:val="1"/>
      </w:numPr>
      <w:spacing w:before="240" w:after="60"/>
      <w:outlineLvl w:val="5"/>
    </w:pPr>
    <w:rPr>
      <w:b/>
      <w:bCs/>
      <w:sz w:val="21"/>
      <w:szCs w:val="22"/>
    </w:rPr>
  </w:style>
  <w:style w:type="paragraph" w:styleId="9">
    <w:name w:val="heading 7"/>
    <w:basedOn w:val="1"/>
    <w:next w:val="1"/>
    <w:link w:val="26"/>
    <w:qFormat/>
    <w:uiPriority w:val="0"/>
    <w:pPr>
      <w:numPr>
        <w:ilvl w:val="6"/>
        <w:numId w:val="1"/>
      </w:numPr>
      <w:spacing w:before="240" w:after="60"/>
      <w:outlineLvl w:val="6"/>
    </w:pPr>
    <w:rPr>
      <w:sz w:val="24"/>
      <w:szCs w:val="24"/>
    </w:rPr>
  </w:style>
  <w:style w:type="paragraph" w:styleId="10">
    <w:name w:val="heading 8"/>
    <w:basedOn w:val="1"/>
    <w:next w:val="1"/>
    <w:link w:val="27"/>
    <w:qFormat/>
    <w:uiPriority w:val="0"/>
    <w:pPr>
      <w:numPr>
        <w:ilvl w:val="7"/>
        <w:numId w:val="1"/>
      </w:numPr>
      <w:spacing w:before="240" w:after="60"/>
      <w:outlineLvl w:val="7"/>
    </w:pPr>
    <w:rPr>
      <w:i/>
      <w:iCs/>
      <w:sz w:val="24"/>
      <w:szCs w:val="24"/>
    </w:rPr>
  </w:style>
  <w:style w:type="paragraph" w:styleId="11">
    <w:name w:val="heading 9"/>
    <w:basedOn w:val="1"/>
    <w:next w:val="1"/>
    <w:link w:val="28"/>
    <w:qFormat/>
    <w:uiPriority w:val="0"/>
    <w:pPr>
      <w:numPr>
        <w:ilvl w:val="8"/>
        <w:numId w:val="1"/>
      </w:numPr>
      <w:spacing w:before="240" w:after="60"/>
      <w:outlineLvl w:val="8"/>
    </w:pPr>
    <w:rPr>
      <w:rFonts w:ascii="Arial" w:hAnsi="Arial" w:cs="Arial"/>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Balloon Text"/>
    <w:basedOn w:val="1"/>
    <w:link w:val="31"/>
    <w:semiHidden/>
    <w:unhideWhenUsed/>
    <w:qFormat/>
    <w:uiPriority w:val="99"/>
    <w:pPr>
      <w:spacing w:line="240" w:lineRule="auto"/>
    </w:pPr>
    <w:rPr>
      <w:szCs w:val="18"/>
    </w:rPr>
  </w:style>
  <w:style w:type="paragraph" w:styleId="13">
    <w:name w:val="footer"/>
    <w:basedOn w:val="1"/>
    <w:link w:val="30"/>
    <w:qFormat/>
    <w:uiPriority w:val="99"/>
    <w:pPr>
      <w:tabs>
        <w:tab w:val="center" w:pos="4153"/>
        <w:tab w:val="right" w:pos="8306"/>
      </w:tabs>
      <w:snapToGrid w:val="0"/>
    </w:pPr>
    <w:rPr>
      <w:szCs w:val="18"/>
    </w:rPr>
  </w:style>
  <w:style w:type="paragraph" w:styleId="14">
    <w:name w:val="header"/>
    <w:basedOn w:val="1"/>
    <w:link w:val="29"/>
    <w:qFormat/>
    <w:uiPriority w:val="99"/>
    <w:pPr>
      <w:pBdr>
        <w:bottom w:val="single" w:color="auto" w:sz="6" w:space="1"/>
      </w:pBdr>
      <w:tabs>
        <w:tab w:val="center" w:pos="4153"/>
        <w:tab w:val="right" w:pos="8306"/>
      </w:tabs>
      <w:snapToGrid w:val="0"/>
      <w:jc w:val="center"/>
    </w:pPr>
    <w:rPr>
      <w:szCs w:val="18"/>
    </w:rPr>
  </w:style>
  <w:style w:type="paragraph" w:styleId="15">
    <w:name w:val="toc 1"/>
    <w:basedOn w:val="1"/>
    <w:next w:val="1"/>
    <w:qFormat/>
    <w:uiPriority w:val="39"/>
    <w:pPr>
      <w:tabs>
        <w:tab w:val="left" w:leader="dot" w:pos="180"/>
        <w:tab w:val="left" w:pos="420"/>
        <w:tab w:val="right" w:leader="dot" w:pos="9360"/>
      </w:tabs>
    </w:pPr>
    <w:rPr>
      <w:b/>
      <w:bCs/>
      <w:kern w:val="2"/>
      <w:sz w:val="21"/>
      <w:szCs w:val="24"/>
      <w:lang w:val="en-US"/>
    </w:rPr>
  </w:style>
  <w:style w:type="table" w:styleId="17">
    <w:name w:val="Table Grid"/>
    <w:basedOn w:val="16"/>
    <w:qFormat/>
    <w:uiPriority w:val="0"/>
    <w:pPr>
      <w:spacing w:line="360" w:lineRule="exact"/>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customStyle="1" w:styleId="20">
    <w:name w:val="标题 1 Char"/>
    <w:link w:val="2"/>
    <w:qFormat/>
    <w:uiPriority w:val="0"/>
    <w:rPr>
      <w:rFonts w:ascii="Times New Roman" w:hAnsi="Times New Roman" w:eastAsia="宋体" w:cs="Times New Roman"/>
      <w:b/>
      <w:bCs/>
      <w:kern w:val="32"/>
      <w:sz w:val="28"/>
      <w:szCs w:val="28"/>
    </w:rPr>
  </w:style>
  <w:style w:type="character" w:customStyle="1" w:styleId="21">
    <w:name w:val="标题 2 Char"/>
    <w:link w:val="4"/>
    <w:qFormat/>
    <w:uiPriority w:val="0"/>
    <w:rPr>
      <w:rFonts w:ascii="宋体" w:hAnsi="Times New Roman" w:eastAsia="宋体" w:cs="Arial"/>
      <w:b/>
      <w:bCs/>
      <w:iCs/>
      <w:color w:val="000000"/>
      <w:kern w:val="0"/>
      <w:sz w:val="24"/>
      <w:szCs w:val="24"/>
    </w:rPr>
  </w:style>
  <w:style w:type="character" w:customStyle="1" w:styleId="22">
    <w:name w:val="标题 3 Char"/>
    <w:link w:val="5"/>
    <w:qFormat/>
    <w:uiPriority w:val="0"/>
    <w:rPr>
      <w:rFonts w:ascii="宋体" w:hAnsi="宋体" w:eastAsia="宋体" w:cs="Arial"/>
      <w:b/>
      <w:bCs/>
      <w:kern w:val="0"/>
      <w:szCs w:val="21"/>
    </w:rPr>
  </w:style>
  <w:style w:type="character" w:customStyle="1" w:styleId="23">
    <w:name w:val="标题 4 Char"/>
    <w:link w:val="6"/>
    <w:qFormat/>
    <w:uiPriority w:val="0"/>
    <w:rPr>
      <w:rFonts w:ascii="Times New Roman" w:hAnsi="Times New Roman" w:eastAsia="宋体" w:cs="Times New Roman"/>
      <w:b/>
      <w:bCs/>
      <w:kern w:val="0"/>
      <w:szCs w:val="28"/>
      <w:lang w:val="en-GB"/>
    </w:rPr>
  </w:style>
  <w:style w:type="character" w:customStyle="1" w:styleId="24">
    <w:name w:val="标题 5 Char"/>
    <w:link w:val="7"/>
    <w:qFormat/>
    <w:uiPriority w:val="0"/>
    <w:rPr>
      <w:rFonts w:ascii="Times New Roman" w:hAnsi="Times New Roman" w:eastAsia="宋体" w:cs="Times New Roman"/>
      <w:b/>
      <w:bCs/>
      <w:iCs/>
      <w:kern w:val="0"/>
      <w:szCs w:val="26"/>
      <w:lang w:val="en-GB"/>
    </w:rPr>
  </w:style>
  <w:style w:type="character" w:customStyle="1" w:styleId="25">
    <w:name w:val="标题 6 Char"/>
    <w:link w:val="8"/>
    <w:qFormat/>
    <w:uiPriority w:val="0"/>
    <w:rPr>
      <w:rFonts w:ascii="Times New Roman" w:hAnsi="Times New Roman" w:eastAsia="宋体" w:cs="Times New Roman"/>
      <w:b/>
      <w:bCs/>
      <w:kern w:val="0"/>
      <w:lang w:val="en-GB"/>
    </w:rPr>
  </w:style>
  <w:style w:type="character" w:customStyle="1" w:styleId="26">
    <w:name w:val="标题 7 Char"/>
    <w:link w:val="9"/>
    <w:qFormat/>
    <w:uiPriority w:val="0"/>
    <w:rPr>
      <w:rFonts w:ascii="Times New Roman" w:hAnsi="Times New Roman" w:eastAsia="宋体" w:cs="Times New Roman"/>
      <w:kern w:val="0"/>
      <w:sz w:val="24"/>
      <w:szCs w:val="24"/>
      <w:lang w:val="en-GB"/>
    </w:rPr>
  </w:style>
  <w:style w:type="character" w:customStyle="1" w:styleId="27">
    <w:name w:val="标题 8 Char"/>
    <w:link w:val="10"/>
    <w:qFormat/>
    <w:uiPriority w:val="0"/>
    <w:rPr>
      <w:rFonts w:ascii="Times New Roman" w:hAnsi="Times New Roman" w:eastAsia="宋体" w:cs="Times New Roman"/>
      <w:i/>
      <w:iCs/>
      <w:kern w:val="0"/>
      <w:sz w:val="24"/>
      <w:szCs w:val="24"/>
      <w:lang w:val="en-GB"/>
    </w:rPr>
  </w:style>
  <w:style w:type="character" w:customStyle="1" w:styleId="28">
    <w:name w:val="标题 9 Char"/>
    <w:link w:val="11"/>
    <w:qFormat/>
    <w:uiPriority w:val="0"/>
    <w:rPr>
      <w:rFonts w:ascii="Arial" w:hAnsi="Arial" w:eastAsia="宋体" w:cs="Arial"/>
      <w:kern w:val="0"/>
      <w:sz w:val="22"/>
      <w:lang w:val="en-GB"/>
    </w:rPr>
  </w:style>
  <w:style w:type="character" w:customStyle="1" w:styleId="29">
    <w:name w:val="页眉 Char"/>
    <w:link w:val="14"/>
    <w:qFormat/>
    <w:uiPriority w:val="99"/>
    <w:rPr>
      <w:rFonts w:ascii="Times New Roman" w:hAnsi="Times New Roman" w:eastAsia="宋体" w:cs="Times New Roman"/>
      <w:kern w:val="0"/>
      <w:sz w:val="18"/>
      <w:szCs w:val="18"/>
      <w:lang w:val="en-GB"/>
    </w:rPr>
  </w:style>
  <w:style w:type="character" w:customStyle="1" w:styleId="30">
    <w:name w:val="页脚 Char"/>
    <w:link w:val="13"/>
    <w:qFormat/>
    <w:uiPriority w:val="99"/>
    <w:rPr>
      <w:rFonts w:ascii="Times New Roman" w:hAnsi="Times New Roman" w:eastAsia="宋体" w:cs="Times New Roman"/>
      <w:kern w:val="0"/>
      <w:sz w:val="18"/>
      <w:szCs w:val="18"/>
      <w:lang w:val="en-GB"/>
    </w:rPr>
  </w:style>
  <w:style w:type="character" w:customStyle="1" w:styleId="31">
    <w:name w:val="批注框文本 Char"/>
    <w:basedOn w:val="18"/>
    <w:link w:val="12"/>
    <w:semiHidden/>
    <w:qFormat/>
    <w:uiPriority w:val="99"/>
    <w:rPr>
      <w:rFonts w:ascii="Times New Roman" w:hAnsi="Times New Roman"/>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bmp"/><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40955-93DF-402B-A1C6-D34B3F541034}">
  <ds:schemaRefs/>
</ds:datastoreItem>
</file>

<file path=docProps/app.xml><?xml version="1.0" encoding="utf-8"?>
<Properties xmlns="http://schemas.openxmlformats.org/officeDocument/2006/extended-properties" xmlns:vt="http://schemas.openxmlformats.org/officeDocument/2006/docPropsVTypes">
  <Template>tmp4.dotx</Template>
  <Pages>3</Pages>
  <Words>910</Words>
  <Characters>1231</Characters>
  <Lines>8</Lines>
  <Paragraphs>2</Paragraphs>
  <TotalTime>0</TotalTime>
  <ScaleCrop>false</ScaleCrop>
  <LinksUpToDate>false</LinksUpToDate>
  <CharactersWithSpaces>1267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2024-03-21T06:11:00Z</dcterms:created>
  <dc:creator>Administrator</dc:creator>
  <cp:lastModifiedBy>小蜗牛</cp:lastModifiedBy>
  <dcterms:modified xsi:type="dcterms:W3CDTF">2024-09-29T03:27:37Z</dcterms:modified>
  <dc:title>公共建筑换气次数计算书</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F21AA80150644667AFB11ED0C8B210AB</vt:lpwstr>
  </property>
  <property fmtid="{D5CDD505-2E9C-101B-9397-08002B2CF9AE}" pid="3" name="KSOProductBuildVer">
    <vt:lpwstr>2052-12.1.0.18276</vt:lpwstr>
  </property>
</Properties>
</file>