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791C6">
      <w:pPr>
        <w:rPr>
          <w:b/>
          <w:sz w:val="24"/>
        </w:rPr>
      </w:pPr>
    </w:p>
    <w:p w14:paraId="79E15C3B">
      <w:pPr>
        <w:spacing w:before="312" w:beforeLines="100" w:line="24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bookmarkStart w:id="0" w:name="_Toc480186121"/>
      <w:bookmarkStart w:id="1" w:name="_Toc480186059"/>
      <w:r>
        <w:rPr>
          <w:rFonts w:hint="eastAsia" w:ascii="黑体" w:hAnsi="宋体" w:eastAsia="黑体"/>
          <w:b/>
          <w:bCs/>
          <w:sz w:val="72"/>
          <w:szCs w:val="72"/>
        </w:rPr>
        <w:t>防潮验算计算书</w:t>
      </w:r>
      <w:bookmarkEnd w:id="0"/>
      <w:bookmarkEnd w:id="1"/>
    </w:p>
    <w:p w14:paraId="6372DF30">
      <w:pPr>
        <w:spacing w:before="312"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2" w:name="地区"/>
      <w:r>
        <w:rPr>
          <w:rFonts w:hint="eastAsia" w:ascii="宋体" w:hAnsi="宋体"/>
          <w:bCs/>
          <w:sz w:val="44"/>
          <w:szCs w:val="44"/>
        </w:rPr>
        <w:t>公共建筑</w:t>
      </w:r>
      <w:bookmarkEnd w:id="2"/>
    </w:p>
    <w:p w14:paraId="1B301B02"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Style w:val="2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24584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1A903D51">
            <w:pPr>
              <w:pStyle w:val="16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5CFD7BCD">
            <w:pPr>
              <w:pStyle w:val="15"/>
              <w:tabs>
                <w:tab w:val="clear" w:pos="4153"/>
                <w:tab w:val="clear" w:pos="8306"/>
              </w:tabs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3" w:name="项目名称"/>
            <w:r>
              <w:rPr>
                <w:rFonts w:hint="eastAsia" w:ascii="宋体" w:hAnsi="宋体" w:eastAsia="宋体" w:cs="宋体"/>
                <w:sz w:val="21"/>
                <w:szCs w:val="21"/>
              </w:rPr>
              <w:t>中峰村油榨坪街村民议事中心</w:t>
            </w:r>
            <w:bookmarkEnd w:id="3"/>
          </w:p>
        </w:tc>
      </w:tr>
      <w:tr w14:paraId="021953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B673403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2D6C060A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4" w:name="地理位置"/>
            <w:r>
              <w:rPr>
                <w:rFonts w:hint="eastAsia" w:ascii="宋体" w:hAnsi="宋体" w:eastAsia="宋体" w:cs="宋体"/>
                <w:sz w:val="21"/>
                <w:szCs w:val="21"/>
              </w:rPr>
              <w:t>广西-桂林</w:t>
            </w:r>
            <w:bookmarkEnd w:id="4"/>
          </w:p>
        </w:tc>
      </w:tr>
      <w:tr w14:paraId="67FE10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5C84402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6057E087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5" w:name="设计编号"/>
            <w:bookmarkEnd w:id="5"/>
            <w:r>
              <w:rPr>
                <w:rFonts w:hint="eastAsia" w:ascii="宋体" w:hAnsi="宋体" w:eastAsia="宋体" w:cs="宋体"/>
                <w:sz w:val="21"/>
                <w:szCs w:val="21"/>
              </w:rPr>
              <w:t>GL-JZ-24-K14</w:t>
            </w:r>
            <w:bookmarkStart w:id="75" w:name="_GoBack"/>
            <w:bookmarkEnd w:id="75"/>
          </w:p>
        </w:tc>
      </w:tr>
      <w:tr w14:paraId="12B9A8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2792058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278D0EBB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6" w:name="建设单位"/>
            <w:r>
              <w:rPr>
                <w:rFonts w:hint="eastAsia" w:ascii="宋体" w:hAnsi="宋体" w:eastAsia="宋体" w:cs="宋体"/>
                <w:sz w:val="21"/>
                <w:szCs w:val="21"/>
              </w:rPr>
              <w:t>中峰镇人民政府</w:t>
            </w:r>
            <w:bookmarkEnd w:id="6"/>
          </w:p>
        </w:tc>
      </w:tr>
      <w:tr w14:paraId="48553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0FDA292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2A37E368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中物联规划设计研究院有限公司</w:t>
            </w:r>
          </w:p>
        </w:tc>
      </w:tr>
      <w:tr w14:paraId="6D9439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D140B59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 计 人</w:t>
            </w:r>
          </w:p>
        </w:tc>
        <w:tc>
          <w:tcPr>
            <w:tcW w:w="3780" w:type="dxa"/>
          </w:tcPr>
          <w:p w14:paraId="2CE86298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6F09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BB4E449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校 对 人</w:t>
            </w:r>
          </w:p>
        </w:tc>
        <w:tc>
          <w:tcPr>
            <w:tcW w:w="3780" w:type="dxa"/>
          </w:tcPr>
          <w:p w14:paraId="1A2D838A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92C0B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0328CD1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14:paraId="593FBBE4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9DAD0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729EC966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计算日期</w:t>
            </w:r>
          </w:p>
        </w:tc>
        <w:tc>
          <w:tcPr>
            <w:tcW w:w="3780" w:type="dxa"/>
          </w:tcPr>
          <w:p w14:paraId="6FEF2A89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7" w:name="报告日期"/>
            <w:r>
              <w:rPr>
                <w:rFonts w:hint="eastAsia" w:ascii="宋体" w:hAnsi="宋体" w:eastAsia="宋体" w:cs="宋体"/>
                <w:sz w:val="21"/>
                <w:szCs w:val="21"/>
              </w:rPr>
              <w:t>2024年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bookmarkEnd w:id="7"/>
          </w:p>
        </w:tc>
      </w:tr>
    </w:tbl>
    <w:p w14:paraId="56D18B16">
      <w:pPr>
        <w:jc w:val="center"/>
        <w:rPr>
          <w:rFonts w:hint="eastAsia" w:ascii="宋体" w:hAnsi="宋体" w:eastAsia="宋体" w:cs="宋体"/>
          <w:sz w:val="21"/>
          <w:szCs w:val="21"/>
        </w:rPr>
      </w:pPr>
    </w:p>
    <w:p w14:paraId="0CC59AA2"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8" w:name="二维码"/>
      <w:bookmarkEnd w:id="8"/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1514475" cy="1514475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45E86"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</w:p>
    <w:tbl>
      <w:tblPr>
        <w:tblStyle w:val="20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7DA10B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7AF134D3">
            <w:pPr>
              <w:pStyle w:val="16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0EB8058">
            <w:pPr>
              <w:pStyle w:val="16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" w:name="软件全称"/>
            <w:r>
              <w:rPr>
                <w:rFonts w:hint="eastAsia" w:ascii="宋体" w:hAnsi="宋体" w:eastAsia="宋体" w:cs="宋体"/>
                <w:sz w:val="21"/>
                <w:szCs w:val="21"/>
              </w:rPr>
              <w:t>斯维尔节能设计Becs2023</w:t>
            </w:r>
            <w:bookmarkEnd w:id="9"/>
          </w:p>
        </w:tc>
      </w:tr>
      <w:tr w14:paraId="18B078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5D8C034B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58623187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" w:name="软件版本"/>
            <w:r>
              <w:rPr>
                <w:rFonts w:hint="eastAsia" w:ascii="宋体" w:hAnsi="宋体" w:eastAsia="宋体" w:cs="宋体"/>
                <w:sz w:val="21"/>
                <w:szCs w:val="21"/>
              </w:rPr>
              <w:t>20220909</w:t>
            </w:r>
            <w:bookmarkEnd w:id="10"/>
          </w:p>
        </w:tc>
      </w:tr>
      <w:tr w14:paraId="260D9E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800" w:type="dxa"/>
            <w:shd w:val="clear" w:color="auto" w:fill="E6E6E6"/>
            <w:vAlign w:val="center"/>
          </w:tcPr>
          <w:p w14:paraId="1E43D3C9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293C84F2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zh-CN"/>
              </w:rPr>
              <w:t>北京绿建软件股份有限公司</w:t>
            </w:r>
          </w:p>
        </w:tc>
      </w:tr>
      <w:tr w14:paraId="11CC82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417409D6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7B733DAD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1" w:name="加密锁号"/>
            <w:r>
              <w:rPr>
                <w:rFonts w:hint="eastAsia" w:ascii="宋体" w:hAnsi="宋体" w:eastAsia="宋体" w:cs="宋体"/>
                <w:sz w:val="21"/>
                <w:szCs w:val="21"/>
              </w:rPr>
              <w:t>SP110C85A1</w:t>
            </w:r>
            <w:bookmarkEnd w:id="11"/>
          </w:p>
        </w:tc>
      </w:tr>
    </w:tbl>
    <w:p w14:paraId="4A8F8342">
      <w:pPr>
        <w:jc w:val="center"/>
        <w:rPr>
          <w:rFonts w:hint="eastAsia" w:ascii="宋体" w:hAnsi="宋体" w:eastAsia="宋体" w:cs="宋体"/>
          <w:b/>
          <w:sz w:val="21"/>
          <w:szCs w:val="21"/>
        </w:rPr>
      </w:pPr>
    </w:p>
    <w:p w14:paraId="7CE2882C">
      <w:pPr>
        <w:jc w:val="center"/>
        <w:rPr>
          <w:rFonts w:hint="eastAsia" w:ascii="宋体" w:hAnsi="宋体" w:eastAsia="宋体" w:cs="宋体"/>
          <w:b/>
          <w:sz w:val="21"/>
          <w:szCs w:val="21"/>
        </w:rPr>
      </w:pPr>
    </w:p>
    <w:p w14:paraId="4B626513">
      <w:pPr>
        <w:jc w:val="center"/>
        <w:rPr>
          <w:rFonts w:hint="eastAsia" w:ascii="宋体" w:hAnsi="宋体" w:eastAsia="宋体" w:cs="宋体"/>
          <w:b/>
          <w:sz w:val="21"/>
          <w:szCs w:val="21"/>
        </w:rPr>
      </w:pPr>
    </w:p>
    <w:p w14:paraId="51E1E678">
      <w:pPr>
        <w:jc w:val="center"/>
        <w:rPr>
          <w:rFonts w:hint="eastAsia" w:ascii="宋体" w:hAnsi="宋体" w:eastAsia="宋体" w:cs="宋体"/>
          <w:b/>
          <w:sz w:val="21"/>
          <w:szCs w:val="21"/>
        </w:rPr>
      </w:pPr>
    </w:p>
    <w:p w14:paraId="0F956B5E">
      <w:pPr>
        <w:jc w:val="center"/>
        <w:rPr>
          <w:rFonts w:hint="eastAsia" w:ascii="宋体" w:hAnsi="宋体" w:eastAsia="宋体" w:cs="宋体"/>
          <w:b/>
          <w:sz w:val="21"/>
          <w:szCs w:val="21"/>
        </w:rPr>
      </w:pPr>
    </w:p>
    <w:p w14:paraId="7C3DF948">
      <w:pPr>
        <w:jc w:val="center"/>
        <w:rPr>
          <w:b/>
          <w:sz w:val="24"/>
        </w:rPr>
      </w:pPr>
    </w:p>
    <w:p w14:paraId="02B89688">
      <w:pPr>
        <w:widowControl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14:paraId="53772464">
      <w:pPr>
        <w:spacing w:line="24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目  录</w:t>
      </w:r>
    </w:p>
    <w:p w14:paraId="157ACB81">
      <w:pPr>
        <w:pStyle w:val="17"/>
        <w:tabs>
          <w:tab w:val="left" w:pos="420"/>
          <w:tab w:val="right" w:leader="dot" w:pos="9010"/>
        </w:tabs>
      </w:pPr>
    </w:p>
    <w:p w14:paraId="1DD1CB28"/>
    <w:p w14:paraId="68EB7142">
      <w:pPr>
        <w:pStyle w:val="17"/>
        <w:tabs>
          <w:tab w:val="right" w:leader="dot" w:pos="9026"/>
        </w:tabs>
      </w:pPr>
      <w:bookmarkStart w:id="12" w:name="目录"/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_Toc32312 </w:instrText>
      </w:r>
      <w: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_Toc32312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9A45399">
      <w:pPr>
        <w:pStyle w:val="17"/>
        <w:tabs>
          <w:tab w:val="right" w:leader="dot" w:pos="9026"/>
        </w:tabs>
      </w:pPr>
      <w:r>
        <w:fldChar w:fldCharType="begin"/>
      </w:r>
      <w:r>
        <w:instrText xml:space="preserve"> HYPERLINK \l _Toc7201 </w:instrText>
      </w:r>
      <w: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_Toc7201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1FB1561C">
      <w:pPr>
        <w:pStyle w:val="18"/>
        <w:tabs>
          <w:tab w:val="right" w:leader="dot" w:pos="9026"/>
        </w:tabs>
      </w:pPr>
      <w:r>
        <w:fldChar w:fldCharType="begin"/>
      </w:r>
      <w:r>
        <w:instrText xml:space="preserve"> HYPERLINK \l _Toc22453 </w:instrText>
      </w:r>
      <w:r>
        <w:fldChar w:fldCharType="separate"/>
      </w:r>
      <w:r>
        <w:rPr>
          <w:kern w:val="2"/>
          <w:lang w:val="en-GB"/>
        </w:rPr>
        <w:t xml:space="preserve">2.1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_Toc22453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53E3B9CF">
      <w:pPr>
        <w:pStyle w:val="18"/>
        <w:tabs>
          <w:tab w:val="right" w:leader="dot" w:pos="9026"/>
        </w:tabs>
      </w:pPr>
      <w:r>
        <w:fldChar w:fldCharType="begin"/>
      </w:r>
      <w:r>
        <w:instrText xml:space="preserve"> HYPERLINK \l _Toc18815 </w:instrText>
      </w:r>
      <w:r>
        <w:fldChar w:fldCharType="separate"/>
      </w:r>
      <w:r>
        <w:rPr>
          <w:kern w:val="2"/>
          <w:lang w:val="en-GB"/>
        </w:rPr>
        <w:t xml:space="preserve">2.2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_Toc18815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13CE0486">
      <w:pPr>
        <w:pStyle w:val="17"/>
        <w:tabs>
          <w:tab w:val="right" w:leader="dot" w:pos="9026"/>
        </w:tabs>
      </w:pPr>
      <w:r>
        <w:fldChar w:fldCharType="begin"/>
      </w:r>
      <w:r>
        <w:instrText xml:space="preserve"> HYPERLINK \l _Toc6466 </w:instrText>
      </w:r>
      <w:r>
        <w:fldChar w:fldCharType="separate"/>
      </w:r>
      <w:r>
        <w:t xml:space="preserve">3 </w:t>
      </w:r>
      <w:r>
        <w:rPr>
          <w:rFonts w:hint="eastAsia"/>
        </w:rPr>
        <w:t>防潮验算</w:t>
      </w:r>
      <w:r>
        <w:t>计算过程</w:t>
      </w:r>
      <w:r>
        <w:tab/>
      </w:r>
      <w:r>
        <w:fldChar w:fldCharType="begin"/>
      </w:r>
      <w:r>
        <w:instrText xml:space="preserve"> PAGEREF _Toc6466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AECEC7F">
      <w:pPr>
        <w:pStyle w:val="18"/>
        <w:tabs>
          <w:tab w:val="right" w:leader="dot" w:pos="9026"/>
        </w:tabs>
      </w:pPr>
      <w:r>
        <w:fldChar w:fldCharType="begin"/>
      </w:r>
      <w:r>
        <w:instrText xml:space="preserve"> HYPERLINK \l _Toc17029 </w:instrText>
      </w:r>
      <w: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计算条件</w:t>
      </w:r>
      <w:r>
        <w:tab/>
      </w:r>
      <w:r>
        <w:fldChar w:fldCharType="begin"/>
      </w:r>
      <w:r>
        <w:instrText xml:space="preserve"> PAGEREF _Toc17029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A0AFDB0">
      <w:pPr>
        <w:pStyle w:val="18"/>
        <w:tabs>
          <w:tab w:val="right" w:leader="dot" w:pos="9026"/>
        </w:tabs>
      </w:pPr>
      <w:r>
        <w:fldChar w:fldCharType="begin"/>
      </w:r>
      <w:r>
        <w:instrText xml:space="preserve"> HYPERLINK \l _Toc9544 </w:instrText>
      </w:r>
      <w: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屋顶构造一</w:t>
      </w:r>
      <w:r>
        <w:tab/>
      </w:r>
      <w:r>
        <w:fldChar w:fldCharType="begin"/>
      </w:r>
      <w:r>
        <w:instrText xml:space="preserve"> PAGEREF _Toc9544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74D372B">
      <w:pPr>
        <w:pStyle w:val="13"/>
        <w:tabs>
          <w:tab w:val="right" w:leader="dot" w:pos="9026"/>
        </w:tabs>
      </w:pPr>
      <w:r>
        <w:fldChar w:fldCharType="begin"/>
      </w:r>
      <w:r>
        <w:instrText xml:space="preserve"> HYPERLINK \l _Toc10445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3.2.1 </w:t>
      </w:r>
      <w:r>
        <w:rPr>
          <w:rFonts w:hint="eastAsia"/>
        </w:rPr>
        <w:t>冷凝计算界面至围护结构内表面之间的热阻</w:t>
      </w:r>
      <w:r>
        <w:object>
          <v:shape id="_x0000_i1025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ab/>
      </w:r>
      <w:r>
        <w:fldChar w:fldCharType="begin"/>
      </w:r>
      <w:r>
        <w:instrText xml:space="preserve"> PAGEREF _Toc10445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C758812">
      <w:pPr>
        <w:pStyle w:val="13"/>
        <w:tabs>
          <w:tab w:val="right" w:leader="dot" w:pos="9026"/>
        </w:tabs>
      </w:pPr>
      <w:r>
        <w:fldChar w:fldCharType="begin"/>
      </w:r>
      <w:r>
        <w:instrText xml:space="preserve"> HYPERLINK \l _Toc1155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3.2.2 </w:t>
      </w:r>
      <w:r>
        <w:rPr>
          <w:rFonts w:hint="eastAsia"/>
        </w:rPr>
        <w:t>冷凝计算界面温度</w:t>
      </w:r>
      <w:r>
        <w:rPr>
          <w:position w:val="-6"/>
        </w:rPr>
        <w:object>
          <v:shape id="_x0000_i1026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fldChar w:fldCharType="begin"/>
      </w:r>
      <w:r>
        <w:instrText xml:space="preserve"> PAGEREF _Toc1155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1C981E0">
      <w:pPr>
        <w:pStyle w:val="13"/>
        <w:tabs>
          <w:tab w:val="right" w:leader="dot" w:pos="9026"/>
        </w:tabs>
      </w:pPr>
      <w:r>
        <w:fldChar w:fldCharType="begin"/>
      </w:r>
      <w:r>
        <w:instrText xml:space="preserve"> HYPERLINK \l _Toc16771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3.2.3 </w:t>
      </w:r>
      <w:r>
        <w:rPr>
          <w:rFonts w:hint="eastAsia"/>
          <w:bCs w:val="0"/>
        </w:rPr>
        <w:t>围护结构冷凝受潮验算</w:t>
      </w:r>
      <w:r>
        <w:tab/>
      </w:r>
      <w:r>
        <w:fldChar w:fldCharType="begin"/>
      </w:r>
      <w:r>
        <w:instrText xml:space="preserve"> PAGEREF _Toc16771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D9E6FDF">
      <w:pPr>
        <w:pStyle w:val="17"/>
        <w:tabs>
          <w:tab w:val="right" w:leader="dot" w:pos="9026"/>
        </w:tabs>
      </w:pPr>
      <w:r>
        <w:fldChar w:fldCharType="begin"/>
      </w:r>
      <w:r>
        <w:instrText xml:space="preserve"> HYPERLINK \l _Toc20808 </w:instrText>
      </w:r>
      <w:r>
        <w:fldChar w:fldCharType="separate"/>
      </w:r>
      <w:r>
        <w:t>4 验算结论</w:t>
      </w:r>
      <w:r>
        <w:tab/>
      </w:r>
      <w:r>
        <w:fldChar w:fldCharType="begin"/>
      </w:r>
      <w:r>
        <w:instrText xml:space="preserve"> PAGEREF _Toc20808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6BCF246">
      <w:r>
        <w:fldChar w:fldCharType="end"/>
      </w:r>
      <w:bookmarkEnd w:id="12"/>
    </w:p>
    <w:p w14:paraId="558B2125">
      <w:pPr>
        <w:pStyle w:val="16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 w14:paraId="6FE756DF">
      <w:pPr>
        <w:pStyle w:val="16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jc w:val="both"/>
        <w:rPr>
          <w:rFonts w:ascii="宋体" w:hAnsi="宋体"/>
          <w:szCs w:val="20"/>
        </w:rPr>
      </w:pPr>
      <w:r>
        <w:rPr>
          <w:rFonts w:ascii="宋体" w:hAnsi="宋体"/>
          <w:szCs w:val="20"/>
        </w:rPr>
        <w:br w:type="page"/>
      </w:r>
    </w:p>
    <w:p w14:paraId="7EEC3CA2">
      <w:pPr>
        <w:pStyle w:val="2"/>
        <w:spacing w:line="240" w:lineRule="atLeast"/>
      </w:pPr>
      <w:bookmarkStart w:id="13" w:name="_Toc32312"/>
      <w:bookmarkStart w:id="14" w:name="_Toc480218444"/>
      <w:bookmarkStart w:id="15" w:name="_Toc480186060"/>
      <w:bookmarkStart w:id="16" w:name="_Toc480186122"/>
      <w:bookmarkStart w:id="17" w:name="_Toc316568035"/>
      <w:r>
        <w:rPr>
          <w:rFonts w:hint="eastAsia"/>
        </w:rPr>
        <w:t>建筑概况</w:t>
      </w:r>
      <w:bookmarkEnd w:id="13"/>
      <w:bookmarkEnd w:id="14"/>
      <w:bookmarkEnd w:id="15"/>
      <w:bookmarkEnd w:id="16"/>
      <w:bookmarkEnd w:id="17"/>
    </w:p>
    <w:tbl>
      <w:tblPr>
        <w:tblStyle w:val="20"/>
        <w:tblW w:w="48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9"/>
        <w:gridCol w:w="3115"/>
        <w:gridCol w:w="3115"/>
      </w:tblGrid>
      <w:tr w14:paraId="210286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28983C5D">
            <w:pPr>
              <w:spacing w:line="240" w:lineRule="atLeast"/>
            </w:pPr>
            <w:bookmarkStart w:id="18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7788E998">
            <w:pPr>
              <w:spacing w:line="240" w:lineRule="atLeast"/>
            </w:pPr>
            <w:bookmarkStart w:id="19" w:name="工程名称"/>
            <w:r>
              <w:t>中峰村油榨坪街村民议事中心</w:t>
            </w:r>
            <w:bookmarkEnd w:id="19"/>
          </w:p>
        </w:tc>
      </w:tr>
      <w:tr w14:paraId="206B36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589F0A10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53700F71">
            <w:pPr>
              <w:spacing w:line="240" w:lineRule="atLeast"/>
            </w:pPr>
            <w:bookmarkStart w:id="20" w:name="工程地点"/>
            <w:r>
              <w:t>广西-桂林</w:t>
            </w:r>
            <w:bookmarkEnd w:id="20"/>
          </w:p>
        </w:tc>
      </w:tr>
      <w:tr w14:paraId="26A2CE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2C9EECCD"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32" w:type="dxa"/>
            <w:shd w:val="clear" w:color="auto" w:fill="auto"/>
          </w:tcPr>
          <w:p w14:paraId="0C550777">
            <w:pPr>
              <w:spacing w:line="240" w:lineRule="atLeast"/>
            </w:pPr>
            <w:r>
              <w:rPr>
                <w:rFonts w:hint="eastAsia" w:ascii="宋体" w:hAnsi="宋体"/>
              </w:rPr>
              <w:t>北纬：</w:t>
            </w:r>
            <w:bookmarkStart w:id="21" w:name="纬度"/>
            <w:r>
              <w:rPr>
                <w:rFonts w:hint="eastAsia"/>
              </w:rPr>
              <w:t>25.00</w:t>
            </w:r>
            <w:bookmarkEnd w:id="21"/>
            <w:r>
              <w:rPr>
                <w:rFonts w:hint="eastAsia" w:ascii="宋体" w:hAnsi="宋体"/>
              </w:rPr>
              <w:t>°</w:t>
            </w:r>
          </w:p>
        </w:tc>
        <w:tc>
          <w:tcPr>
            <w:tcW w:w="3032" w:type="dxa"/>
            <w:shd w:val="clear" w:color="auto" w:fill="auto"/>
          </w:tcPr>
          <w:p w14:paraId="64F08844">
            <w:pPr>
              <w:spacing w:line="240" w:lineRule="atLeast"/>
            </w:pPr>
            <w:r>
              <w:rPr>
                <w:rFonts w:hint="eastAsia" w:ascii="宋体" w:hAnsi="宋体"/>
              </w:rPr>
              <w:t>东经：</w:t>
            </w:r>
            <w:bookmarkStart w:id="22" w:name="经度"/>
            <w:r>
              <w:rPr>
                <w:rFonts w:hint="eastAsia"/>
              </w:rPr>
              <w:t>110.30</w:t>
            </w:r>
            <w:bookmarkEnd w:id="22"/>
            <w:r>
              <w:rPr>
                <w:rFonts w:hint="eastAsia" w:ascii="宋体" w:hAnsi="宋体"/>
              </w:rPr>
              <w:t>°</w:t>
            </w:r>
          </w:p>
        </w:tc>
      </w:tr>
      <w:tr w14:paraId="4EB7B0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604071EA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11C08B26">
            <w:pPr>
              <w:spacing w:line="240" w:lineRule="atLeast"/>
            </w:pPr>
            <w:bookmarkStart w:id="23" w:name="气候分区"/>
            <w:r>
              <w:t>夏热冬冷B区</w:t>
            </w:r>
            <w:bookmarkEnd w:id="23"/>
          </w:p>
        </w:tc>
      </w:tr>
      <w:tr w14:paraId="05B5CF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44C30B9E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30F9578A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r>
              <w:rPr>
                <w:rFonts w:hint="eastAsia"/>
                <w:lang w:val="en-US" w:eastAsia="zh-CN"/>
              </w:rPr>
              <w:t>223.04</w:t>
            </w:r>
            <w:r>
              <w:rPr>
                <w:rFonts w:hint="eastAsia"/>
              </w:rPr>
              <w:t>㎡    地下</w:t>
            </w:r>
            <w:bookmarkStart w:id="24" w:name="地下建筑面积"/>
            <w:r>
              <w:rPr>
                <w:rFonts w:hint="eastAsia"/>
              </w:rPr>
              <w:t>0</w:t>
            </w:r>
            <w:bookmarkEnd w:id="24"/>
            <w:r>
              <w:rPr>
                <w:rFonts w:hint="eastAsia"/>
              </w:rPr>
              <w:t>㎡</w:t>
            </w:r>
          </w:p>
        </w:tc>
      </w:tr>
      <w:tr w14:paraId="7C30BC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7D0A334E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5F48F30C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5" w:name="地上建筑层数"/>
            <w:r>
              <w:rPr>
                <w:rFonts w:hint="eastAsia"/>
              </w:rPr>
              <w:t>2</w:t>
            </w:r>
            <w:bookmarkEnd w:id="25"/>
            <w:r>
              <w:rPr>
                <w:rFonts w:hint="eastAsia"/>
              </w:rPr>
              <w:t xml:space="preserve">          地下</w:t>
            </w:r>
            <w:bookmarkStart w:id="26" w:name="地下建筑层数"/>
            <w:r>
              <w:t>0</w:t>
            </w:r>
            <w:bookmarkEnd w:id="26"/>
          </w:p>
        </w:tc>
      </w:tr>
      <w:tr w14:paraId="0FA7B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40B68C92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07232D9F">
            <w:pPr>
              <w:spacing w:line="240" w:lineRule="atLeast"/>
            </w:pPr>
            <w:r>
              <w:rPr>
                <w:rFonts w:hint="eastAsia"/>
                <w:lang w:val="en-US" w:eastAsia="zh-CN"/>
              </w:rPr>
              <w:t>8.39</w:t>
            </w:r>
            <w:r>
              <w:rPr>
                <w:rFonts w:hint="eastAsia"/>
              </w:rPr>
              <w:t>m</w:t>
            </w:r>
          </w:p>
        </w:tc>
      </w:tr>
      <w:tr w14:paraId="114CBD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295B73E3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064" w:type="dxa"/>
            <w:gridSpan w:val="2"/>
            <w:shd w:val="clear" w:color="auto" w:fill="auto"/>
          </w:tcPr>
          <w:p w14:paraId="5DFAA5B4">
            <w:pPr>
              <w:spacing w:line="240" w:lineRule="atLeast"/>
            </w:pPr>
            <w:bookmarkStart w:id="27" w:name="结构类型"/>
            <w:r>
              <w:t>钢筋混凝土框架结构</w:t>
            </w:r>
            <w:bookmarkEnd w:id="27"/>
          </w:p>
        </w:tc>
      </w:tr>
      <w:bookmarkEnd w:id="18"/>
    </w:tbl>
    <w:p w14:paraId="638FB33A">
      <w:pPr>
        <w:rPr>
          <w:b/>
          <w:sz w:val="24"/>
        </w:rPr>
      </w:pPr>
    </w:p>
    <w:p w14:paraId="46194E83">
      <w:pPr>
        <w:pStyle w:val="2"/>
        <w:spacing w:line="240" w:lineRule="atLeast"/>
      </w:pPr>
      <w:bookmarkStart w:id="28" w:name="_Toc316568036"/>
      <w:bookmarkStart w:id="29" w:name="_Toc7201"/>
      <w:bookmarkStart w:id="30" w:name="_Toc480186123"/>
      <w:bookmarkStart w:id="31" w:name="_Toc480186061"/>
      <w:bookmarkStart w:id="32" w:name="_Toc480218445"/>
      <w:bookmarkStart w:id="33" w:name="TitleFormat"/>
      <w:r>
        <w:rPr>
          <w:rFonts w:hint="eastAsia"/>
        </w:rPr>
        <w:t>评价依据</w:t>
      </w:r>
      <w:bookmarkEnd w:id="28"/>
      <w:bookmarkEnd w:id="29"/>
      <w:bookmarkEnd w:id="30"/>
      <w:bookmarkEnd w:id="31"/>
      <w:bookmarkEnd w:id="32"/>
    </w:p>
    <w:bookmarkEnd w:id="33"/>
    <w:p w14:paraId="7447FB85">
      <w:r>
        <w:rPr>
          <w:rFonts w:hint="eastAsia"/>
        </w:rPr>
        <w:t xml:space="preserve">1. </w:t>
      </w:r>
      <w:bookmarkStart w:id="34" w:name="标准名称"/>
      <w:r>
        <w:rPr>
          <w:rFonts w:hint="eastAsia"/>
        </w:rPr>
        <w:t>《广西公共建筑节能设计标准》DBJ/T45-096-2022</w:t>
      </w:r>
      <w:bookmarkEnd w:id="34"/>
    </w:p>
    <w:p w14:paraId="15FCB506">
      <w:r>
        <w:rPr>
          <w:rFonts w:hint="eastAsia"/>
        </w:rPr>
        <w:t>2. 《建筑环境通用规范》GB</w:t>
      </w:r>
      <w:r>
        <w:t xml:space="preserve"> 55016-2021</w:t>
      </w:r>
    </w:p>
    <w:p w14:paraId="2D454A74">
      <w:r>
        <w:rPr>
          <w:rFonts w:hint="eastAsia"/>
        </w:rPr>
        <w:t>3. 《民用建筑热工设计规范》GB50176</w:t>
      </w:r>
      <w:r>
        <w:t>-2016</w:t>
      </w:r>
    </w:p>
    <w:p w14:paraId="7FF162C3">
      <w:r>
        <w:t>4</w:t>
      </w:r>
      <w:r>
        <w:rPr>
          <w:rFonts w:hint="eastAsia"/>
        </w:rPr>
        <w:t>.  施工图、设计说明、墙身大样图、节能计算书</w:t>
      </w:r>
    </w:p>
    <w:p w14:paraId="39DAB213">
      <w:pPr>
        <w:pStyle w:val="41"/>
        <w:spacing w:line="240" w:lineRule="atLeast"/>
        <w:ind w:left="420" w:firstLine="0" w:firstLineChars="0"/>
      </w:pPr>
    </w:p>
    <w:p w14:paraId="4FF0063D">
      <w:pPr>
        <w:pStyle w:val="4"/>
        <w:spacing w:line="240" w:lineRule="atLeast"/>
        <w:rPr>
          <w:kern w:val="2"/>
        </w:rPr>
      </w:pPr>
      <w:bookmarkStart w:id="35" w:name="_Toc480186124"/>
      <w:bookmarkStart w:id="36" w:name="_Toc480186062"/>
      <w:bookmarkStart w:id="37" w:name="_Toc480218446"/>
      <w:bookmarkStart w:id="38" w:name="_Toc22453"/>
      <w:r>
        <w:rPr>
          <w:rFonts w:hint="eastAsia"/>
          <w:kern w:val="2"/>
        </w:rPr>
        <w:t>评价目标</w:t>
      </w:r>
      <w:bookmarkEnd w:id="35"/>
      <w:bookmarkEnd w:id="36"/>
      <w:bookmarkEnd w:id="37"/>
      <w:bookmarkEnd w:id="38"/>
    </w:p>
    <w:p w14:paraId="3A02247F">
      <w:pPr>
        <w:pStyle w:val="41"/>
      </w:pPr>
      <w:r>
        <w:t>依据《</w:t>
      </w:r>
      <w:r>
        <w:rPr>
          <w:rFonts w:hint="eastAsia"/>
        </w:rPr>
        <w:t>建筑环境通用规范》GB</w:t>
      </w:r>
      <w:r>
        <w:t xml:space="preserve"> 55016</w:t>
      </w:r>
      <w:r>
        <w:rPr>
          <w:rFonts w:hint="eastAsia"/>
        </w:rPr>
        <w:t>-</w:t>
      </w:r>
      <w:r>
        <w:t xml:space="preserve">2021 </w:t>
      </w:r>
      <w:r>
        <w:rPr>
          <w:b/>
          <w:bCs/>
        </w:rPr>
        <w:t>4.4.3</w:t>
      </w:r>
      <w:r>
        <w:rPr>
          <w:rFonts w:hint="eastAsia"/>
        </w:rPr>
        <w:t>条：供暖</w:t>
      </w:r>
      <w:r>
        <w:t>期间，</w:t>
      </w:r>
      <w:r>
        <w:rPr>
          <w:rFonts w:hint="eastAsia"/>
        </w:rPr>
        <w:t>围护结构</w:t>
      </w:r>
      <w:r>
        <w:t>中保温材料因内部冷凝受潮而增加的重量</w:t>
      </w:r>
      <w:r>
        <w:rPr>
          <w:rFonts w:hint="eastAsia"/>
        </w:rPr>
        <w:t>湿度允许增量，应符合要求；</w:t>
      </w:r>
      <w:r>
        <w:t>相应冷凝计算界面内侧最小蒸汽渗透阻应大于按</w:t>
      </w:r>
      <w:r>
        <w:rPr>
          <w:rFonts w:hint="eastAsia"/>
        </w:rPr>
        <w:t>式（3.2-1）计算</w:t>
      </w:r>
      <w:r>
        <w:t>的蒸汽渗透阻</w:t>
      </w:r>
      <w:r>
        <w:rPr>
          <w:rFonts w:hint="eastAsia"/>
        </w:rPr>
        <w:t>。</w:t>
      </w:r>
    </w:p>
    <w:p w14:paraId="45C0E6C9">
      <w:pPr>
        <w:pStyle w:val="4"/>
        <w:spacing w:line="240" w:lineRule="atLeast"/>
        <w:rPr>
          <w:kern w:val="2"/>
        </w:rPr>
      </w:pPr>
      <w:bookmarkStart w:id="39" w:name="_Toc480186063"/>
      <w:bookmarkStart w:id="40" w:name="_Toc480218447"/>
      <w:bookmarkStart w:id="41" w:name="_Toc18815"/>
      <w:bookmarkStart w:id="42" w:name="_Toc480186125"/>
      <w:bookmarkStart w:id="43" w:name="_Toc479931706"/>
      <w:r>
        <w:rPr>
          <w:rFonts w:hint="eastAsia"/>
          <w:kern w:val="2"/>
        </w:rPr>
        <w:t>评价方法</w:t>
      </w:r>
      <w:bookmarkEnd w:id="39"/>
      <w:bookmarkEnd w:id="40"/>
      <w:bookmarkEnd w:id="41"/>
      <w:bookmarkEnd w:id="42"/>
      <w:bookmarkEnd w:id="43"/>
    </w:p>
    <w:p w14:paraId="12337B70">
      <w:pPr>
        <w:pStyle w:val="41"/>
      </w:pPr>
      <w:r>
        <w:rPr>
          <w:rFonts w:hint="eastAsia"/>
        </w:rPr>
        <w:t>根据《建筑环境通用规范》GB</w:t>
      </w:r>
      <w:r>
        <w:t xml:space="preserve"> 55016</w:t>
      </w:r>
      <w:r>
        <w:rPr>
          <w:rFonts w:hint="eastAsia"/>
        </w:rPr>
        <w:t>第</w:t>
      </w:r>
      <w:r>
        <w:t>4.4.3</w:t>
      </w:r>
      <w:r>
        <w:rPr>
          <w:rFonts w:hint="eastAsia"/>
        </w:rPr>
        <w:t>条，</w:t>
      </w:r>
      <w:r>
        <w:t>,</w:t>
      </w:r>
      <w:r>
        <w:rPr>
          <w:rFonts w:hint="eastAsia"/>
        </w:rPr>
        <w:t>当围护结构内部可能发生冷凝时，冷凝计算界面内侧所需的蒸汽渗透阻应按式（3.2-1）计算：</w:t>
      </w:r>
    </w:p>
    <w:p w14:paraId="64F58236">
      <w:pPr>
        <w:wordWrap w:val="0"/>
        <w:jc w:val="right"/>
      </w:pPr>
      <w:r>
        <w:rPr>
          <w:position w:val="-54"/>
        </w:rPr>
        <w:object>
          <v:shape id="_x0000_i1027" o:spt="75" type="#_x0000_t75" style="height:45.75pt;width:14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 xml:space="preserve">                          </w:t>
      </w:r>
      <w:r>
        <w:rPr>
          <w:rFonts w:hint="eastAsia"/>
        </w:rPr>
        <w:t xml:space="preserve">（3.2-1） </w:t>
      </w:r>
    </w:p>
    <w:p w14:paraId="71583712">
      <w:r>
        <w:rPr>
          <w:rFonts w:hint="eastAsia"/>
        </w:rPr>
        <w:t>则推导：</w:t>
      </w:r>
    </w:p>
    <w:p w14:paraId="7FEE4D2D">
      <w:pPr>
        <w:wordWrap w:val="0"/>
        <w:jc w:val="right"/>
      </w:pPr>
      <w:r>
        <w:rPr>
          <w:position w:val="-28"/>
        </w:rPr>
        <w:object>
          <v:shape id="_x0000_i1028" o:spt="75" type="#_x0000_t75" style="height:50.25pt;width:162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 xml:space="preserve">                        </w:t>
      </w:r>
      <w:r>
        <w:rPr>
          <w:rFonts w:hint="eastAsia"/>
        </w:rPr>
        <w:t>（3.2-2）</w:t>
      </w:r>
    </w:p>
    <w:p w14:paraId="759CA2D0">
      <w:r>
        <w:rPr>
          <w:rFonts w:hint="eastAsia"/>
        </w:rPr>
        <w:t>式中：</w:t>
      </w:r>
    </w:p>
    <w:p w14:paraId="64EB5540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10"/>
        </w:rPr>
        <w:object>
          <v:shape id="_x0000_i1029" o:spt="75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采暖期间保温材料重量湿度的允许增量限值(%)；</w:t>
      </w:r>
    </w:p>
    <w:p w14:paraId="48D0CA84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0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冷凝计算界面内侧实际的蒸汽渗透阻(㎡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1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06D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8306DA&quot; wsp:rsidP=&quot;008306DA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2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06D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8306DA&quot; wsp:rsidP=&quot;008306DA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3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268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A6268&quot; wsp:rsidP=&quot;004A626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4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268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A6268&quot; wsp:rsidP=&quot;004A626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Pa/g)；</w:t>
      </w:r>
    </w:p>
    <w:p w14:paraId="3175069D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5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5" DrawAspect="Content" ObjectID="_1468075731" r:id="rId21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冷凝计算界面至围护结构外表面之间的蒸汽渗透阻(㎡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6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17D58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E17D58&quot; wsp:rsidP=&quot;00E17D5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7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17D58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E17D58&quot; wsp:rsidP=&quot;00E17D5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8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D4CC3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9D4CC3&quot; wsp:rsidP=&quot;009D4CC3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9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D4CC3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9D4CC3&quot; wsp:rsidP=&quot;009D4CC3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Pa/g)；</w:t>
      </w:r>
    </w:p>
    <w:p w14:paraId="2C6CBE05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0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40" DrawAspect="Content" ObjectID="_1468075732" r:id="rId23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室内空气水蒸气分压力(Pa)，根据室内计算温度和相对湿度确定；</w:t>
      </w:r>
    </w:p>
    <w:p w14:paraId="3B746E25">
      <w:pPr>
        <w:autoSpaceDE w:val="0"/>
        <w:autoSpaceDN w:val="0"/>
        <w:adjustRightInd w:val="0"/>
        <w:ind w:left="1470" w:leftChars="400" w:hanging="630" w:hangingChars="3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1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41" DrawAspect="Content" ObjectID="_1468075733" r:id="rId25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室外空气水蒸气分压力(Pa)，根据本规范附录三附表3.1查得的采暖期室外平均温度和平均相对温度确定；</w:t>
      </w:r>
    </w:p>
    <w:p w14:paraId="4E20F9B2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2" o:spt="75" type="#_x0000_t75" style="height:13.5pt;width:20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42" DrawAspect="Content" ObjectID="_1468075734" r:id="rId27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冷凝计算界面处与界面温度</w:t>
      </w:r>
      <w:r>
        <w:rPr>
          <w:rFonts w:ascii="宋体" w:cs="宋体"/>
          <w:kern w:val="0"/>
          <w:position w:val="-6"/>
          <w:szCs w:val="21"/>
        </w:rPr>
        <w:object>
          <v:shape id="_x0000_i1043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43" DrawAspect="Content" ObjectID="_1468075735" r:id="rId29">
            <o:LockedField>false</o:LockedField>
          </o:OLEObject>
        </w:object>
      </w:r>
      <w:r>
        <w:rPr>
          <w:rFonts w:ascii="宋体" w:cs="宋体"/>
          <w:kern w:val="0"/>
          <w:szCs w:val="21"/>
        </w:rPr>
        <w:t xml:space="preserve"> </w:t>
      </w:r>
      <w:r>
        <w:rPr>
          <w:rFonts w:hint="eastAsia" w:ascii="宋体" w:cs="宋体"/>
          <w:kern w:val="0"/>
          <w:szCs w:val="21"/>
        </w:rPr>
        <w:t>对应的饱和水蒸气分压力(Pa)；</w:t>
      </w:r>
    </w:p>
    <w:p w14:paraId="6585AEA0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rFonts w:hint="eastAsia"/>
        </w:rPr>
        <w:t>Z—</w:t>
      </w:r>
      <w:r>
        <w:rPr>
          <w:rFonts w:hint="eastAsia" w:ascii="宋体" w:cs="宋体"/>
          <w:kern w:val="0"/>
          <w:szCs w:val="21"/>
        </w:rPr>
        <w:t>采暖期天数，应符合本规范附录三附表3.1的规定；</w:t>
      </w:r>
    </w:p>
    <w:p w14:paraId="60B2687F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10"/>
        </w:rPr>
        <w:object>
          <v:shape id="_x0000_i1044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4" DrawAspect="Content" ObjectID="_1468075736" r:id="rId31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保温材料的干密度(kg/m</w:t>
      </w:r>
      <w:r>
        <w:rPr>
          <w:rFonts w:ascii="宋体" w:cs="宋体"/>
          <w:kern w:val="0"/>
          <w:szCs w:val="21"/>
          <w:vertAlign w:val="superscript"/>
        </w:rPr>
        <w:t>3</w:t>
      </w:r>
      <w:r>
        <w:rPr>
          <w:rFonts w:hint="eastAsia" w:ascii="宋体" w:cs="宋体"/>
          <w:kern w:val="0"/>
          <w:szCs w:val="21"/>
        </w:rPr>
        <w:t>)；</w:t>
      </w:r>
    </w:p>
    <w:p w14:paraId="0458A556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5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5" DrawAspect="Content" ObjectID="_1468075737" r:id="rId33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保温材料厚度(m)；</w:t>
      </w:r>
    </w:p>
    <w:p w14:paraId="77DBFAF0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</w:p>
    <w:p w14:paraId="2BE113AF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hint="eastAsia" w:eastAsiaTheme="minorEastAsia"/>
          <w:szCs w:val="22"/>
        </w:rPr>
        <w:t>冷凝计算界面温度可按下式计算：</w:t>
      </w:r>
    </w:p>
    <w:p w14:paraId="2C286964">
      <w:pPr>
        <w:jc w:val="center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6" o:spt="75" type="#_x0000_t75" style="height:33.75pt;width:117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6" DrawAspect="Content" ObjectID="_1468075738" r:id="rId35">
            <o:LockedField>false</o:LockedField>
          </o:OLEObject>
        </w:object>
      </w:r>
    </w:p>
    <w:p w14:paraId="35253EA6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hint="eastAsia" w:eastAsiaTheme="minorEastAsia"/>
          <w:szCs w:val="22"/>
        </w:rPr>
        <w:t>式中：</w:t>
      </w:r>
      <w:r>
        <w:rPr>
          <w:rFonts w:eastAsiaTheme="minorEastAsia"/>
        </w:rPr>
        <w:object>
          <v:shape id="_x0000_i1047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7" DrawAspect="Content" ObjectID="_1468075739" r:id="rId37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冷凝计算界面温度（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20CA1786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8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8" DrawAspect="Content" ObjectID="_1468075740" r:id="rId39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室内计算温度（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6E1B26C8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9" o:spt="75" type="#_x0000_t75" style="height:18pt;width:10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9" DrawAspect="Content" ObjectID="_1468075741" r:id="rId41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采暖期室外平均温度（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37E2441B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5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50" DrawAspect="Content" ObjectID="_1468075742" r:id="rId43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围护结构传热阻（㎡</w:t>
      </w:r>
      <w:r>
        <w:rPr>
          <w:rFonts w:eastAsiaTheme="minorEastAsia"/>
          <w:szCs w:val="22"/>
        </w:rPr>
        <w:t>·K/W</w:t>
      </w:r>
      <w:r>
        <w:rPr>
          <w:rFonts w:hint="eastAsia" w:eastAsiaTheme="minorEastAsia"/>
          <w:szCs w:val="22"/>
        </w:rPr>
        <w:t>）</w:t>
      </w:r>
    </w:p>
    <w:p w14:paraId="472C00F1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51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51" DrawAspect="Content" ObjectID="_1468075743" r:id="rId45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内表面换热阻（㎡</w:t>
      </w:r>
      <w:r>
        <w:rPr>
          <w:rFonts w:eastAsiaTheme="minorEastAsia"/>
          <w:szCs w:val="22"/>
        </w:rPr>
        <w:t>K/W</w:t>
      </w:r>
      <w:r>
        <w:rPr>
          <w:rFonts w:hint="eastAsia" w:eastAsiaTheme="minorEastAsia"/>
          <w:szCs w:val="22"/>
        </w:rPr>
        <w:t>）</w:t>
      </w:r>
    </w:p>
    <w:p w14:paraId="36EA0279">
      <w:pPr>
        <w:rPr>
          <w:rFonts w:asciiTheme="minorHAnsi" w:hAnsiTheme="minorHAnsi" w:eastAsiaTheme="minorEastAsia"/>
          <w:szCs w:val="22"/>
        </w:rPr>
      </w:pPr>
      <w:r>
        <w:rPr>
          <w:rFonts w:eastAsiaTheme="minorEastAsia"/>
          <w:szCs w:val="22"/>
        </w:rPr>
        <w:t xml:space="preserve">    </w:t>
      </w:r>
      <w:r>
        <w:rPr>
          <w:rFonts w:eastAsiaTheme="minorEastAsia"/>
        </w:rPr>
        <w:object>
          <v:shape id="_x0000_i1052" o:spt="75" type="#_x0000_t75" style="height:19.5pt;width:19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52" DrawAspect="Content" ObjectID="_1468075744" r:id="rId47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冷凝计算界面至围护结构内表面之间的热阻（㎡</w:t>
      </w:r>
      <w:r>
        <w:rPr>
          <w:rFonts w:eastAsiaTheme="minorEastAsia"/>
          <w:szCs w:val="22"/>
        </w:rPr>
        <w:t>·K/W</w:t>
      </w:r>
      <w:r>
        <w:rPr>
          <w:rFonts w:hint="eastAsia" w:eastAsiaTheme="minorEastAsia"/>
          <w:szCs w:val="22"/>
        </w:rPr>
        <w:t>）</w:t>
      </w:r>
    </w:p>
    <w:p w14:paraId="46BC9163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</w:p>
    <w:p w14:paraId="6D8B1B6C">
      <w:pPr>
        <w:pStyle w:val="2"/>
        <w:spacing w:line="240" w:lineRule="atLeast"/>
      </w:pPr>
      <w:bookmarkStart w:id="44" w:name="_Toc6466"/>
      <w:bookmarkStart w:id="45" w:name="_Toc480186126"/>
      <w:bookmarkStart w:id="46" w:name="_Toc480218448"/>
      <w:bookmarkStart w:id="47" w:name="_Toc480186064"/>
      <w:r>
        <w:rPr>
          <w:rFonts w:hint="eastAsia"/>
        </w:rPr>
        <w:t>防潮验算</w:t>
      </w:r>
      <w:r>
        <w:t>计算过程</w:t>
      </w:r>
      <w:bookmarkEnd w:id="44"/>
      <w:bookmarkEnd w:id="45"/>
      <w:bookmarkEnd w:id="46"/>
      <w:bookmarkEnd w:id="47"/>
    </w:p>
    <w:p w14:paraId="4F1C4DB3">
      <w:pPr>
        <w:pStyle w:val="4"/>
        <w:spacing w:line="240" w:lineRule="atLeast"/>
        <w:rPr>
          <w:kern w:val="2"/>
        </w:rPr>
      </w:pPr>
      <w:bookmarkStart w:id="48" w:name="_Toc17029"/>
      <w:r>
        <w:rPr>
          <w:rFonts w:hint="eastAsia"/>
          <w:kern w:val="2"/>
        </w:rPr>
        <w:t>计算条件</w:t>
      </w:r>
      <w:bookmarkEnd w:id="48"/>
    </w:p>
    <w:tbl>
      <w:tblPr>
        <w:tblStyle w:val="20"/>
        <w:tblW w:w="932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2"/>
        <w:gridCol w:w="2693"/>
        <w:gridCol w:w="3671"/>
      </w:tblGrid>
      <w:tr w14:paraId="453001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2962" w:type="dxa"/>
            <w:tcBorders>
              <w:top w:val="single" w:color="auto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E6E6E6"/>
            <w:vAlign w:val="center"/>
          </w:tcPr>
          <w:p w14:paraId="79C3ED41">
            <w:r>
              <w:rPr>
                <w:position w:val="-6"/>
              </w:rPr>
              <w:object>
                <v:shape id="_x0000_i1053" o:spt="75" type="#_x0000_t75" style="height:13.5pt;width:13.5pt;" o:ole="t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45" r:id="rId49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内表面换热阻（㎡</w:t>
            </w:r>
            <w:r>
              <w:fldChar w:fldCharType="begin"/>
            </w:r>
            <w:r>
              <w:instrText xml:space="preserve"> QUOTE </w:instrText>
            </w:r>
            <w:r>
              <w:rPr>
                <w:position w:val="-8"/>
              </w:rPr>
              <w:pict>
                <v:shape id="_x0000_i1054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4DAA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A4DAA&quot; wsp:rsidP=&quot;00AA4DA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instrText xml:space="preserve"> </w:instrText>
            </w:r>
            <w:r>
              <w:fldChar w:fldCharType="separate"/>
            </w:r>
            <w:r>
              <w:rPr>
                <w:position w:val="-8"/>
              </w:rPr>
              <w:pict>
                <v:shape id="_x0000_i1055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4DAA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A4DAA&quot; wsp:rsidP=&quot;00AA4DA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fldChar w:fldCharType="end"/>
            </w:r>
            <w:r>
              <w:rPr>
                <w:rFonts w:hint="eastAsia"/>
              </w:rPr>
              <w:t>K/W）</w:t>
            </w:r>
          </w:p>
        </w:tc>
        <w:tc>
          <w:tcPr>
            <w:tcW w:w="2693" w:type="dxa"/>
            <w:tcBorders>
              <w:top w:val="single" w:color="auto" w:sz="12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05D7ECD">
            <w:r>
              <w:rPr>
                <w:rFonts w:hint="eastAsia"/>
              </w:rPr>
              <w:t>0.11</w:t>
            </w:r>
          </w:p>
        </w:tc>
        <w:tc>
          <w:tcPr>
            <w:tcW w:w="3671" w:type="dxa"/>
            <w:tcBorders>
              <w:top w:val="single" w:color="auto" w:sz="12" w:space="0"/>
              <w:left w:val="single" w:color="auto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 w14:paraId="30837B85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</w:t>
            </w:r>
            <w:r>
              <w:rPr>
                <w:rFonts w:hint="eastAsia"/>
                <w:lang w:val="en-US" w:eastAsia="zh-CN"/>
              </w:rPr>
              <w:t>-2016</w:t>
            </w:r>
            <w:r>
              <w:rPr>
                <w:rFonts w:hint="eastAsia"/>
              </w:rPr>
              <w:t>附录B.4的</w:t>
            </w:r>
            <w:r>
              <w:t>规定采用</w:t>
            </w:r>
            <w:r>
              <w:rPr>
                <w:rFonts w:hint="eastAsia"/>
              </w:rPr>
              <w:t>。</w:t>
            </w:r>
          </w:p>
        </w:tc>
      </w:tr>
      <w:tr w14:paraId="645824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962" w:type="dxa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E6E6E6"/>
            <w:vAlign w:val="center"/>
          </w:tcPr>
          <w:p w14:paraId="52B4D131">
            <w:r>
              <w:t xml:space="preserve">ti </w:t>
            </w:r>
            <w:r>
              <w:rPr>
                <w:rFonts w:hint="eastAsia"/>
              </w:rPr>
              <w:t>室内计算温度</w:t>
            </w:r>
            <w:r>
              <w:t>(</w:t>
            </w:r>
            <w:r>
              <w:rPr>
                <w:rFonts w:hint="eastAsia" w:ascii="宋体" w:hAnsi="宋体" w:cs="宋体"/>
              </w:rPr>
              <w:t>℃</w:t>
            </w:r>
            <w:r>
              <w:t>)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AB53034">
            <w:bookmarkStart w:id="49" w:name="t_i_avg"/>
            <w:r>
              <w:rPr>
                <w:rFonts w:hint="eastAsia"/>
              </w:rPr>
              <w:t>18</w:t>
            </w:r>
            <w:bookmarkEnd w:id="49"/>
          </w:p>
        </w:tc>
        <w:tc>
          <w:tcPr>
            <w:tcW w:w="3671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 w14:paraId="7FBFBBC9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</w:t>
            </w:r>
            <w:r>
              <w:rPr>
                <w:rFonts w:hint="eastAsia"/>
                <w:lang w:val="en-US" w:eastAsia="zh-CN"/>
              </w:rPr>
              <w:t>-2016</w:t>
            </w:r>
            <w:r>
              <w:rPr>
                <w:rFonts w:hint="eastAsia"/>
              </w:rPr>
              <w:t>第3.</w:t>
            </w:r>
            <w:r>
              <w:t>3.1</w:t>
            </w:r>
            <w:r>
              <w:rPr>
                <w:rFonts w:hint="eastAsia"/>
              </w:rPr>
              <w:t>条</w:t>
            </w:r>
            <w:r>
              <w:t>规定采用。</w:t>
            </w:r>
          </w:p>
        </w:tc>
      </w:tr>
      <w:tr w14:paraId="784275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962" w:type="dxa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E6E6E6"/>
            <w:vAlign w:val="center"/>
          </w:tcPr>
          <w:p w14:paraId="32C443F6">
            <w:r>
              <w:rPr>
                <w:rFonts w:hint="eastAsia"/>
              </w:rPr>
              <w:t>室内</w:t>
            </w:r>
            <w:r>
              <w:t>相对湿度(</w:t>
            </w:r>
            <w:r>
              <w:rPr>
                <w:rFonts w:hint="eastAsia" w:ascii="宋体" w:hAnsi="宋体" w:cs="宋体"/>
              </w:rPr>
              <w:t>%</w:t>
            </w:r>
            <w:r>
              <w:t>)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EE620D0">
            <w:bookmarkStart w:id="50" w:name="室内相对湿度"/>
            <w:r>
              <w:rPr>
                <w:rFonts w:hint="eastAsia"/>
              </w:rPr>
              <w:t>60</w:t>
            </w:r>
            <w:bookmarkEnd w:id="50"/>
          </w:p>
        </w:tc>
        <w:tc>
          <w:tcPr>
            <w:tcW w:w="3671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 w14:paraId="0CE0B470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</w:t>
            </w:r>
            <w:r>
              <w:rPr>
                <w:rFonts w:hint="eastAsia"/>
                <w:lang w:val="en-US" w:eastAsia="zh-CN"/>
              </w:rPr>
              <w:t>-2016</w:t>
            </w:r>
            <w:r>
              <w:rPr>
                <w:rFonts w:hint="eastAsia"/>
              </w:rPr>
              <w:t>第3.</w:t>
            </w:r>
            <w:r>
              <w:t>3.1</w:t>
            </w:r>
            <w:r>
              <w:rPr>
                <w:rFonts w:hint="eastAsia"/>
              </w:rPr>
              <w:t>条</w:t>
            </w:r>
            <w:r>
              <w:t>规定采用。</w:t>
            </w:r>
          </w:p>
        </w:tc>
      </w:tr>
      <w:tr w14:paraId="0E9485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962" w:type="dxa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E6E6E6"/>
            <w:vAlign w:val="center"/>
          </w:tcPr>
          <w:p w14:paraId="3C4D9F9B">
            <w:r>
              <w:rPr>
                <w:position w:val="-6"/>
              </w:rPr>
              <w:object>
                <v:shape id="_x0000_i1056" o:spt="75" type="#_x0000_t75" style="height:17.25pt;width:9.75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46" r:id="rId51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 采暖期室外平均温度（℃）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B5E092A">
            <w:bookmarkStart w:id="51" w:name="t_e_avg"/>
            <w:r>
              <w:rPr>
                <w:rFonts w:hint="eastAsia"/>
              </w:rPr>
              <w:t>4.10</w:t>
            </w:r>
            <w:bookmarkEnd w:id="51"/>
          </w:p>
        </w:tc>
        <w:tc>
          <w:tcPr>
            <w:tcW w:w="3671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 w14:paraId="4BB705A0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</w:t>
            </w:r>
            <w:r>
              <w:rPr>
                <w:rFonts w:hint="eastAsia"/>
                <w:lang w:val="en-US" w:eastAsia="zh-CN"/>
              </w:rPr>
              <w:t>-2016</w:t>
            </w:r>
            <w:r>
              <w:rPr>
                <w:rFonts w:hint="eastAsia"/>
              </w:rPr>
              <w:t>附录表A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  <w:tr w14:paraId="3005EC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962" w:type="dxa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 w:color="auto" w:fill="E6E6E6"/>
            <w:vAlign w:val="center"/>
          </w:tcPr>
          <w:p w14:paraId="540D2602">
            <w:r>
              <w:rPr>
                <w:rFonts w:hint="eastAsia"/>
              </w:rPr>
              <w:t>室外</w:t>
            </w:r>
            <w:r>
              <w:t>相对湿度(</w:t>
            </w:r>
            <w:r>
              <w:rPr>
                <w:rFonts w:hint="eastAsia" w:ascii="宋体" w:hAnsi="宋体" w:cs="宋体"/>
              </w:rPr>
              <w:t>%</w:t>
            </w:r>
            <w:r>
              <w:t>)</w:t>
            </w:r>
          </w:p>
        </w:tc>
        <w:tc>
          <w:tcPr>
            <w:tcW w:w="2693" w:type="dxa"/>
            <w:tcBorders>
              <w:top w:val="single" w:color="000000" w:sz="8" w:space="0"/>
              <w:left w:val="single" w:color="000000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FB8E8F">
            <w:bookmarkStart w:id="52" w:name="室外相对湿度"/>
            <w:r>
              <w:rPr>
                <w:rFonts w:hint="eastAsia"/>
              </w:rPr>
              <w:t>65</w:t>
            </w:r>
            <w:bookmarkEnd w:id="52"/>
          </w:p>
        </w:tc>
        <w:tc>
          <w:tcPr>
            <w:tcW w:w="3671" w:type="dxa"/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 w14:paraId="6B3844E0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</w:t>
            </w:r>
            <w:r>
              <w:rPr>
                <w:rFonts w:hint="eastAsia"/>
                <w:lang w:val="en-US" w:eastAsia="zh-CN"/>
              </w:rPr>
              <w:t>-2016</w:t>
            </w:r>
            <w:r>
              <w:rPr>
                <w:rFonts w:hint="eastAsia"/>
              </w:rPr>
              <w:t>附录表A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  <w:tr w14:paraId="574132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962" w:type="dxa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auto" w:sz="8" w:space="0"/>
            </w:tcBorders>
            <w:shd w:val="clear" w:color="auto" w:fill="E6E6E6"/>
            <w:vAlign w:val="center"/>
          </w:tcPr>
          <w:p w14:paraId="38493C4E">
            <w:r>
              <w:rPr>
                <w:rFonts w:hint="eastAsia"/>
              </w:rPr>
              <w:t>Z</w:t>
            </w:r>
            <w:r>
              <w:t xml:space="preserve"> </w:t>
            </w:r>
            <w:r>
              <w:rPr>
                <w:rFonts w:hint="eastAsia"/>
              </w:rPr>
              <w:t>采暖</w:t>
            </w:r>
            <w:r>
              <w:t>天数</w:t>
            </w:r>
          </w:p>
        </w:tc>
        <w:tc>
          <w:tcPr>
            <w:tcW w:w="2693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1EE225E7">
            <w:bookmarkStart w:id="53" w:name="Z"/>
            <w:r>
              <w:rPr>
                <w:rFonts w:hint="eastAsia"/>
              </w:rPr>
              <w:t>0</w:t>
            </w:r>
            <w:bookmarkEnd w:id="53"/>
          </w:p>
        </w:tc>
        <w:tc>
          <w:tcPr>
            <w:tcW w:w="3671" w:type="dxa"/>
            <w:tcBorders>
              <w:top w:val="single" w:color="000000" w:sz="8" w:space="0"/>
              <w:left w:val="single" w:color="auto" w:sz="8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3A5C565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</w:t>
            </w:r>
            <w:r>
              <w:rPr>
                <w:rFonts w:hint="eastAsia"/>
                <w:lang w:val="en-US" w:eastAsia="zh-CN"/>
              </w:rPr>
              <w:t>-2016</w:t>
            </w:r>
            <w:r>
              <w:rPr>
                <w:rFonts w:hint="eastAsia"/>
              </w:rPr>
              <w:t>附录A表A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</w:tbl>
    <w:p w14:paraId="289691B7">
      <w:r>
        <w:rPr>
          <w:rFonts w:hint="eastAsia"/>
        </w:rPr>
        <w:t xml:space="preserve"> </w:t>
      </w:r>
      <w:bookmarkStart w:id="54" w:name="气象数据参考"/>
      <w:bookmarkEnd w:id="54"/>
    </w:p>
    <w:p w14:paraId="28DA87E8">
      <w:pPr>
        <w:pStyle w:val="3"/>
        <w:ind w:left="0" w:leftChars="0" w:right="1470"/>
      </w:pPr>
    </w:p>
    <w:p w14:paraId="47DC3AAC">
      <w:pPr>
        <w:pStyle w:val="4"/>
        <w:spacing w:line="240" w:lineRule="atLeast"/>
        <w:rPr>
          <w:kern w:val="2"/>
        </w:rPr>
      </w:pPr>
      <w:bookmarkStart w:id="55" w:name="构造ID"/>
      <w:bookmarkStart w:id="56" w:name="_Toc9544"/>
      <w:bookmarkStart w:id="57" w:name="DataTab"/>
      <w:r>
        <w:rPr>
          <w:rFonts w:hint="eastAsia"/>
          <w:kern w:val="2"/>
        </w:rPr>
        <w:t>屋顶构造一</w:t>
      </w:r>
      <w:bookmarkEnd w:id="55"/>
      <w:bookmarkEnd w:id="56"/>
    </w:p>
    <w:tbl>
      <w:tblPr>
        <w:tblStyle w:val="20"/>
        <w:tblW w:w="948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671"/>
        <w:gridCol w:w="992"/>
        <w:gridCol w:w="1559"/>
        <w:gridCol w:w="993"/>
      </w:tblGrid>
      <w:tr w14:paraId="3875F7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</w:tblPrEx>
        <w:tc>
          <w:tcPr>
            <w:tcW w:w="3345" w:type="dxa"/>
            <w:vMerge w:val="restart"/>
            <w:shd w:val="clear" w:color="auto" w:fill="E6E6E6"/>
            <w:vAlign w:val="center"/>
          </w:tcPr>
          <w:p w14:paraId="680E369F">
            <w:pPr>
              <w:jc w:val="center"/>
              <w:rPr>
                <w:kern w:val="0"/>
                <w:szCs w:val="20"/>
                <w:lang w:val="en-GB"/>
              </w:rPr>
            </w:pPr>
            <w:bookmarkStart w:id="58" w:name="构造表"/>
            <w:r>
              <w:rPr>
                <w:rFonts w:hint="eastAsia"/>
              </w:rPr>
              <w:t>材料名称</w:t>
            </w:r>
            <w:r>
              <w:br w:type="textWrapping"/>
            </w:r>
            <w:r>
              <w:rPr>
                <w:rFonts w:hint="eastAsia"/>
              </w:rP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6D4603E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E213420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1691C189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171127DA">
            <w:pPr>
              <w:jc w:val="center"/>
            </w:pPr>
            <w:r>
              <w:rPr>
                <w:rFonts w:hint="eastAsia"/>
              </w:rPr>
              <w:t>密度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1F664623">
            <w:pPr>
              <w:jc w:val="center"/>
            </w:pPr>
            <w:r>
              <w:rPr>
                <w:rFonts w:hint="eastAsia"/>
              </w:rPr>
              <w:t>蒸汽渗透</w:t>
            </w:r>
            <w:r>
              <w:t>系数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0F3DFFE9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</w:tr>
      <w:tr w14:paraId="0C3BE9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Merge w:val="continue"/>
            <w:vAlign w:val="center"/>
          </w:tcPr>
          <w:p w14:paraId="3AADCC24">
            <w:pPr>
              <w:rPr>
                <w:lang w:val="en-GB"/>
              </w:rPr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726F9C32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5574C68">
            <w:pPr>
              <w:jc w:val="center"/>
            </w:pPr>
            <w:r>
              <w:t>W/(m.K)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0EE3E905">
            <w:pPr>
              <w:jc w:val="center"/>
            </w:pPr>
            <w:r>
              <w:t>α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4260EE7C">
            <w:pPr>
              <w:jc w:val="center"/>
            </w:pPr>
            <w:r>
              <w:t>Kg/m³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6BE39906">
            <w:pPr>
              <w:jc w:val="center"/>
            </w:pPr>
            <w:r>
              <w:t>g</w:t>
            </w:r>
            <w:r>
              <w:rPr>
                <w:rFonts w:hint="eastAsia"/>
              </w:rPr>
              <w:t>/(m</w:t>
            </w:r>
            <w:r>
              <w:t>.</w:t>
            </w:r>
            <w:r>
              <w:rPr>
                <w:rFonts w:hint="eastAsia"/>
              </w:rPr>
              <w:t>h.</w:t>
            </w:r>
            <w:r>
              <w:t>K</w:t>
            </w:r>
            <w:r>
              <w:rPr>
                <w:rFonts w:hint="eastAsia"/>
              </w:rPr>
              <w:t>Pa</w:t>
            </w:r>
            <w:r>
              <w:t>)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3C47D692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</w:tr>
      <w:tr w14:paraId="4B7DC8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0C43B2B4">
            <w:r>
              <w:t>c20细石混凝土(ρ=2300)</w:t>
            </w:r>
          </w:p>
        </w:tc>
        <w:tc>
          <w:tcPr>
            <w:tcW w:w="848" w:type="dxa"/>
            <w:vAlign w:val="center"/>
          </w:tcPr>
          <w:p w14:paraId="293AB42C">
            <w:r>
              <w:t>40</w:t>
            </w:r>
          </w:p>
        </w:tc>
        <w:tc>
          <w:tcPr>
            <w:tcW w:w="1075" w:type="dxa"/>
            <w:vAlign w:val="center"/>
          </w:tcPr>
          <w:p w14:paraId="44E1EC93">
            <w:r>
              <w:t>1.510</w:t>
            </w:r>
          </w:p>
        </w:tc>
        <w:tc>
          <w:tcPr>
            <w:tcW w:w="671" w:type="dxa"/>
            <w:vAlign w:val="center"/>
          </w:tcPr>
          <w:p w14:paraId="7F310476">
            <w:r>
              <w:t>1.00</w:t>
            </w:r>
          </w:p>
        </w:tc>
        <w:tc>
          <w:tcPr>
            <w:tcW w:w="992" w:type="dxa"/>
            <w:vAlign w:val="center"/>
          </w:tcPr>
          <w:p w14:paraId="39825F84">
            <w:r>
              <w:t>2300.00</w:t>
            </w:r>
          </w:p>
        </w:tc>
        <w:tc>
          <w:tcPr>
            <w:tcW w:w="1559" w:type="dxa"/>
            <w:vAlign w:val="center"/>
          </w:tcPr>
          <w:p w14:paraId="57E51A05">
            <w:r>
              <w:t>0.0000</w:t>
            </w:r>
          </w:p>
        </w:tc>
        <w:tc>
          <w:tcPr>
            <w:tcW w:w="993" w:type="dxa"/>
            <w:vAlign w:val="center"/>
          </w:tcPr>
          <w:p w14:paraId="1893EC8F">
            <w:r>
              <w:t>0.026</w:t>
            </w:r>
          </w:p>
        </w:tc>
      </w:tr>
      <w:tr w14:paraId="738D67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72FA77C3">
            <w:r>
              <w:t>挤塑聚苯板(ρ=25-32)</w:t>
            </w:r>
          </w:p>
        </w:tc>
        <w:tc>
          <w:tcPr>
            <w:tcW w:w="848" w:type="dxa"/>
            <w:vAlign w:val="center"/>
          </w:tcPr>
          <w:p w14:paraId="2A2AFDF1">
            <w:r>
              <w:t>50</w:t>
            </w:r>
          </w:p>
        </w:tc>
        <w:tc>
          <w:tcPr>
            <w:tcW w:w="1075" w:type="dxa"/>
            <w:vAlign w:val="center"/>
          </w:tcPr>
          <w:p w14:paraId="7731E1DD">
            <w:r>
              <w:t>0.030</w:t>
            </w:r>
          </w:p>
        </w:tc>
        <w:tc>
          <w:tcPr>
            <w:tcW w:w="671" w:type="dxa"/>
            <w:vAlign w:val="center"/>
          </w:tcPr>
          <w:p w14:paraId="77E1D2AE">
            <w:r>
              <w:t>1.20</w:t>
            </w:r>
          </w:p>
        </w:tc>
        <w:tc>
          <w:tcPr>
            <w:tcW w:w="992" w:type="dxa"/>
            <w:vAlign w:val="center"/>
          </w:tcPr>
          <w:p w14:paraId="1F593C38">
            <w:r>
              <w:t>28.50</w:t>
            </w:r>
          </w:p>
        </w:tc>
        <w:tc>
          <w:tcPr>
            <w:tcW w:w="1559" w:type="dxa"/>
            <w:vAlign w:val="center"/>
          </w:tcPr>
          <w:p w14:paraId="1DBF8209">
            <w:r>
              <w:t>0.0000</w:t>
            </w:r>
          </w:p>
        </w:tc>
        <w:tc>
          <w:tcPr>
            <w:tcW w:w="993" w:type="dxa"/>
            <w:vAlign w:val="center"/>
          </w:tcPr>
          <w:p w14:paraId="39605ED7">
            <w:r>
              <w:t>1.389</w:t>
            </w:r>
          </w:p>
        </w:tc>
      </w:tr>
      <w:tr w14:paraId="153A3B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1828DF18">
            <w:r>
              <w:t>合成高分子防水涂膜</w:t>
            </w:r>
          </w:p>
        </w:tc>
        <w:tc>
          <w:tcPr>
            <w:tcW w:w="848" w:type="dxa"/>
            <w:vAlign w:val="center"/>
          </w:tcPr>
          <w:p w14:paraId="29BD0C1A">
            <w:r>
              <w:t>1.5</w:t>
            </w:r>
          </w:p>
        </w:tc>
        <w:tc>
          <w:tcPr>
            <w:tcW w:w="1075" w:type="dxa"/>
            <w:vAlign w:val="center"/>
          </w:tcPr>
          <w:p w14:paraId="143661BB">
            <w:r>
              <w:t>0.150</w:t>
            </w:r>
          </w:p>
        </w:tc>
        <w:tc>
          <w:tcPr>
            <w:tcW w:w="671" w:type="dxa"/>
            <w:vAlign w:val="center"/>
          </w:tcPr>
          <w:p w14:paraId="4EB6BB90">
            <w:r>
              <w:t>1.00</w:t>
            </w:r>
          </w:p>
        </w:tc>
        <w:tc>
          <w:tcPr>
            <w:tcW w:w="992" w:type="dxa"/>
            <w:vAlign w:val="center"/>
          </w:tcPr>
          <w:p w14:paraId="336104F8">
            <w:r>
              <w:t>580.00</w:t>
            </w:r>
          </w:p>
        </w:tc>
        <w:tc>
          <w:tcPr>
            <w:tcW w:w="1559" w:type="dxa"/>
            <w:vAlign w:val="center"/>
          </w:tcPr>
          <w:p w14:paraId="7D41E30B">
            <w:r>
              <w:t>0.0000</w:t>
            </w:r>
          </w:p>
        </w:tc>
        <w:tc>
          <w:tcPr>
            <w:tcW w:w="993" w:type="dxa"/>
            <w:vAlign w:val="center"/>
          </w:tcPr>
          <w:p w14:paraId="31EB7391">
            <w:r>
              <w:t>0.010</w:t>
            </w:r>
          </w:p>
        </w:tc>
      </w:tr>
      <w:tr w14:paraId="369DE7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7ADD04F3">
            <w:r>
              <w:t>合成高分子防水卷材</w:t>
            </w:r>
          </w:p>
        </w:tc>
        <w:tc>
          <w:tcPr>
            <w:tcW w:w="848" w:type="dxa"/>
            <w:vAlign w:val="center"/>
          </w:tcPr>
          <w:p w14:paraId="7AE2BA0C">
            <w:r>
              <w:t>1.5</w:t>
            </w:r>
          </w:p>
        </w:tc>
        <w:tc>
          <w:tcPr>
            <w:tcW w:w="1075" w:type="dxa"/>
            <w:vAlign w:val="center"/>
          </w:tcPr>
          <w:p w14:paraId="1BF9CC4D">
            <w:r>
              <w:t>0.150</w:t>
            </w:r>
          </w:p>
        </w:tc>
        <w:tc>
          <w:tcPr>
            <w:tcW w:w="671" w:type="dxa"/>
            <w:vAlign w:val="center"/>
          </w:tcPr>
          <w:p w14:paraId="6F093A20">
            <w:r>
              <w:t>1.00</w:t>
            </w:r>
          </w:p>
        </w:tc>
        <w:tc>
          <w:tcPr>
            <w:tcW w:w="992" w:type="dxa"/>
            <w:vAlign w:val="center"/>
          </w:tcPr>
          <w:p w14:paraId="2DB4DAA9">
            <w:r>
              <w:t>580.00</w:t>
            </w:r>
          </w:p>
        </w:tc>
        <w:tc>
          <w:tcPr>
            <w:tcW w:w="1559" w:type="dxa"/>
            <w:vAlign w:val="center"/>
          </w:tcPr>
          <w:p w14:paraId="6B368E29">
            <w:r>
              <w:t>0.0000</w:t>
            </w:r>
          </w:p>
        </w:tc>
        <w:tc>
          <w:tcPr>
            <w:tcW w:w="993" w:type="dxa"/>
            <w:vAlign w:val="center"/>
          </w:tcPr>
          <w:p w14:paraId="53AEA3E8">
            <w:r>
              <w:t>0.010</w:t>
            </w:r>
          </w:p>
        </w:tc>
      </w:tr>
      <w:tr w14:paraId="57FF52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67D3219A">
            <w:r>
              <w:t>水泥砂浆</w:t>
            </w:r>
          </w:p>
        </w:tc>
        <w:tc>
          <w:tcPr>
            <w:tcW w:w="848" w:type="dxa"/>
            <w:vAlign w:val="center"/>
          </w:tcPr>
          <w:p w14:paraId="7DB84881">
            <w:r>
              <w:t>15</w:t>
            </w:r>
          </w:p>
        </w:tc>
        <w:tc>
          <w:tcPr>
            <w:tcW w:w="1075" w:type="dxa"/>
            <w:vAlign w:val="center"/>
          </w:tcPr>
          <w:p w14:paraId="460F9071">
            <w:r>
              <w:t>0.930</w:t>
            </w:r>
          </w:p>
        </w:tc>
        <w:tc>
          <w:tcPr>
            <w:tcW w:w="671" w:type="dxa"/>
            <w:vAlign w:val="center"/>
          </w:tcPr>
          <w:p w14:paraId="2A040D89">
            <w:r>
              <w:t>1.00</w:t>
            </w:r>
          </w:p>
        </w:tc>
        <w:tc>
          <w:tcPr>
            <w:tcW w:w="992" w:type="dxa"/>
            <w:vAlign w:val="center"/>
          </w:tcPr>
          <w:p w14:paraId="563FDF01">
            <w:r>
              <w:t>1800.00</w:t>
            </w:r>
          </w:p>
        </w:tc>
        <w:tc>
          <w:tcPr>
            <w:tcW w:w="1559" w:type="dxa"/>
            <w:vAlign w:val="center"/>
          </w:tcPr>
          <w:p w14:paraId="551F8826">
            <w:r>
              <w:t>0.0210</w:t>
            </w:r>
          </w:p>
        </w:tc>
        <w:tc>
          <w:tcPr>
            <w:tcW w:w="993" w:type="dxa"/>
            <w:vAlign w:val="center"/>
          </w:tcPr>
          <w:p w14:paraId="3CF1E897">
            <w:r>
              <w:t>0.016</w:t>
            </w:r>
          </w:p>
        </w:tc>
      </w:tr>
      <w:tr w14:paraId="2BE8A5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748ECBCA">
            <w:r>
              <w:t>钢筋混凝土</w:t>
            </w:r>
          </w:p>
        </w:tc>
        <w:tc>
          <w:tcPr>
            <w:tcW w:w="848" w:type="dxa"/>
            <w:vAlign w:val="center"/>
          </w:tcPr>
          <w:p w14:paraId="02308CCD">
            <w:r>
              <w:t>120</w:t>
            </w:r>
          </w:p>
        </w:tc>
        <w:tc>
          <w:tcPr>
            <w:tcW w:w="1075" w:type="dxa"/>
            <w:vAlign w:val="center"/>
          </w:tcPr>
          <w:p w14:paraId="392C2A4E">
            <w:r>
              <w:t>1.740</w:t>
            </w:r>
          </w:p>
        </w:tc>
        <w:tc>
          <w:tcPr>
            <w:tcW w:w="671" w:type="dxa"/>
            <w:vAlign w:val="center"/>
          </w:tcPr>
          <w:p w14:paraId="5E96D991">
            <w:r>
              <w:t>1.00</w:t>
            </w:r>
          </w:p>
        </w:tc>
        <w:tc>
          <w:tcPr>
            <w:tcW w:w="992" w:type="dxa"/>
            <w:vAlign w:val="center"/>
          </w:tcPr>
          <w:p w14:paraId="6D7D0009">
            <w:r>
              <w:t>2500.00</w:t>
            </w:r>
          </w:p>
        </w:tc>
        <w:tc>
          <w:tcPr>
            <w:tcW w:w="1559" w:type="dxa"/>
            <w:vAlign w:val="center"/>
          </w:tcPr>
          <w:p w14:paraId="690AB9B2">
            <w:r>
              <w:t>0.0158</w:t>
            </w:r>
          </w:p>
        </w:tc>
        <w:tc>
          <w:tcPr>
            <w:tcW w:w="993" w:type="dxa"/>
            <w:vAlign w:val="center"/>
          </w:tcPr>
          <w:p w14:paraId="4C947AC7">
            <w:r>
              <w:t>0.069</w:t>
            </w:r>
          </w:p>
        </w:tc>
      </w:tr>
      <w:tr w14:paraId="1934EE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5" w:type="dxa"/>
            <w:vAlign w:val="center"/>
          </w:tcPr>
          <w:p w14:paraId="07150738">
            <w:r>
              <w:t>石灰砂浆</w:t>
            </w:r>
          </w:p>
        </w:tc>
        <w:tc>
          <w:tcPr>
            <w:tcW w:w="848" w:type="dxa"/>
            <w:vAlign w:val="center"/>
          </w:tcPr>
          <w:p w14:paraId="477E2EEF">
            <w:r>
              <w:t>20</w:t>
            </w:r>
          </w:p>
        </w:tc>
        <w:tc>
          <w:tcPr>
            <w:tcW w:w="1075" w:type="dxa"/>
            <w:vAlign w:val="center"/>
          </w:tcPr>
          <w:p w14:paraId="13E6E4B9">
            <w:r>
              <w:t>0.810</w:t>
            </w:r>
          </w:p>
        </w:tc>
        <w:tc>
          <w:tcPr>
            <w:tcW w:w="671" w:type="dxa"/>
            <w:vAlign w:val="center"/>
          </w:tcPr>
          <w:p w14:paraId="629687C2">
            <w:r>
              <w:t>1.00</w:t>
            </w:r>
          </w:p>
        </w:tc>
        <w:tc>
          <w:tcPr>
            <w:tcW w:w="992" w:type="dxa"/>
            <w:vAlign w:val="center"/>
          </w:tcPr>
          <w:p w14:paraId="6F588FB9">
            <w:r>
              <w:t>1600.00</w:t>
            </w:r>
          </w:p>
        </w:tc>
        <w:tc>
          <w:tcPr>
            <w:tcW w:w="1559" w:type="dxa"/>
            <w:vAlign w:val="center"/>
          </w:tcPr>
          <w:p w14:paraId="0202F505">
            <w:r>
              <w:t>0.0443</w:t>
            </w:r>
          </w:p>
        </w:tc>
        <w:tc>
          <w:tcPr>
            <w:tcW w:w="993" w:type="dxa"/>
            <w:vAlign w:val="center"/>
          </w:tcPr>
          <w:p w14:paraId="3D128D79">
            <w:r>
              <w:t>0.025</w:t>
            </w:r>
          </w:p>
        </w:tc>
      </w:tr>
      <w:bookmarkEnd w:id="58"/>
    </w:tbl>
    <w:p w14:paraId="089E154D">
      <w:pPr>
        <w:pStyle w:val="3"/>
        <w:ind w:left="1470" w:right="1470"/>
      </w:pPr>
    </w:p>
    <w:p w14:paraId="1F50C3B9">
      <w:pPr>
        <w:pStyle w:val="5"/>
      </w:pPr>
      <w:bookmarkStart w:id="59" w:name="_Toc10445"/>
      <w:r>
        <w:rPr>
          <w:rFonts w:hint="eastAsia"/>
        </w:rPr>
        <w:t>冷凝计算界面至围护结构内表面之间的热阻</w:t>
      </w:r>
      <w:r>
        <w:object>
          <v:shape id="_x0000_i1057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57" DrawAspect="Content" ObjectID="_1468075747" r:id="rId53">
            <o:LockedField>false</o:LockedField>
          </o:OLEObject>
        </w:object>
      </w:r>
      <w:bookmarkEnd w:id="59"/>
    </w:p>
    <w:p w14:paraId="394BD8BA">
      <w:pPr>
        <w:pStyle w:val="41"/>
      </w:pPr>
      <w:r>
        <w:rPr>
          <w:rFonts w:hint="eastAsia"/>
        </w:rPr>
        <w:t>围护结构冷凝计算界面的位置，应取保温层与外侧密实材料层的交界处。</w:t>
      </w:r>
      <w:r>
        <w:rPr>
          <w:b/>
          <w:bCs/>
        </w:rPr>
        <w:object>
          <v:shape id="_x0000_i1058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58" DrawAspect="Content" ObjectID="_1468075748" r:id="rId54">
            <o:LockedField>false</o:LockedField>
          </o:OLEObject>
        </w:object>
      </w:r>
      <w:r>
        <w:rPr>
          <w:b/>
          <w:bCs/>
        </w:rPr>
        <w:t>=</w:t>
      </w:r>
      <w:bookmarkStart w:id="60" w:name="R_o_i"/>
      <w:r>
        <w:rPr>
          <w:rFonts w:hint="eastAsia"/>
        </w:rPr>
        <w:t>-</w:t>
      </w:r>
      <w:bookmarkEnd w:id="60"/>
    </w:p>
    <w:p w14:paraId="5A373298">
      <w:pPr>
        <w:pStyle w:val="5"/>
        <w:ind w:right="1470"/>
      </w:pPr>
      <w:bookmarkStart w:id="61" w:name="_Toc1155"/>
      <w:r>
        <w:rPr>
          <w:rFonts w:hint="eastAsia"/>
        </w:rPr>
        <w:t>冷凝计算界面温度</w:t>
      </w:r>
      <w:r>
        <w:rPr>
          <w:position w:val="-6"/>
        </w:rPr>
        <w:object>
          <v:shape id="_x0000_i1059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59" DrawAspect="Content" ObjectID="_1468075749" r:id="rId55">
            <o:LockedField>false</o:LockedField>
          </o:OLEObject>
        </w:object>
      </w:r>
      <w:bookmarkEnd w:id="61"/>
    </w:p>
    <w:p w14:paraId="05344369">
      <w:pPr>
        <w:jc w:val="center"/>
      </w:pPr>
      <w:r>
        <w:object>
          <v:shape id="_x0000_i1060" o:spt="75" type="#_x0000_t75" style="height:33pt;width:111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60" DrawAspect="Content" ObjectID="_1468075750" r:id="rId56">
            <o:LockedField>false</o:LockedField>
          </o:OLEObject>
        </w:object>
      </w:r>
    </w:p>
    <w:p w14:paraId="46587902">
      <w:pPr>
        <w:pStyle w:val="41"/>
      </w:pPr>
      <w:r>
        <w:rPr>
          <w:rFonts w:hint="eastAsia"/>
        </w:rPr>
        <w:t>将</w:t>
      </w:r>
      <w:r>
        <w:t>参数代入上</w:t>
      </w:r>
      <w:r>
        <w:rPr>
          <w:rFonts w:hint="eastAsia" w:eastAsiaTheme="minorEastAsia"/>
          <w:szCs w:val="22"/>
        </w:rPr>
        <w:t>式，</w:t>
      </w:r>
      <w:r>
        <w:rPr>
          <w:position w:val="-6"/>
        </w:rPr>
        <w:object>
          <v:shape id="_x0000_i1061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61" DrawAspect="Content" ObjectID="_1468075751" r:id="rId58">
            <o:LockedField>false</o:LockedField>
          </o:OLEObject>
        </w:object>
      </w:r>
      <w:r>
        <w:t>=</w:t>
      </w:r>
      <w:bookmarkStart w:id="62" w:name="θ_c"/>
      <w:r>
        <w:rPr>
          <w:rFonts w:hint="eastAsia"/>
        </w:rPr>
        <w:t>-</w:t>
      </w:r>
      <w:bookmarkEnd w:id="62"/>
    </w:p>
    <w:p w14:paraId="7E051200">
      <w:pPr>
        <w:pStyle w:val="5"/>
        <w:ind w:right="1470"/>
      </w:pPr>
      <w:bookmarkStart w:id="63" w:name="_Toc16771"/>
      <w:r>
        <w:rPr>
          <w:rStyle w:val="32"/>
          <w:rFonts w:hint="eastAsia"/>
          <w:b/>
          <w:bCs w:val="0"/>
        </w:rPr>
        <w:t>围护结构冷凝受潮验算</w:t>
      </w:r>
      <w:bookmarkEnd w:id="63"/>
    </w:p>
    <w:tbl>
      <w:tblPr>
        <w:tblStyle w:val="20"/>
        <w:tblW w:w="995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8"/>
        <w:gridCol w:w="2693"/>
        <w:gridCol w:w="1374"/>
        <w:gridCol w:w="2737"/>
      </w:tblGrid>
      <w:tr w14:paraId="66B9E3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686086AF">
            <w:pPr>
              <w:rPr>
                <w:rFonts w:ascii="宋体" w:hAnsi="宋体"/>
                <w:sz w:val="24"/>
              </w:rPr>
            </w:pPr>
            <w:r>
              <w:rPr>
                <w:position w:val="-6"/>
              </w:rPr>
              <w:object>
                <v:shape id="_x0000_i1062" o:spt="75" type="#_x0000_t75" style="height:13.5pt;width:20.25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52" r:id="rId59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14EE14A6">
            <w:r>
              <w:rPr>
                <w:position w:val="-6"/>
              </w:rPr>
              <w:object>
                <v:shape id="_x0000_i1063" o:spt="75" type="#_x0000_t75" style="height:13.5pt;width:20.25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53" r:id="rId60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冷凝计算界面内侧实际的蒸汽渗透阻(㎡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4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5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2E119CCC">
            <w:pPr>
              <w:jc w:val="center"/>
            </w:pPr>
            <w:bookmarkStart w:id="64" w:name="H_o_i"/>
            <w:r>
              <w:rPr>
                <w:rFonts w:hint="eastAsia"/>
              </w:rPr>
              <w:t>-</w:t>
            </w:r>
            <w:bookmarkEnd w:id="64"/>
          </w:p>
        </w:tc>
        <w:tc>
          <w:tcPr>
            <w:tcW w:w="2737" w:type="dxa"/>
            <w:vAlign w:val="center"/>
          </w:tcPr>
          <w:p w14:paraId="38EF5C92">
            <w:r>
              <w:rPr>
                <w:rFonts w:hint="eastAsia"/>
              </w:rPr>
              <w:t>应</w:t>
            </w:r>
            <w:r>
              <w:t>≥</w:t>
            </w:r>
            <w:r>
              <w:rPr>
                <w:rFonts w:hint="eastAsia"/>
              </w:rPr>
              <w:t>限值(</w:t>
            </w:r>
            <w:bookmarkStart w:id="65" w:name="H_o_i_l"/>
            <w:r>
              <w:t>-</w:t>
            </w:r>
            <w:bookmarkEnd w:id="65"/>
            <w:r>
              <w:t>)</w:t>
            </w:r>
          </w:p>
        </w:tc>
      </w:tr>
      <w:tr w14:paraId="029FFB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7FEE56EB">
            <w:r>
              <w:rPr>
                <w:position w:val="-6"/>
              </w:rPr>
              <w:object>
                <v:shape id="_x0000_i1068" o:spt="75" type="#_x0000_t75" style="height:13.5pt;width:21.7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54" r:id="rId61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514FD5B5">
            <w:r>
              <w:rPr>
                <w:position w:val="-6"/>
              </w:rPr>
              <w:object>
                <v:shape id="_x0000_i1069" o:spt="75" type="#_x0000_t75" style="height:13.5pt;width:21.7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55" r:id="rId62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冷凝计算界面至围护结构外表面之间的蒸汽渗透阻(㎡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70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71" o:spt="75" type="#_x0000_t75" style="height:15.75pt;width: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lt;/aml:annotation&gt;&lt;/m:r&gt;&lt;/m:oMath&gt;&lt;/m:oMathPara&gt;&lt;/w:p&gt;&lt;w:sectPr wsp:rsidR=&quot;00000000&quot;&gt;&lt;w: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72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73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lt;/aml:annotation&gt;&lt;/m:r&gt;&lt;/m:oMath&gt;&lt;/m:oMathPara&gt;&lt;/w:p&gt;&lt;w:sectPr wsp:rsidR=&quot;00000000&quot;&gt;&lt;w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2B2C8524">
            <w:pPr>
              <w:jc w:val="center"/>
            </w:pPr>
            <w:bookmarkStart w:id="66" w:name="H_o_e"/>
            <w:r>
              <w:rPr>
                <w:rFonts w:hint="eastAsia"/>
              </w:rPr>
              <w:t>-</w:t>
            </w:r>
            <w:bookmarkEnd w:id="66"/>
          </w:p>
        </w:tc>
        <w:tc>
          <w:tcPr>
            <w:tcW w:w="2737" w:type="dxa"/>
            <w:vAlign w:val="center"/>
          </w:tcPr>
          <w:p w14:paraId="3997C26C"/>
        </w:tc>
      </w:tr>
      <w:tr w14:paraId="21C287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3AF53C6B">
            <w:r>
              <w:rPr>
                <w:position w:val="-6"/>
              </w:rPr>
              <w:object>
                <v:shape id="_x0000_i1074" o:spt="75" type="#_x0000_t75" style="height:13.5pt;width:13.5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56" r:id="rId63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305A9667">
            <w:r>
              <w:rPr>
                <w:position w:val="-6"/>
              </w:rPr>
              <w:object>
                <v:shape id="_x0000_i1075" o:spt="75" type="#_x0000_t75" style="height:13.5pt;width:13.5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57" r:id="rId64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室内空气水蒸气分压力(Pa)</w:t>
            </w:r>
          </w:p>
        </w:tc>
        <w:tc>
          <w:tcPr>
            <w:tcW w:w="1374" w:type="dxa"/>
            <w:vAlign w:val="center"/>
          </w:tcPr>
          <w:p w14:paraId="010652A9">
            <w:pPr>
              <w:jc w:val="center"/>
            </w:pPr>
            <w:bookmarkStart w:id="67" w:name="Pi"/>
            <w:r>
              <w:rPr>
                <w:rFonts w:hint="eastAsia"/>
              </w:rPr>
              <w:t>1237.20</w:t>
            </w:r>
            <w:bookmarkEnd w:id="67"/>
          </w:p>
        </w:tc>
        <w:tc>
          <w:tcPr>
            <w:tcW w:w="2737" w:type="dxa"/>
            <w:vAlign w:val="center"/>
          </w:tcPr>
          <w:p w14:paraId="14F7B785">
            <w:r>
              <w:rPr>
                <w:rFonts w:hint="eastAsia" w:ascii="宋体" w:cs="宋体"/>
                <w:kern w:val="0"/>
                <w:szCs w:val="21"/>
              </w:rPr>
              <w:t>根据室内计算温度和相对湿度确定。</w:t>
            </w:r>
          </w:p>
        </w:tc>
      </w:tr>
      <w:tr w14:paraId="12A0BB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65849C16">
            <w:r>
              <w:rPr>
                <w:position w:val="-6"/>
              </w:rPr>
              <w:object>
                <v:shape id="_x0000_i1076" o:spt="75" type="#_x0000_t75" style="height:13.5pt;width:1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58" r:id="rId65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454DF7B3">
            <w:r>
              <w:rPr>
                <w:position w:val="-6"/>
              </w:rPr>
              <w:object>
                <v:shape id="_x0000_i1077" o:spt="75" type="#_x0000_t75" style="height:13.5pt;width:1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59" r:id="rId66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室外空气水蒸气分压力(Pa)</w:t>
            </w:r>
          </w:p>
        </w:tc>
        <w:tc>
          <w:tcPr>
            <w:tcW w:w="1374" w:type="dxa"/>
            <w:vAlign w:val="center"/>
          </w:tcPr>
          <w:p w14:paraId="17F268BF">
            <w:pPr>
              <w:jc w:val="center"/>
            </w:pPr>
            <w:bookmarkStart w:id="68" w:name="Pe"/>
            <w:r>
              <w:rPr>
                <w:rFonts w:hint="eastAsia"/>
              </w:rPr>
              <w:t>532.29</w:t>
            </w:r>
            <w:bookmarkEnd w:id="68"/>
          </w:p>
        </w:tc>
        <w:tc>
          <w:tcPr>
            <w:tcW w:w="2737" w:type="dxa"/>
            <w:vAlign w:val="center"/>
          </w:tcPr>
          <w:p w14:paraId="08D06EB2">
            <w:r>
              <w:rPr>
                <w:rFonts w:hint="eastAsia" w:ascii="宋体" w:cs="宋体"/>
                <w:kern w:val="0"/>
                <w:szCs w:val="21"/>
              </w:rPr>
              <w:t>根据采暖期</w:t>
            </w:r>
            <w:r>
              <w:rPr>
                <w:rFonts w:ascii="宋体" w:cs="宋体"/>
                <w:kern w:val="0"/>
                <w:szCs w:val="21"/>
              </w:rPr>
              <w:t>室外</w:t>
            </w:r>
            <w:r>
              <w:rPr>
                <w:rFonts w:hint="eastAsia" w:ascii="宋体" w:cs="宋体"/>
                <w:kern w:val="0"/>
                <w:szCs w:val="21"/>
              </w:rPr>
              <w:t>平均</w:t>
            </w:r>
            <w:r>
              <w:rPr>
                <w:rFonts w:ascii="宋体" w:cs="宋体"/>
                <w:kern w:val="0"/>
                <w:szCs w:val="21"/>
              </w:rPr>
              <w:t>温度和平均相对湿度确定。</w:t>
            </w:r>
          </w:p>
        </w:tc>
      </w:tr>
      <w:tr w14:paraId="27196D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57A1BF30">
            <w:r>
              <w:rPr>
                <w:position w:val="-6"/>
              </w:rPr>
              <w:object>
                <v:shape id="_x0000_i1078" o:spt="75" type="#_x0000_t75" style="height:13.5pt;width:20.2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60" r:id="rId67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5EC425A7">
            <w:r>
              <w:rPr>
                <w:position w:val="-6"/>
              </w:rPr>
              <w:object>
                <v:shape id="_x0000_i1079" o:spt="75" type="#_x0000_t75" style="height:13.5pt;width:20.2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79" DrawAspect="Content" ObjectID="_1468075761" r:id="rId68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冷凝计算界面处与界面温度</w:t>
            </w:r>
            <w:r>
              <w:rPr>
                <w:rFonts w:ascii="宋体" w:cs="宋体"/>
                <w:kern w:val="0"/>
                <w:position w:val="-6"/>
                <w:szCs w:val="21"/>
              </w:rPr>
              <w:object>
                <v:shape id="_x0000_i1080" o:spt="75" type="#_x0000_t75" style="height:13.5pt;width:13.5pt;" o:ole="t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DSMT4" ShapeID="_x0000_i1080" DrawAspect="Content" ObjectID="_1468075762" r:id="rId69">
                  <o:LockedField>false</o:LockedField>
                </o:OLEObject>
              </w:object>
            </w:r>
            <w:r>
              <w:rPr>
                <w:rFonts w:asci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cs="宋体"/>
                <w:kern w:val="0"/>
                <w:szCs w:val="21"/>
              </w:rPr>
              <w:t>对应的饱和水蒸气分压力(Pa)</w:t>
            </w:r>
          </w:p>
        </w:tc>
        <w:tc>
          <w:tcPr>
            <w:tcW w:w="1374" w:type="dxa"/>
            <w:vAlign w:val="center"/>
          </w:tcPr>
          <w:p w14:paraId="48660436">
            <w:pPr>
              <w:jc w:val="center"/>
            </w:pPr>
            <w:bookmarkStart w:id="69" w:name="Psc"/>
            <w:r>
              <w:rPr>
                <w:rFonts w:hint="eastAsia"/>
              </w:rPr>
              <w:t>-</w:t>
            </w:r>
            <w:bookmarkEnd w:id="69"/>
          </w:p>
        </w:tc>
        <w:tc>
          <w:tcPr>
            <w:tcW w:w="2737" w:type="dxa"/>
            <w:vAlign w:val="center"/>
          </w:tcPr>
          <w:p w14:paraId="191B0BA2"/>
        </w:tc>
      </w:tr>
      <w:tr w14:paraId="3C32FD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47F0D143">
            <w:r>
              <w:rPr>
                <w:position w:val="-10"/>
              </w:rPr>
              <w:object>
                <v:shape id="_x0000_i1081" o:spt="75" type="#_x0000_t75" style="height:13.5pt;width:15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81" DrawAspect="Content" ObjectID="_1468075763" r:id="rId70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07A703F4">
            <w:r>
              <w:rPr>
                <w:position w:val="-10"/>
              </w:rPr>
              <w:object>
                <v:shape id="_x0000_i1082" o:spt="75" type="#_x0000_t75" style="height:13.5pt;width:15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64" r:id="rId71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保温材料的干密度(kg/m</w:t>
            </w:r>
            <w:r>
              <w:rPr>
                <w:rFonts w:hint="eastAsia" w:asci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)</w:t>
            </w:r>
          </w:p>
        </w:tc>
        <w:tc>
          <w:tcPr>
            <w:tcW w:w="1374" w:type="dxa"/>
            <w:vAlign w:val="center"/>
          </w:tcPr>
          <w:p w14:paraId="4C7350B3">
            <w:pPr>
              <w:jc w:val="center"/>
            </w:pPr>
            <w:bookmarkStart w:id="70" w:name="ρ"/>
            <w:r>
              <w:rPr>
                <w:rFonts w:hint="eastAsia"/>
              </w:rPr>
              <w:t>-</w:t>
            </w:r>
            <w:bookmarkEnd w:id="70"/>
          </w:p>
        </w:tc>
        <w:tc>
          <w:tcPr>
            <w:tcW w:w="2737" w:type="dxa"/>
            <w:vAlign w:val="center"/>
          </w:tcPr>
          <w:p w14:paraId="7754D437"/>
        </w:tc>
      </w:tr>
      <w:tr w14:paraId="0D3557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</w:tcPr>
          <w:p w14:paraId="153417F9">
            <w:r>
              <w:rPr>
                <w:position w:val="-6"/>
              </w:rPr>
              <w:object>
                <v:shape id="_x0000_i1083" o:spt="75" type="#_x0000_t75" style="height:13.5pt;width:13.5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83" DrawAspect="Content" ObjectID="_1468075765" r:id="rId72">
                  <o:LockedField>false</o:LockedField>
                </o:OLEObject>
              </w:object>
            </w:r>
          </w:p>
        </w:tc>
        <w:tc>
          <w:tcPr>
            <w:tcW w:w="2693" w:type="dxa"/>
          </w:tcPr>
          <w:p w14:paraId="55FEE64B">
            <w:r>
              <w:rPr>
                <w:position w:val="-6"/>
              </w:rPr>
              <w:object>
                <v:shape id="_x0000_i1084" o:spt="75" type="#_x0000_t75" style="height:13.5pt;width:13.5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84" DrawAspect="Content" ObjectID="_1468075766" r:id="rId73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保温材料厚度(m)</w:t>
            </w:r>
          </w:p>
        </w:tc>
        <w:tc>
          <w:tcPr>
            <w:tcW w:w="1374" w:type="dxa"/>
            <w:vAlign w:val="center"/>
          </w:tcPr>
          <w:p w14:paraId="65A0E050">
            <w:pPr>
              <w:jc w:val="center"/>
            </w:pPr>
            <w:bookmarkStart w:id="71" w:name="δi"/>
            <w:r>
              <w:rPr>
                <w:rFonts w:hint="eastAsia"/>
              </w:rPr>
              <w:t>-</w:t>
            </w:r>
            <w:bookmarkEnd w:id="71"/>
          </w:p>
        </w:tc>
        <w:tc>
          <w:tcPr>
            <w:tcW w:w="2737" w:type="dxa"/>
            <w:vAlign w:val="center"/>
          </w:tcPr>
          <w:p w14:paraId="45D6E4EB"/>
        </w:tc>
      </w:tr>
      <w:tr w14:paraId="5A530E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48" w:type="dxa"/>
            <w:vAlign w:val="center"/>
          </w:tcPr>
          <w:p w14:paraId="4096D139">
            <w:r>
              <w:rPr>
                <w:position w:val="-28"/>
              </w:rPr>
              <w:object>
                <v:shape id="_x0000_i1085" o:spt="75" type="#_x0000_t75" style="height:43.5pt;width:142.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85" DrawAspect="Content" ObjectID="_1468075767" r:id="rId74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74392AAE">
            <w:r>
              <w:rPr>
                <w:position w:val="-10"/>
              </w:rPr>
              <w:object>
                <v:shape id="_x0000_i1086" o:spt="75" type="#_x0000_t75" style="height:16.5pt;width:24.7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68" r:id="rId75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采暖期间保温材料重量湿度的增量(%)</w:t>
            </w:r>
          </w:p>
        </w:tc>
        <w:tc>
          <w:tcPr>
            <w:tcW w:w="1374" w:type="dxa"/>
            <w:vAlign w:val="center"/>
          </w:tcPr>
          <w:p w14:paraId="097687B7">
            <w:pPr>
              <w:jc w:val="center"/>
            </w:pPr>
            <w:bookmarkStart w:id="72" w:name="ω_l"/>
            <w:r>
              <w:rPr>
                <w:rFonts w:hint="eastAsia"/>
              </w:rPr>
              <w:t>-</w:t>
            </w:r>
            <w:bookmarkEnd w:id="72"/>
          </w:p>
        </w:tc>
        <w:tc>
          <w:tcPr>
            <w:tcW w:w="2737" w:type="dxa"/>
            <w:vAlign w:val="center"/>
          </w:tcPr>
          <w:p w14:paraId="26417249">
            <w:r>
              <w:rPr>
                <w:rFonts w:hint="eastAsia"/>
              </w:rPr>
              <w:t>应≤增量限值</w:t>
            </w:r>
            <w:r>
              <w:rPr>
                <w:rFonts w:hint="eastAsia" w:ascii="宋体" w:cs="宋体"/>
                <w:kern w:val="0"/>
                <w:szCs w:val="21"/>
              </w:rPr>
              <w:t>(%)</w:t>
            </w:r>
            <w:r>
              <w:rPr>
                <w:rFonts w:hint="eastAsia"/>
              </w:rPr>
              <w:t>=</w:t>
            </w:r>
            <w:bookmarkStart w:id="73" w:name="ω"/>
            <w:r>
              <w:rPr>
                <w:rFonts w:hint="eastAsia"/>
              </w:rPr>
              <w:t>10.00</w:t>
            </w:r>
            <w:bookmarkEnd w:id="73"/>
          </w:p>
        </w:tc>
      </w:tr>
    </w:tbl>
    <w:p w14:paraId="672124CA">
      <w:pPr>
        <w:widowControl/>
        <w:jc w:val="left"/>
      </w:pPr>
    </w:p>
    <w:bookmarkEnd w:id="57"/>
    <w:p w14:paraId="731743D4">
      <w:pPr>
        <w:pStyle w:val="2"/>
        <w:widowControl/>
        <w:jc w:val="left"/>
      </w:pPr>
      <w:bookmarkStart w:id="74" w:name="_Toc20808"/>
      <w:r>
        <w:t>验算结论</w:t>
      </w:r>
      <w:bookmarkEnd w:id="74"/>
    </w:p>
    <w:tbl>
      <w:tblPr>
        <w:tblStyle w:val="20"/>
        <w:tblW w:w="928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4245"/>
        <w:gridCol w:w="707"/>
        <w:gridCol w:w="707"/>
        <w:gridCol w:w="848"/>
        <w:gridCol w:w="848"/>
        <w:gridCol w:w="832"/>
      </w:tblGrid>
      <w:tr w14:paraId="0E5484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DEDEDE"/>
            <w:vAlign w:val="center"/>
          </w:tcPr>
          <w:p w14:paraId="2786598F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18DF3F30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7EE13FC9">
            <w:r>
              <w:t>增量</w:t>
            </w:r>
            <w:r>
              <w:br w:type="textWrapping"/>
            </w:r>
            <w:r>
              <w:t>限值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DEDEDE"/>
            <w:vAlign w:val="center"/>
          </w:tcPr>
          <w:p w14:paraId="44B8EA4E">
            <w:r>
              <w:t>实际</w:t>
            </w:r>
            <w:r>
              <w:br w:type="textWrapping"/>
            </w:r>
            <w:r>
              <w:t>增量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DEDEDE"/>
            <w:vAlign w:val="center"/>
          </w:tcPr>
          <w:p w14:paraId="495C1575">
            <w:r>
              <w:t>内侧蒸</w:t>
            </w:r>
            <w:r>
              <w:br w:type="textWrapping"/>
            </w:r>
            <w:r>
              <w:t>汽渗透</w:t>
            </w:r>
            <w:r>
              <w:br w:type="textWrapping"/>
            </w:r>
            <w:r>
              <w:t>阻限值</w:t>
            </w:r>
          </w:p>
        </w:tc>
        <w:tc>
          <w:tcPr>
            <w:shd w:val="clear" w:color="auto" w:fill="DEDEDE"/>
            <w:vAlign w:val="center"/>
          </w:tcPr>
          <w:p w14:paraId="747DB8E2">
            <w:r>
              <w:t>内侧蒸</w:t>
            </w:r>
            <w:r>
              <w:br w:type="textWrapping"/>
            </w:r>
            <w:r>
              <w:t>汽渗透</w:t>
            </w:r>
            <w:r>
              <w:br w:type="textWrapping"/>
            </w:r>
            <w:r>
              <w:t>阻</w:t>
            </w:r>
          </w:p>
        </w:tc>
        <w:tc>
          <w:tcPr>
            <w:shd w:val="clear" w:color="auto" w:fill="DEDEDE"/>
            <w:vAlign w:val="center"/>
          </w:tcPr>
          <w:p w14:paraId="2FBD89B7">
            <w:r>
              <w:t>结论</w:t>
            </w:r>
          </w:p>
        </w:tc>
      </w:tr>
      <w:tr w14:paraId="2D3519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6A65C1F">
            <w:r>
              <w:t>屋顶</w:t>
            </w:r>
          </w:p>
        </w:tc>
        <w:tc>
          <w:tcPr>
            <w:vAlign w:val="center"/>
          </w:tcPr>
          <w:p w14:paraId="1721A3F2">
            <w:r>
              <w:t>屋顶构造一</w:t>
            </w:r>
          </w:p>
        </w:tc>
        <w:tc>
          <w:tcPr>
            <w:vAlign w:val="center"/>
          </w:tcPr>
          <w:p w14:paraId="1BE033FF">
            <w:r>
              <w:t>10</w:t>
            </w:r>
          </w:p>
        </w:tc>
        <w:tc>
          <w:tcPr>
            <w:vAlign w:val="center"/>
          </w:tcPr>
          <w:p w14:paraId="579543E7">
            <w:r>
              <w:t>0</w:t>
            </w:r>
          </w:p>
        </w:tc>
        <w:tc>
          <w:tcPr>
            <w:vAlign w:val="center"/>
          </w:tcPr>
          <w:p w14:paraId="43751CCE">
            <w:r>
              <w:t>0</w:t>
            </w:r>
          </w:p>
        </w:tc>
        <w:tc>
          <w:tcPr>
            <w:vAlign w:val="center"/>
          </w:tcPr>
          <w:p w14:paraId="4032ADCB">
            <w:r>
              <w:t>0</w:t>
            </w:r>
          </w:p>
        </w:tc>
        <w:tc>
          <w:tcPr>
            <w:vAlign w:val="center"/>
          </w:tcPr>
          <w:p w14:paraId="1F1F1854">
            <w:r>
              <w:t>满足</w:t>
            </w:r>
          </w:p>
        </w:tc>
      </w:tr>
    </w:tbl>
    <w:p w14:paraId="338EDD0C">
      <w:pPr>
        <w:widowControl/>
        <w:jc w:val="left"/>
      </w:pPr>
    </w:p>
    <w:sectPr>
      <w:headerReference r:id="rId3" w:type="default"/>
      <w:footerReference r:id="rId4" w:type="default"/>
      <w:pgSz w:w="11906" w:h="16838"/>
      <w:pgMar w:top="1440" w:right="1440" w:bottom="1440" w:left="144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46767">
    <w:pPr>
      <w:pStyle w:val="15"/>
      <w:jc w:val="center"/>
    </w:pPr>
    <w:r>
      <w:rPr>
        <w:rFonts w:hint="eastAsia" w:ascii="宋体" w:hAnsi="宋体"/>
        <w:sz w:val="21"/>
        <w:szCs w:val="21"/>
      </w:rPr>
      <w:t xml:space="preserve">第 </w:t>
    </w:r>
    <w:r>
      <w:rPr>
        <w:rStyle w:val="23"/>
        <w:rFonts w:ascii="宋体" w:hAnsi="宋体"/>
        <w:sz w:val="21"/>
        <w:szCs w:val="21"/>
      </w:rPr>
      <w:fldChar w:fldCharType="begin"/>
    </w:r>
    <w:r>
      <w:rPr>
        <w:rStyle w:val="23"/>
        <w:rFonts w:ascii="宋体" w:hAnsi="宋体"/>
        <w:sz w:val="21"/>
        <w:szCs w:val="21"/>
      </w:rPr>
      <w:instrText xml:space="preserve"> PAGE </w:instrText>
    </w:r>
    <w:r>
      <w:rPr>
        <w:rStyle w:val="23"/>
        <w:rFonts w:ascii="宋体" w:hAnsi="宋体"/>
        <w:sz w:val="21"/>
        <w:szCs w:val="21"/>
      </w:rPr>
      <w:fldChar w:fldCharType="separate"/>
    </w:r>
    <w:r>
      <w:rPr>
        <w:rStyle w:val="23"/>
        <w:rFonts w:ascii="宋体" w:hAnsi="宋体"/>
        <w:sz w:val="21"/>
        <w:szCs w:val="21"/>
      </w:rPr>
      <w:t>5</w:t>
    </w:r>
    <w:r>
      <w:rPr>
        <w:rStyle w:val="23"/>
        <w:rFonts w:ascii="宋体" w:hAnsi="宋体"/>
        <w:sz w:val="21"/>
        <w:szCs w:val="21"/>
      </w:rPr>
      <w:fldChar w:fldCharType="end"/>
    </w:r>
    <w:r>
      <w:rPr>
        <w:rStyle w:val="23"/>
        <w:rFonts w:hint="eastAsia" w:ascii="宋体" w:hAnsi="宋体"/>
        <w:sz w:val="21"/>
        <w:szCs w:val="21"/>
      </w:rPr>
      <w:t xml:space="preserve"> / </w:t>
    </w:r>
    <w:r>
      <w:rPr>
        <w:rStyle w:val="23"/>
        <w:rFonts w:ascii="宋体" w:hAnsi="宋体"/>
        <w:sz w:val="21"/>
        <w:szCs w:val="21"/>
      </w:rPr>
      <w:fldChar w:fldCharType="begin"/>
    </w:r>
    <w:r>
      <w:rPr>
        <w:rStyle w:val="23"/>
        <w:rFonts w:ascii="宋体" w:hAnsi="宋体"/>
        <w:sz w:val="21"/>
        <w:szCs w:val="21"/>
      </w:rPr>
      <w:instrText xml:space="preserve"> NUMPAGES </w:instrText>
    </w:r>
    <w:r>
      <w:rPr>
        <w:rStyle w:val="23"/>
        <w:rFonts w:ascii="宋体" w:hAnsi="宋体"/>
        <w:sz w:val="21"/>
        <w:szCs w:val="21"/>
      </w:rPr>
      <w:fldChar w:fldCharType="separate"/>
    </w:r>
    <w:r>
      <w:rPr>
        <w:rStyle w:val="23"/>
        <w:rFonts w:ascii="宋体" w:hAnsi="宋体"/>
        <w:sz w:val="21"/>
        <w:szCs w:val="21"/>
      </w:rPr>
      <w:t>5</w:t>
    </w:r>
    <w:r>
      <w:rPr>
        <w:rStyle w:val="23"/>
        <w:rFonts w:ascii="宋体" w:hAnsi="宋体"/>
        <w:sz w:val="21"/>
        <w:szCs w:val="21"/>
      </w:rPr>
      <w:fldChar w:fldCharType="end"/>
    </w:r>
    <w:r>
      <w:rPr>
        <w:rStyle w:val="23"/>
        <w:rFonts w:hint="eastAsia" w:ascii="宋体" w:hAnsi="宋体"/>
        <w:sz w:val="21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FA9A2">
    <w:pPr>
      <w:pStyle w:val="16"/>
      <w:jc w:val="both"/>
    </w:pPr>
    <w: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xZjUyZTk5NDRhZGUwN2M3ZjJjZTc5OGIxOTk0M2IifQ=="/>
  </w:docVars>
  <w:rsids>
    <w:rsidRoot w:val="0B2825E2"/>
    <w:rsid w:val="00006B6F"/>
    <w:rsid w:val="00006D9D"/>
    <w:rsid w:val="0000769E"/>
    <w:rsid w:val="00012F68"/>
    <w:rsid w:val="00014DB8"/>
    <w:rsid w:val="00042D27"/>
    <w:rsid w:val="00042FAF"/>
    <w:rsid w:val="00046531"/>
    <w:rsid w:val="00056D82"/>
    <w:rsid w:val="000571B1"/>
    <w:rsid w:val="000631C6"/>
    <w:rsid w:val="00064694"/>
    <w:rsid w:val="00065057"/>
    <w:rsid w:val="000651CF"/>
    <w:rsid w:val="00072606"/>
    <w:rsid w:val="00075D28"/>
    <w:rsid w:val="00090856"/>
    <w:rsid w:val="00091778"/>
    <w:rsid w:val="0009767D"/>
    <w:rsid w:val="000A2E66"/>
    <w:rsid w:val="000B0926"/>
    <w:rsid w:val="000B176F"/>
    <w:rsid w:val="000B2704"/>
    <w:rsid w:val="000B2C23"/>
    <w:rsid w:val="000B701F"/>
    <w:rsid w:val="000B7039"/>
    <w:rsid w:val="000D642C"/>
    <w:rsid w:val="000E3800"/>
    <w:rsid w:val="000E4E4E"/>
    <w:rsid w:val="000E5450"/>
    <w:rsid w:val="000F15E2"/>
    <w:rsid w:val="000F338B"/>
    <w:rsid w:val="000F48DF"/>
    <w:rsid w:val="000F5B88"/>
    <w:rsid w:val="001009AE"/>
    <w:rsid w:val="00116DB2"/>
    <w:rsid w:val="00117F3E"/>
    <w:rsid w:val="00124491"/>
    <w:rsid w:val="001577F0"/>
    <w:rsid w:val="001611A7"/>
    <w:rsid w:val="00161D2D"/>
    <w:rsid w:val="00161E2D"/>
    <w:rsid w:val="00162EF0"/>
    <w:rsid w:val="00171BFE"/>
    <w:rsid w:val="0017677D"/>
    <w:rsid w:val="001814D3"/>
    <w:rsid w:val="001828CC"/>
    <w:rsid w:val="00184C94"/>
    <w:rsid w:val="00186508"/>
    <w:rsid w:val="00191451"/>
    <w:rsid w:val="001937AD"/>
    <w:rsid w:val="0019614D"/>
    <w:rsid w:val="001A36CC"/>
    <w:rsid w:val="001A387C"/>
    <w:rsid w:val="001B6C9B"/>
    <w:rsid w:val="001B7877"/>
    <w:rsid w:val="001C00E7"/>
    <w:rsid w:val="001C5A7B"/>
    <w:rsid w:val="001E4004"/>
    <w:rsid w:val="001F3390"/>
    <w:rsid w:val="001F4F6C"/>
    <w:rsid w:val="00231194"/>
    <w:rsid w:val="0024070B"/>
    <w:rsid w:val="00240EC2"/>
    <w:rsid w:val="0027727F"/>
    <w:rsid w:val="00282DF5"/>
    <w:rsid w:val="002A5E42"/>
    <w:rsid w:val="002B2C77"/>
    <w:rsid w:val="002B5E55"/>
    <w:rsid w:val="002B76E4"/>
    <w:rsid w:val="002D6B2F"/>
    <w:rsid w:val="002E1B9B"/>
    <w:rsid w:val="0030652E"/>
    <w:rsid w:val="003124C0"/>
    <w:rsid w:val="003200B7"/>
    <w:rsid w:val="00332516"/>
    <w:rsid w:val="003344E6"/>
    <w:rsid w:val="003409F3"/>
    <w:rsid w:val="00345CB2"/>
    <w:rsid w:val="00345E18"/>
    <w:rsid w:val="00347F24"/>
    <w:rsid w:val="0035328F"/>
    <w:rsid w:val="00353501"/>
    <w:rsid w:val="00376607"/>
    <w:rsid w:val="00377277"/>
    <w:rsid w:val="00386168"/>
    <w:rsid w:val="003939B0"/>
    <w:rsid w:val="003A69B5"/>
    <w:rsid w:val="003A6EFB"/>
    <w:rsid w:val="003B6F8A"/>
    <w:rsid w:val="003C2C73"/>
    <w:rsid w:val="003E5517"/>
    <w:rsid w:val="003E5ABA"/>
    <w:rsid w:val="003F135F"/>
    <w:rsid w:val="003F6427"/>
    <w:rsid w:val="00400FD8"/>
    <w:rsid w:val="004300F4"/>
    <w:rsid w:val="00430148"/>
    <w:rsid w:val="00431405"/>
    <w:rsid w:val="00447C20"/>
    <w:rsid w:val="00452E2F"/>
    <w:rsid w:val="004556B3"/>
    <w:rsid w:val="00464AC4"/>
    <w:rsid w:val="00467230"/>
    <w:rsid w:val="0049117E"/>
    <w:rsid w:val="00491C89"/>
    <w:rsid w:val="00495EFD"/>
    <w:rsid w:val="004A676E"/>
    <w:rsid w:val="004B1BD3"/>
    <w:rsid w:val="004B23B8"/>
    <w:rsid w:val="004B2B00"/>
    <w:rsid w:val="004B5CEB"/>
    <w:rsid w:val="004C2C08"/>
    <w:rsid w:val="004C416D"/>
    <w:rsid w:val="004C772F"/>
    <w:rsid w:val="004C7C6B"/>
    <w:rsid w:val="004D29C2"/>
    <w:rsid w:val="004E31C9"/>
    <w:rsid w:val="004E53B8"/>
    <w:rsid w:val="004F6757"/>
    <w:rsid w:val="005012CD"/>
    <w:rsid w:val="00504D39"/>
    <w:rsid w:val="0050552D"/>
    <w:rsid w:val="00517E63"/>
    <w:rsid w:val="00526363"/>
    <w:rsid w:val="00526D45"/>
    <w:rsid w:val="0054289E"/>
    <w:rsid w:val="0054622F"/>
    <w:rsid w:val="00546897"/>
    <w:rsid w:val="0055562B"/>
    <w:rsid w:val="00557942"/>
    <w:rsid w:val="00560157"/>
    <w:rsid w:val="00567B03"/>
    <w:rsid w:val="005734B3"/>
    <w:rsid w:val="00574037"/>
    <w:rsid w:val="005A30A0"/>
    <w:rsid w:val="005A4C09"/>
    <w:rsid w:val="005A6A34"/>
    <w:rsid w:val="005B01B5"/>
    <w:rsid w:val="005B73FD"/>
    <w:rsid w:val="005E215F"/>
    <w:rsid w:val="0060196C"/>
    <w:rsid w:val="00601C56"/>
    <w:rsid w:val="00606705"/>
    <w:rsid w:val="006134C5"/>
    <w:rsid w:val="00635599"/>
    <w:rsid w:val="00635CEC"/>
    <w:rsid w:val="0063600F"/>
    <w:rsid w:val="00640D3D"/>
    <w:rsid w:val="006648EC"/>
    <w:rsid w:val="00673F68"/>
    <w:rsid w:val="00674D10"/>
    <w:rsid w:val="00685502"/>
    <w:rsid w:val="00693E06"/>
    <w:rsid w:val="006A7613"/>
    <w:rsid w:val="006B7EC3"/>
    <w:rsid w:val="006C2E11"/>
    <w:rsid w:val="006C56DD"/>
    <w:rsid w:val="006E0F6C"/>
    <w:rsid w:val="006E678B"/>
    <w:rsid w:val="006F3495"/>
    <w:rsid w:val="00707167"/>
    <w:rsid w:val="00707791"/>
    <w:rsid w:val="0071259B"/>
    <w:rsid w:val="00715DF4"/>
    <w:rsid w:val="007171C5"/>
    <w:rsid w:val="00721641"/>
    <w:rsid w:val="00725F84"/>
    <w:rsid w:val="00730C7D"/>
    <w:rsid w:val="00762CFD"/>
    <w:rsid w:val="00772865"/>
    <w:rsid w:val="00777E12"/>
    <w:rsid w:val="00790E85"/>
    <w:rsid w:val="007932A0"/>
    <w:rsid w:val="00793AE2"/>
    <w:rsid w:val="007952C1"/>
    <w:rsid w:val="00797A21"/>
    <w:rsid w:val="007A09EA"/>
    <w:rsid w:val="007A7477"/>
    <w:rsid w:val="007B43E2"/>
    <w:rsid w:val="007C04EA"/>
    <w:rsid w:val="007C13FF"/>
    <w:rsid w:val="007D442D"/>
    <w:rsid w:val="007E3CEE"/>
    <w:rsid w:val="007F3558"/>
    <w:rsid w:val="007F36C4"/>
    <w:rsid w:val="00800874"/>
    <w:rsid w:val="00804FEA"/>
    <w:rsid w:val="0083156B"/>
    <w:rsid w:val="00841D90"/>
    <w:rsid w:val="00843DEA"/>
    <w:rsid w:val="0084571F"/>
    <w:rsid w:val="008469FD"/>
    <w:rsid w:val="0085517B"/>
    <w:rsid w:val="0086069E"/>
    <w:rsid w:val="00860C37"/>
    <w:rsid w:val="00862221"/>
    <w:rsid w:val="00873755"/>
    <w:rsid w:val="00894904"/>
    <w:rsid w:val="0089552D"/>
    <w:rsid w:val="008A6C16"/>
    <w:rsid w:val="008C68C6"/>
    <w:rsid w:val="008E5546"/>
    <w:rsid w:val="008F04DC"/>
    <w:rsid w:val="008F15DA"/>
    <w:rsid w:val="008F3FF5"/>
    <w:rsid w:val="008F4BB6"/>
    <w:rsid w:val="008F7783"/>
    <w:rsid w:val="0092041B"/>
    <w:rsid w:val="00921307"/>
    <w:rsid w:val="00935543"/>
    <w:rsid w:val="009401C7"/>
    <w:rsid w:val="009470F7"/>
    <w:rsid w:val="00960A51"/>
    <w:rsid w:val="00960FE3"/>
    <w:rsid w:val="00970E7C"/>
    <w:rsid w:val="00971DC8"/>
    <w:rsid w:val="00985896"/>
    <w:rsid w:val="00986B99"/>
    <w:rsid w:val="00986DEF"/>
    <w:rsid w:val="00990A57"/>
    <w:rsid w:val="00990A5C"/>
    <w:rsid w:val="009A5331"/>
    <w:rsid w:val="009B0725"/>
    <w:rsid w:val="009B3DE3"/>
    <w:rsid w:val="009B7375"/>
    <w:rsid w:val="009C5F4B"/>
    <w:rsid w:val="009D11E5"/>
    <w:rsid w:val="009D2B26"/>
    <w:rsid w:val="009E761F"/>
    <w:rsid w:val="00A0563B"/>
    <w:rsid w:val="00A32761"/>
    <w:rsid w:val="00A351F6"/>
    <w:rsid w:val="00A454B0"/>
    <w:rsid w:val="00A57369"/>
    <w:rsid w:val="00A63B8E"/>
    <w:rsid w:val="00A63FAA"/>
    <w:rsid w:val="00A64605"/>
    <w:rsid w:val="00A84E26"/>
    <w:rsid w:val="00A906F7"/>
    <w:rsid w:val="00A924CF"/>
    <w:rsid w:val="00A92962"/>
    <w:rsid w:val="00A97E4F"/>
    <w:rsid w:val="00AA656C"/>
    <w:rsid w:val="00AB03BE"/>
    <w:rsid w:val="00AB4689"/>
    <w:rsid w:val="00AB713E"/>
    <w:rsid w:val="00AB7A40"/>
    <w:rsid w:val="00AC1527"/>
    <w:rsid w:val="00AC7E8F"/>
    <w:rsid w:val="00AD4B59"/>
    <w:rsid w:val="00AE0113"/>
    <w:rsid w:val="00AF1110"/>
    <w:rsid w:val="00B06145"/>
    <w:rsid w:val="00B12132"/>
    <w:rsid w:val="00B16E92"/>
    <w:rsid w:val="00B227E6"/>
    <w:rsid w:val="00B23996"/>
    <w:rsid w:val="00B35129"/>
    <w:rsid w:val="00B505F2"/>
    <w:rsid w:val="00B512B1"/>
    <w:rsid w:val="00B52CF8"/>
    <w:rsid w:val="00B5734A"/>
    <w:rsid w:val="00B63B08"/>
    <w:rsid w:val="00B658C0"/>
    <w:rsid w:val="00B801D9"/>
    <w:rsid w:val="00B8711B"/>
    <w:rsid w:val="00B905F7"/>
    <w:rsid w:val="00B970F9"/>
    <w:rsid w:val="00BA0784"/>
    <w:rsid w:val="00BA0B17"/>
    <w:rsid w:val="00BA56E7"/>
    <w:rsid w:val="00BB30AE"/>
    <w:rsid w:val="00BC7076"/>
    <w:rsid w:val="00BD0D2A"/>
    <w:rsid w:val="00BE2D61"/>
    <w:rsid w:val="00BF59AD"/>
    <w:rsid w:val="00C011AF"/>
    <w:rsid w:val="00C026F3"/>
    <w:rsid w:val="00C054D0"/>
    <w:rsid w:val="00C10401"/>
    <w:rsid w:val="00C20461"/>
    <w:rsid w:val="00C34844"/>
    <w:rsid w:val="00C36178"/>
    <w:rsid w:val="00C60674"/>
    <w:rsid w:val="00C60D5D"/>
    <w:rsid w:val="00C66112"/>
    <w:rsid w:val="00C74B78"/>
    <w:rsid w:val="00C76F5A"/>
    <w:rsid w:val="00C92C5B"/>
    <w:rsid w:val="00C950E1"/>
    <w:rsid w:val="00CC0E59"/>
    <w:rsid w:val="00CC0FB4"/>
    <w:rsid w:val="00CC3455"/>
    <w:rsid w:val="00CD654D"/>
    <w:rsid w:val="00CE04F8"/>
    <w:rsid w:val="00CE2E0D"/>
    <w:rsid w:val="00CE509A"/>
    <w:rsid w:val="00D008BF"/>
    <w:rsid w:val="00D03943"/>
    <w:rsid w:val="00D10A97"/>
    <w:rsid w:val="00D1757D"/>
    <w:rsid w:val="00D45640"/>
    <w:rsid w:val="00D46BD1"/>
    <w:rsid w:val="00D47A95"/>
    <w:rsid w:val="00D528E7"/>
    <w:rsid w:val="00D55050"/>
    <w:rsid w:val="00D562E0"/>
    <w:rsid w:val="00D60B8C"/>
    <w:rsid w:val="00D60BFB"/>
    <w:rsid w:val="00D62D4B"/>
    <w:rsid w:val="00D7656E"/>
    <w:rsid w:val="00D772A9"/>
    <w:rsid w:val="00D801D5"/>
    <w:rsid w:val="00D92904"/>
    <w:rsid w:val="00D92A2B"/>
    <w:rsid w:val="00DA48B1"/>
    <w:rsid w:val="00DA7566"/>
    <w:rsid w:val="00DC0007"/>
    <w:rsid w:val="00DC2299"/>
    <w:rsid w:val="00DC40FC"/>
    <w:rsid w:val="00DD0640"/>
    <w:rsid w:val="00DD0B5D"/>
    <w:rsid w:val="00DF5D40"/>
    <w:rsid w:val="00E0221C"/>
    <w:rsid w:val="00E05C35"/>
    <w:rsid w:val="00E138F9"/>
    <w:rsid w:val="00E26A44"/>
    <w:rsid w:val="00E273C9"/>
    <w:rsid w:val="00E3077E"/>
    <w:rsid w:val="00E309AF"/>
    <w:rsid w:val="00E35757"/>
    <w:rsid w:val="00E43223"/>
    <w:rsid w:val="00E461BA"/>
    <w:rsid w:val="00E47CA8"/>
    <w:rsid w:val="00E550E9"/>
    <w:rsid w:val="00E62CAB"/>
    <w:rsid w:val="00E631B6"/>
    <w:rsid w:val="00E70F18"/>
    <w:rsid w:val="00E94DAA"/>
    <w:rsid w:val="00EA2DCF"/>
    <w:rsid w:val="00EA5041"/>
    <w:rsid w:val="00EA67B5"/>
    <w:rsid w:val="00EB1894"/>
    <w:rsid w:val="00EB4739"/>
    <w:rsid w:val="00EB73E7"/>
    <w:rsid w:val="00EC0097"/>
    <w:rsid w:val="00EC091B"/>
    <w:rsid w:val="00EE1B15"/>
    <w:rsid w:val="00EF3F30"/>
    <w:rsid w:val="00F0466A"/>
    <w:rsid w:val="00F11D8A"/>
    <w:rsid w:val="00F206C5"/>
    <w:rsid w:val="00F2136F"/>
    <w:rsid w:val="00F2650F"/>
    <w:rsid w:val="00F32A1B"/>
    <w:rsid w:val="00F3652C"/>
    <w:rsid w:val="00F40508"/>
    <w:rsid w:val="00F50F81"/>
    <w:rsid w:val="00F52375"/>
    <w:rsid w:val="00F54048"/>
    <w:rsid w:val="00F579EF"/>
    <w:rsid w:val="00F645AA"/>
    <w:rsid w:val="00F80BF0"/>
    <w:rsid w:val="00F9357F"/>
    <w:rsid w:val="00F94530"/>
    <w:rsid w:val="00F94640"/>
    <w:rsid w:val="00F94707"/>
    <w:rsid w:val="00F951D3"/>
    <w:rsid w:val="00FB2E10"/>
    <w:rsid w:val="00FB4EEB"/>
    <w:rsid w:val="00FC25B1"/>
    <w:rsid w:val="00FC29E3"/>
    <w:rsid w:val="00FC41F8"/>
    <w:rsid w:val="00FE2B54"/>
    <w:rsid w:val="00FE48A4"/>
    <w:rsid w:val="00FF517B"/>
    <w:rsid w:val="00FF5295"/>
    <w:rsid w:val="00FF6537"/>
    <w:rsid w:val="019815D6"/>
    <w:rsid w:val="0B2825E2"/>
    <w:rsid w:val="14FF75A5"/>
    <w:rsid w:val="38D71BC2"/>
    <w:rsid w:val="3DEA430D"/>
    <w:rsid w:val="5398556D"/>
    <w:rsid w:val="724259F0"/>
    <w:rsid w:val="7487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39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31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32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33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34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35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36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37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38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qFormat/>
    <w:uiPriority w:val="39"/>
    <w:pPr>
      <w:ind w:left="840" w:leftChars="400"/>
    </w:pPr>
  </w:style>
  <w:style w:type="paragraph" w:styleId="14">
    <w:name w:val="Balloon Text"/>
    <w:basedOn w:val="1"/>
    <w:link w:val="42"/>
    <w:uiPriority w:val="0"/>
    <w:rPr>
      <w:sz w:val="18"/>
      <w:szCs w:val="18"/>
    </w:rPr>
  </w:style>
  <w:style w:type="paragraph" w:styleId="15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rPr>
      <w:b/>
    </w:rPr>
  </w:style>
  <w:style w:type="paragraph" w:styleId="18">
    <w:name w:val="toc 2"/>
    <w:basedOn w:val="1"/>
    <w:next w:val="1"/>
    <w:qFormat/>
    <w:uiPriority w:val="39"/>
    <w:pPr>
      <w:ind w:left="420" w:leftChars="200"/>
    </w:pPr>
  </w:style>
  <w:style w:type="paragraph" w:styleId="19">
    <w:name w:val="Title"/>
    <w:basedOn w:val="1"/>
    <w:next w:val="1"/>
    <w:link w:val="2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page number"/>
    <w:basedOn w:val="22"/>
    <w:qFormat/>
    <w:uiPriority w:val="0"/>
  </w:style>
  <w:style w:type="character" w:styleId="24">
    <w:name w:val="Hyperlink"/>
    <w:unhideWhenUsed/>
    <w:qFormat/>
    <w:uiPriority w:val="99"/>
    <w:rPr>
      <w:color w:val="0563C1"/>
      <w:u w:val="single"/>
    </w:rPr>
  </w:style>
  <w:style w:type="character" w:customStyle="1" w:styleId="25">
    <w:name w:val="页眉 Char"/>
    <w:link w:val="16"/>
    <w:qFormat/>
    <w:uiPriority w:val="0"/>
    <w:rPr>
      <w:kern w:val="2"/>
      <w:sz w:val="18"/>
      <w:szCs w:val="18"/>
    </w:rPr>
  </w:style>
  <w:style w:type="character" w:customStyle="1" w:styleId="26">
    <w:name w:val="页脚 Char"/>
    <w:link w:val="15"/>
    <w:qFormat/>
    <w:uiPriority w:val="99"/>
    <w:rPr>
      <w:kern w:val="2"/>
      <w:sz w:val="18"/>
      <w:szCs w:val="18"/>
    </w:rPr>
  </w:style>
  <w:style w:type="character" w:customStyle="1" w:styleId="27">
    <w:name w:val="页眉 字符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8">
    <w:name w:val="页脚 字符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9">
    <w:name w:val="标题 Char"/>
    <w:link w:val="19"/>
    <w:qFormat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30">
    <w:name w:val="标题 1 Char"/>
    <w:qFormat/>
    <w:uiPriority w:val="0"/>
    <w:rPr>
      <w:b/>
      <w:bCs/>
      <w:kern w:val="44"/>
      <w:sz w:val="44"/>
      <w:szCs w:val="44"/>
    </w:rPr>
  </w:style>
  <w:style w:type="character" w:customStyle="1" w:styleId="31">
    <w:name w:val="标题 2 Char"/>
    <w:link w:val="4"/>
    <w:qFormat/>
    <w:uiPriority w:val="0"/>
    <w:rPr>
      <w:rFonts w:ascii="宋体" w:cs="Arial"/>
      <w:b/>
      <w:bCs/>
      <w:iCs/>
      <w:color w:val="000000"/>
      <w:sz w:val="24"/>
      <w:szCs w:val="24"/>
    </w:rPr>
  </w:style>
  <w:style w:type="character" w:customStyle="1" w:styleId="32">
    <w:name w:val="标题 3 Char"/>
    <w:link w:val="5"/>
    <w:qFormat/>
    <w:uiPriority w:val="0"/>
    <w:rPr>
      <w:rFonts w:ascii="宋体" w:hAnsi="宋体" w:cs="Arial"/>
      <w:b/>
      <w:bCs/>
      <w:sz w:val="21"/>
      <w:szCs w:val="21"/>
    </w:rPr>
  </w:style>
  <w:style w:type="character" w:customStyle="1" w:styleId="33">
    <w:name w:val="标题 4 Char"/>
    <w:link w:val="6"/>
    <w:qFormat/>
    <w:uiPriority w:val="0"/>
    <w:rPr>
      <w:b/>
      <w:bCs/>
      <w:sz w:val="21"/>
      <w:szCs w:val="28"/>
      <w:lang w:val="en-GB"/>
    </w:rPr>
  </w:style>
  <w:style w:type="character" w:customStyle="1" w:styleId="34">
    <w:name w:val="标题 5 Char"/>
    <w:link w:val="7"/>
    <w:uiPriority w:val="0"/>
    <w:rPr>
      <w:b/>
      <w:bCs/>
      <w:iCs/>
      <w:sz w:val="21"/>
      <w:szCs w:val="26"/>
      <w:lang w:val="en-GB"/>
    </w:rPr>
  </w:style>
  <w:style w:type="character" w:customStyle="1" w:styleId="35">
    <w:name w:val="标题 6 Char"/>
    <w:link w:val="8"/>
    <w:uiPriority w:val="0"/>
    <w:rPr>
      <w:b/>
      <w:bCs/>
      <w:sz w:val="21"/>
      <w:szCs w:val="22"/>
      <w:lang w:val="en-GB"/>
    </w:rPr>
  </w:style>
  <w:style w:type="character" w:customStyle="1" w:styleId="36">
    <w:name w:val="标题 7 Char"/>
    <w:link w:val="9"/>
    <w:uiPriority w:val="0"/>
    <w:rPr>
      <w:sz w:val="24"/>
      <w:szCs w:val="24"/>
      <w:lang w:val="en-GB"/>
    </w:rPr>
  </w:style>
  <w:style w:type="character" w:customStyle="1" w:styleId="37">
    <w:name w:val="标题 8 Char"/>
    <w:link w:val="10"/>
    <w:qFormat/>
    <w:uiPriority w:val="0"/>
    <w:rPr>
      <w:i/>
      <w:iCs/>
      <w:sz w:val="24"/>
      <w:szCs w:val="24"/>
      <w:lang w:val="en-GB"/>
    </w:rPr>
  </w:style>
  <w:style w:type="character" w:customStyle="1" w:styleId="38">
    <w:name w:val="标题 9 Char"/>
    <w:link w:val="11"/>
    <w:qFormat/>
    <w:uiPriority w:val="0"/>
    <w:rPr>
      <w:rFonts w:ascii="Arial" w:hAnsi="Arial" w:cs="Arial"/>
      <w:sz w:val="22"/>
      <w:szCs w:val="22"/>
      <w:lang w:val="en-GB"/>
    </w:rPr>
  </w:style>
  <w:style w:type="character" w:customStyle="1" w:styleId="39">
    <w:name w:val="标题 1 Char1"/>
    <w:link w:val="2"/>
    <w:qFormat/>
    <w:uiPriority w:val="0"/>
    <w:rPr>
      <w:b/>
      <w:bCs/>
      <w:kern w:val="32"/>
      <w:sz w:val="28"/>
      <w:szCs w:val="28"/>
    </w:rPr>
  </w:style>
  <w:style w:type="character" w:customStyle="1" w:styleId="40">
    <w:name w:val="标题 2 字符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paragraph" w:styleId="41">
    <w:name w:val="List Paragraph"/>
    <w:basedOn w:val="1"/>
    <w:qFormat/>
    <w:uiPriority w:val="34"/>
    <w:pPr>
      <w:ind w:firstLine="420" w:firstLineChars="200"/>
    </w:pPr>
  </w:style>
  <w:style w:type="character" w:customStyle="1" w:styleId="42">
    <w:name w:val="批注框文本 Char"/>
    <w:link w:val="14"/>
    <w:qFormat/>
    <w:uiPriority w:val="0"/>
    <w:rPr>
      <w:kern w:val="2"/>
      <w:sz w:val="18"/>
      <w:szCs w:val="18"/>
    </w:rPr>
  </w:style>
  <w:style w:type="character" w:styleId="43">
    <w:name w:val="Placeholder Text"/>
    <w:semiHidden/>
    <w:qFormat/>
    <w:uiPriority w:val="99"/>
    <w:rPr>
      <w:color w:val="808080"/>
    </w:rPr>
  </w:style>
  <w:style w:type="paragraph" w:customStyle="1" w:styleId="44">
    <w:name w:val="TOC Heading"/>
    <w:basedOn w:val="2"/>
    <w:next w:val="1"/>
    <w:qFormat/>
    <w:uiPriority w:val="39"/>
    <w:pPr>
      <w:keepLines/>
      <w:numPr>
        <w:numId w:val="0"/>
      </w:numPr>
      <w:kinsoku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45">
    <w:name w:val="页眉 Char1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8" Type="http://schemas.openxmlformats.org/officeDocument/2006/relationships/fontTable" Target="fontTable.xml"/><Relationship Id="rId77" Type="http://schemas.openxmlformats.org/officeDocument/2006/relationships/customXml" Target="../customXml/item1.xml"/><Relationship Id="rId76" Type="http://schemas.openxmlformats.org/officeDocument/2006/relationships/numbering" Target="numbering.xml"/><Relationship Id="rId75" Type="http://schemas.openxmlformats.org/officeDocument/2006/relationships/oleObject" Target="embeddings/oleObject44.bin"/><Relationship Id="rId74" Type="http://schemas.openxmlformats.org/officeDocument/2006/relationships/oleObject" Target="embeddings/oleObject43.bin"/><Relationship Id="rId73" Type="http://schemas.openxmlformats.org/officeDocument/2006/relationships/oleObject" Target="embeddings/oleObject42.bin"/><Relationship Id="rId72" Type="http://schemas.openxmlformats.org/officeDocument/2006/relationships/oleObject" Target="embeddings/oleObject41.bin"/><Relationship Id="rId71" Type="http://schemas.openxmlformats.org/officeDocument/2006/relationships/oleObject" Target="embeddings/oleObject40.bin"/><Relationship Id="rId70" Type="http://schemas.openxmlformats.org/officeDocument/2006/relationships/oleObject" Target="embeddings/oleObject39.bin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8.bin"/><Relationship Id="rId68" Type="http://schemas.openxmlformats.org/officeDocument/2006/relationships/oleObject" Target="embeddings/oleObject37.bin"/><Relationship Id="rId67" Type="http://schemas.openxmlformats.org/officeDocument/2006/relationships/oleObject" Target="embeddings/oleObject36.bin"/><Relationship Id="rId66" Type="http://schemas.openxmlformats.org/officeDocument/2006/relationships/oleObject" Target="embeddings/oleObject35.bin"/><Relationship Id="rId65" Type="http://schemas.openxmlformats.org/officeDocument/2006/relationships/oleObject" Target="embeddings/oleObject34.bin"/><Relationship Id="rId64" Type="http://schemas.openxmlformats.org/officeDocument/2006/relationships/oleObject" Target="embeddings/oleObject33.bin"/><Relationship Id="rId63" Type="http://schemas.openxmlformats.org/officeDocument/2006/relationships/oleObject" Target="embeddings/oleObject32.bin"/><Relationship Id="rId62" Type="http://schemas.openxmlformats.org/officeDocument/2006/relationships/oleObject" Target="embeddings/oleObject31.bin"/><Relationship Id="rId61" Type="http://schemas.openxmlformats.org/officeDocument/2006/relationships/oleObject" Target="embeddings/oleObject30.bin"/><Relationship Id="rId60" Type="http://schemas.openxmlformats.org/officeDocument/2006/relationships/oleObject" Target="embeddings/oleObject29.bin"/><Relationship Id="rId6" Type="http://schemas.openxmlformats.org/officeDocument/2006/relationships/image" Target="media/image2.bmp"/><Relationship Id="rId59" Type="http://schemas.openxmlformats.org/officeDocument/2006/relationships/oleObject" Target="embeddings/oleObject28.bin"/><Relationship Id="rId58" Type="http://schemas.openxmlformats.org/officeDocument/2006/relationships/oleObject" Target="embeddings/oleObject27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6.bin"/><Relationship Id="rId55" Type="http://schemas.openxmlformats.org/officeDocument/2006/relationships/oleObject" Target="embeddings/oleObject25.bin"/><Relationship Id="rId54" Type="http://schemas.openxmlformats.org/officeDocument/2006/relationships/oleObject" Target="embeddings/oleObject24.bin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3.wmf"/><Relationship Id="rId25" Type="http://schemas.openxmlformats.org/officeDocument/2006/relationships/oleObject" Target="embeddings/oleObject9.bin"/><Relationship Id="rId24" Type="http://schemas.openxmlformats.org/officeDocument/2006/relationships/image" Target="media/image12.wmf"/><Relationship Id="rId23" Type="http://schemas.openxmlformats.org/officeDocument/2006/relationships/oleObject" Target="embeddings/oleObject8.bin"/><Relationship Id="rId22" Type="http://schemas.openxmlformats.org/officeDocument/2006/relationships/image" Target="media/image11.wmf"/><Relationship Id="rId21" Type="http://schemas.openxmlformats.org/officeDocument/2006/relationships/oleObject" Target="embeddings/oleObject7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7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2126E-60D7-46C5-A8A9-D61D98BC25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tmp7.dotx</Template>
  <Pages>6</Pages>
  <Words>1523</Words>
  <Characters>2068</Characters>
  <Lines>26</Lines>
  <Paragraphs>7</Paragraphs>
  <TotalTime>0</TotalTime>
  <ScaleCrop>false</ScaleCrop>
  <LinksUpToDate>false</LinksUpToDate>
  <CharactersWithSpaces>2193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2024-03-21T02:40:00Z</dcterms:created>
  <dc:creator>Administrator</dc:creator>
  <cp:lastModifiedBy>小蜗牛</cp:lastModifiedBy>
  <dcterms:modified xsi:type="dcterms:W3CDTF">2024-09-29T03:18:55Z</dcterms:modified>
  <dc:title>防潮验算计算书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ICV">
    <vt:lpwstr>BD08E8D338C14818A7358D17CE982A82</vt:lpwstr>
  </property>
  <property fmtid="{D5CDD505-2E9C-101B-9397-08002B2CF9AE}" pid="4" name="KSOProductBuildVer">
    <vt:lpwstr>2052-12.1.0.18276</vt:lpwstr>
  </property>
</Properties>
</file>