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1F2746">
      <w:pPr>
        <w:spacing w:line="720" w:lineRule="exact"/>
        <w:jc w:val="distribute"/>
        <w:rPr>
          <w:rFonts w:hint="eastAsia" w:ascii="楷体" w:hAnsi="楷体" w:eastAsia="楷体" w:cs="楷体"/>
          <w:b/>
          <w:bCs/>
          <w:color w:val="auto"/>
          <w:spacing w:val="80"/>
          <w:sz w:val="52"/>
          <w:szCs w:val="52"/>
          <w:highlight w:val="none"/>
          <w:lang w:eastAsia="zh-CN"/>
        </w:rPr>
      </w:pPr>
    </w:p>
    <w:p w14:paraId="378DAA64">
      <w:pPr>
        <w:pStyle w:val="11"/>
        <w:jc w:val="center"/>
        <w:rPr>
          <w:rFonts w:hint="eastAsia" w:ascii="楷体" w:hAnsi="楷体" w:eastAsia="楷体" w:cs="楷体"/>
          <w:b/>
          <w:bCs/>
          <w:color w:val="auto"/>
          <w:spacing w:val="80"/>
          <w:sz w:val="72"/>
          <w:highlight w:val="none"/>
        </w:rPr>
      </w:pPr>
      <w:r>
        <w:rPr>
          <w:rFonts w:hint="eastAsia" w:ascii="楷体" w:hAnsi="楷体" w:eastAsia="楷体" w:cs="楷体"/>
          <w:b/>
          <w:bCs/>
          <w:color w:val="auto"/>
          <w:spacing w:val="80"/>
          <w:sz w:val="52"/>
          <w:szCs w:val="52"/>
          <w:highlight w:val="none"/>
          <w:lang w:eastAsia="zh-CN"/>
        </w:rPr>
        <w:t>广西高质建设管理咨询有限公司</w:t>
      </w:r>
    </w:p>
    <w:p w14:paraId="7AC2406D">
      <w:pPr>
        <w:pStyle w:val="11"/>
        <w:jc w:val="center"/>
        <w:rPr>
          <w:rFonts w:hint="eastAsia" w:ascii="楷体" w:hAnsi="楷体" w:eastAsia="楷体" w:cs="楷体"/>
          <w:b/>
          <w:bCs/>
          <w:color w:val="auto"/>
          <w:sz w:val="72"/>
          <w:highlight w:val="none"/>
        </w:rPr>
      </w:pPr>
    </w:p>
    <w:p w14:paraId="273F3F88">
      <w:pPr>
        <w:pStyle w:val="11"/>
        <w:jc w:val="center"/>
        <w:rPr>
          <w:rFonts w:hint="eastAsia" w:ascii="楷体" w:hAnsi="楷体" w:eastAsia="楷体" w:cs="楷体"/>
          <w:color w:val="auto"/>
          <w:highlight w:val="none"/>
        </w:rPr>
      </w:pPr>
    </w:p>
    <w:p w14:paraId="0DB2010C">
      <w:pPr>
        <w:spacing w:line="1400" w:lineRule="exact"/>
        <w:jc w:val="center"/>
        <w:rPr>
          <w:rFonts w:hint="eastAsia" w:ascii="楷体" w:hAnsi="楷体" w:eastAsia="楷体" w:cs="楷体"/>
          <w:b/>
          <w:color w:val="auto"/>
          <w:spacing w:val="60"/>
          <w:sz w:val="84"/>
          <w:szCs w:val="84"/>
          <w:highlight w:val="none"/>
        </w:rPr>
      </w:pPr>
      <w:r>
        <w:rPr>
          <w:rFonts w:hint="eastAsia" w:ascii="楷体" w:hAnsi="楷体" w:eastAsia="楷体" w:cs="楷体"/>
          <w:b/>
          <w:color w:val="auto"/>
          <w:spacing w:val="60"/>
          <w:sz w:val="84"/>
          <w:szCs w:val="84"/>
          <w:highlight w:val="none"/>
        </w:rPr>
        <w:t>竞争性磋商文件</w:t>
      </w:r>
    </w:p>
    <w:p w14:paraId="2AF03EEC">
      <w:pPr>
        <w:pStyle w:val="11"/>
        <w:rPr>
          <w:rFonts w:hint="eastAsia" w:ascii="宋体" w:hAnsi="宋体" w:eastAsia="宋体" w:cs="宋体"/>
          <w:color w:val="auto"/>
          <w:highlight w:val="none"/>
        </w:rPr>
      </w:pPr>
    </w:p>
    <w:p w14:paraId="29901E53">
      <w:pPr>
        <w:pStyle w:val="11"/>
        <w:ind w:firstLine="3885" w:firstLineChars="1850"/>
        <w:rPr>
          <w:rFonts w:hint="eastAsia" w:ascii="宋体" w:hAnsi="宋体" w:eastAsia="宋体" w:cs="宋体"/>
          <w:color w:val="auto"/>
          <w:highlight w:val="none"/>
        </w:rPr>
      </w:pPr>
    </w:p>
    <w:p w14:paraId="4E780AB0">
      <w:pPr>
        <w:pStyle w:val="11"/>
        <w:rPr>
          <w:rFonts w:hint="eastAsia" w:ascii="宋体" w:hAnsi="宋体" w:eastAsia="宋体" w:cs="宋体"/>
          <w:color w:val="auto"/>
          <w:highlight w:val="none"/>
        </w:rPr>
      </w:pPr>
    </w:p>
    <w:p w14:paraId="4732F48D">
      <w:pPr>
        <w:pStyle w:val="11"/>
        <w:rPr>
          <w:rFonts w:hint="eastAsia" w:ascii="宋体" w:hAnsi="宋体" w:eastAsia="宋体" w:cs="宋体"/>
          <w:color w:val="auto"/>
          <w:highlight w:val="none"/>
        </w:rPr>
      </w:pPr>
    </w:p>
    <w:p w14:paraId="3013BDF5">
      <w:pPr>
        <w:pStyle w:val="11"/>
        <w:rPr>
          <w:rFonts w:hint="eastAsia" w:ascii="宋体" w:hAnsi="宋体" w:eastAsia="宋体" w:cs="宋体"/>
          <w:color w:val="auto"/>
          <w:sz w:val="30"/>
          <w:szCs w:val="30"/>
          <w:highlight w:val="none"/>
        </w:rPr>
      </w:pPr>
    </w:p>
    <w:p w14:paraId="700A98DD">
      <w:pPr>
        <w:keepNext w:val="0"/>
        <w:keepLines w:val="0"/>
        <w:pageBreakBefore w:val="0"/>
        <w:widowControl w:val="0"/>
        <w:tabs>
          <w:tab w:val="left" w:pos="8400"/>
          <w:tab w:val="left" w:pos="9240"/>
        </w:tabs>
        <w:kinsoku/>
        <w:wordWrap/>
        <w:overflowPunct/>
        <w:topLinePunct w:val="0"/>
        <w:autoSpaceDE/>
        <w:autoSpaceDN/>
        <w:bidi w:val="0"/>
        <w:adjustRightInd/>
        <w:snapToGrid/>
        <w:ind w:right="0" w:rightChars="0" w:firstLine="1144" w:firstLineChars="300"/>
        <w:jc w:val="both"/>
        <w:textAlignment w:val="auto"/>
        <w:rPr>
          <w:rFonts w:hint="eastAsia" w:ascii="宋体" w:hAnsi="宋体" w:eastAsia="宋体" w:cs="宋体"/>
          <w:b/>
          <w:bCs/>
          <w:color w:val="auto"/>
          <w:spacing w:val="-36"/>
          <w:sz w:val="30"/>
          <w:szCs w:val="30"/>
          <w:highlight w:val="none"/>
          <w:lang w:eastAsia="zh-CN"/>
        </w:rPr>
      </w:pPr>
      <w:r>
        <w:rPr>
          <w:rFonts w:hint="eastAsia" w:ascii="宋体" w:hAnsi="宋体" w:eastAsia="宋体" w:cs="宋体"/>
          <w:b/>
          <w:bCs/>
          <w:color w:val="auto"/>
          <w:spacing w:val="40"/>
          <w:sz w:val="30"/>
          <w:szCs w:val="30"/>
          <w:highlight w:val="none"/>
        </w:rPr>
        <w:t>项目名称：</w:t>
      </w:r>
      <w:r>
        <w:rPr>
          <w:rFonts w:hint="eastAsia" w:ascii="宋体" w:hAnsi="宋体" w:cs="宋体"/>
          <w:b/>
          <w:bCs/>
          <w:color w:val="auto"/>
          <w:spacing w:val="40"/>
          <w:sz w:val="30"/>
          <w:szCs w:val="30"/>
          <w:highlight w:val="none"/>
          <w:lang w:eastAsia="zh-CN"/>
        </w:rPr>
        <w:t>中峰村油榨坪街村民议事中心</w:t>
      </w:r>
    </w:p>
    <w:p w14:paraId="0DDFD0CC">
      <w:pPr>
        <w:ind w:right="-21" w:rightChars="-10" w:firstLine="1144" w:firstLineChars="300"/>
        <w:jc w:val="both"/>
        <w:rPr>
          <w:rFonts w:hint="eastAsia" w:ascii="宋体" w:hAnsi="宋体" w:eastAsia="宋体" w:cs="宋体"/>
          <w:b/>
          <w:bCs/>
          <w:color w:val="auto"/>
          <w:sz w:val="32"/>
          <w:highlight w:val="none"/>
          <w:lang w:eastAsia="zh-CN"/>
        </w:rPr>
      </w:pPr>
      <w:r>
        <w:rPr>
          <w:rFonts w:hint="eastAsia" w:ascii="宋体" w:hAnsi="宋体" w:eastAsia="宋体" w:cs="宋体"/>
          <w:b/>
          <w:bCs/>
          <w:color w:val="auto"/>
          <w:spacing w:val="40"/>
          <w:sz w:val="30"/>
          <w:szCs w:val="30"/>
          <w:highlight w:val="none"/>
        </w:rPr>
        <w:t>项目编号：</w:t>
      </w:r>
      <w:r>
        <w:rPr>
          <w:rFonts w:hint="eastAsia" w:ascii="宋体" w:hAnsi="宋体" w:cs="宋体"/>
          <w:b/>
          <w:bCs/>
          <w:color w:val="auto"/>
          <w:spacing w:val="40"/>
          <w:sz w:val="30"/>
          <w:szCs w:val="30"/>
          <w:highlight w:val="none"/>
          <w:lang w:eastAsia="zh-CN"/>
        </w:rPr>
        <w:t>GLZC2024-C2-290265-GXGZ</w:t>
      </w:r>
    </w:p>
    <w:p w14:paraId="1538565B">
      <w:pPr>
        <w:ind w:left="-2" w:leftChars="-1" w:firstLine="1446" w:firstLineChars="400"/>
        <w:rPr>
          <w:rFonts w:hint="eastAsia" w:ascii="宋体" w:hAnsi="宋体" w:eastAsia="宋体" w:cs="宋体"/>
          <w:color w:val="auto"/>
          <w:highlight w:val="none"/>
        </w:rPr>
      </w:pPr>
      <w:r>
        <w:rPr>
          <w:rFonts w:hint="eastAsia" w:ascii="宋体" w:hAnsi="宋体" w:eastAsia="宋体" w:cs="宋体"/>
          <w:b/>
          <w:bCs/>
          <w:color w:val="auto"/>
          <w:sz w:val="36"/>
          <w:highlight w:val="none"/>
        </w:rPr>
        <w:t xml:space="preserve">        </w:t>
      </w:r>
      <w:r>
        <w:rPr>
          <w:rFonts w:hint="eastAsia" w:ascii="宋体" w:hAnsi="宋体" w:eastAsia="宋体" w:cs="宋体"/>
          <w:color w:val="auto"/>
          <w:highlight w:val="none"/>
        </w:rPr>
        <w:cr/>
      </w:r>
    </w:p>
    <w:p w14:paraId="14207DF1">
      <w:pPr>
        <w:ind w:left="-2" w:leftChars="-1" w:firstLine="840" w:firstLineChars="400"/>
        <w:rPr>
          <w:rFonts w:hint="eastAsia" w:ascii="宋体" w:hAnsi="宋体" w:eastAsia="宋体" w:cs="宋体"/>
          <w:color w:val="auto"/>
          <w:highlight w:val="none"/>
        </w:rPr>
      </w:pPr>
    </w:p>
    <w:p w14:paraId="1185A196">
      <w:pPr>
        <w:ind w:left="-2" w:leftChars="-1" w:firstLine="630" w:firstLineChars="300"/>
        <w:rPr>
          <w:rFonts w:hint="eastAsia" w:ascii="宋体" w:hAnsi="宋体" w:eastAsia="宋体" w:cs="宋体"/>
          <w:color w:val="auto"/>
          <w:highlight w:val="none"/>
        </w:rPr>
      </w:pPr>
      <w:r>
        <w:rPr>
          <w:rFonts w:hint="eastAsia" w:ascii="宋体" w:hAnsi="宋体" w:eastAsia="宋体" w:cs="宋体"/>
          <w:color w:val="auto"/>
          <w:highlight w:val="none"/>
        </w:rPr>
        <w:t>　</w:t>
      </w:r>
      <w:r>
        <w:rPr>
          <w:rFonts w:hint="eastAsia" w:ascii="宋体" w:hAnsi="宋体" w:eastAsia="宋体" w:cs="宋体"/>
          <w:color w:val="auto"/>
          <w:highlight w:val="none"/>
        </w:rPr>
        <w:tab/>
      </w:r>
    </w:p>
    <w:p w14:paraId="55195215">
      <w:pPr>
        <w:ind w:left="-2" w:leftChars="-1" w:firstLine="630" w:firstLineChars="300"/>
        <w:rPr>
          <w:rFonts w:hint="eastAsia" w:ascii="宋体" w:hAnsi="宋体" w:eastAsia="宋体" w:cs="宋体"/>
          <w:color w:val="auto"/>
          <w:highlight w:val="none"/>
        </w:rPr>
      </w:pPr>
    </w:p>
    <w:p w14:paraId="7EB836FB">
      <w:pPr>
        <w:ind w:left="-2" w:leftChars="-1" w:firstLine="630" w:firstLineChars="300"/>
        <w:rPr>
          <w:rFonts w:hint="eastAsia" w:ascii="宋体" w:hAnsi="宋体" w:eastAsia="宋体" w:cs="宋体"/>
          <w:color w:val="auto"/>
          <w:highlight w:val="none"/>
        </w:rPr>
      </w:pPr>
    </w:p>
    <w:p w14:paraId="1B66B7F7">
      <w:pPr>
        <w:ind w:left="-2" w:leftChars="-1" w:firstLine="630" w:firstLineChars="300"/>
        <w:rPr>
          <w:rFonts w:hint="eastAsia" w:ascii="宋体" w:hAnsi="宋体" w:eastAsia="宋体" w:cs="宋体"/>
          <w:color w:val="auto"/>
          <w:highlight w:val="none"/>
        </w:rPr>
      </w:pPr>
    </w:p>
    <w:p w14:paraId="03F9D0B1">
      <w:pPr>
        <w:ind w:firstLine="1144" w:firstLineChars="300"/>
        <w:jc w:val="both"/>
        <w:rPr>
          <w:rFonts w:hint="eastAsia" w:ascii="宋体" w:hAnsi="宋体" w:eastAsia="宋体" w:cs="宋体"/>
          <w:b/>
          <w:bCs/>
          <w:color w:val="auto"/>
          <w:spacing w:val="-8"/>
          <w:sz w:val="30"/>
          <w:szCs w:val="30"/>
          <w:highlight w:val="none"/>
        </w:rPr>
      </w:pPr>
      <w:r>
        <w:rPr>
          <w:rFonts w:hint="eastAsia" w:ascii="宋体" w:hAnsi="宋体" w:eastAsia="宋体" w:cs="宋体"/>
          <w:b/>
          <w:bCs/>
          <w:color w:val="auto"/>
          <w:spacing w:val="40"/>
          <w:sz w:val="30"/>
          <w:szCs w:val="30"/>
          <w:highlight w:val="none"/>
          <w:lang w:eastAsia="zh-CN"/>
        </w:rPr>
        <w:t>采购</w:t>
      </w:r>
      <w:r>
        <w:rPr>
          <w:rFonts w:hint="eastAsia" w:ascii="宋体" w:hAnsi="宋体" w:eastAsia="宋体" w:cs="宋体"/>
          <w:b/>
          <w:bCs/>
          <w:color w:val="auto"/>
          <w:spacing w:val="40"/>
          <w:sz w:val="30"/>
          <w:szCs w:val="30"/>
          <w:highlight w:val="none"/>
        </w:rPr>
        <w:t>代理机构：</w:t>
      </w:r>
      <w:r>
        <w:rPr>
          <w:rFonts w:hint="eastAsia" w:ascii="宋体" w:hAnsi="宋体" w:cs="宋体"/>
          <w:b/>
          <w:bCs/>
          <w:color w:val="auto"/>
          <w:kern w:val="0"/>
          <w:sz w:val="30"/>
          <w:szCs w:val="30"/>
          <w:highlight w:val="none"/>
          <w:lang w:val="en-US" w:eastAsia="zh-CN"/>
        </w:rPr>
        <w:t>广西高质建设管理咨询有限公司</w:t>
      </w:r>
      <w:r>
        <w:rPr>
          <w:rFonts w:hint="eastAsia" w:ascii="宋体" w:hAnsi="宋体" w:eastAsia="宋体" w:cs="宋体"/>
          <w:b/>
          <w:bCs/>
          <w:color w:val="auto"/>
          <w:spacing w:val="-8"/>
          <w:sz w:val="30"/>
          <w:szCs w:val="30"/>
          <w:highlight w:val="none"/>
        </w:rPr>
        <w:t xml:space="preserve"> </w:t>
      </w:r>
    </w:p>
    <w:p w14:paraId="0FB3A8DB">
      <w:pPr>
        <w:jc w:val="center"/>
        <w:rPr>
          <w:rFonts w:hint="eastAsia" w:ascii="宋体" w:hAnsi="宋体" w:eastAsia="宋体" w:cs="宋体"/>
          <w:b/>
          <w:bCs/>
          <w:color w:val="auto"/>
          <w:sz w:val="30"/>
          <w:szCs w:val="30"/>
          <w:highlight w:val="none"/>
          <w:lang w:val="en-US" w:eastAsia="zh-CN"/>
        </w:rPr>
      </w:pPr>
      <w:r>
        <w:rPr>
          <w:rFonts w:hint="eastAsia" w:ascii="宋体" w:hAnsi="宋体" w:eastAsia="宋体" w:cs="宋体"/>
          <w:b/>
          <w:bCs/>
          <w:color w:val="auto"/>
          <w:sz w:val="30"/>
          <w:szCs w:val="30"/>
          <w:highlight w:val="none"/>
        </w:rPr>
        <w:t>20</w:t>
      </w:r>
      <w:r>
        <w:rPr>
          <w:rFonts w:hint="eastAsia" w:ascii="宋体" w:hAnsi="宋体" w:eastAsia="宋体" w:cs="宋体"/>
          <w:b/>
          <w:bCs/>
          <w:color w:val="auto"/>
          <w:sz w:val="30"/>
          <w:szCs w:val="30"/>
          <w:highlight w:val="none"/>
          <w:lang w:val="en-US" w:eastAsia="zh-CN"/>
        </w:rPr>
        <w:t>24</w:t>
      </w:r>
      <w:r>
        <w:rPr>
          <w:rFonts w:hint="eastAsia" w:ascii="宋体" w:hAnsi="宋体" w:eastAsia="宋体" w:cs="宋体"/>
          <w:b/>
          <w:bCs/>
          <w:color w:val="auto"/>
          <w:sz w:val="30"/>
          <w:szCs w:val="30"/>
          <w:highlight w:val="none"/>
        </w:rPr>
        <w:t>年</w:t>
      </w:r>
      <w:r>
        <w:rPr>
          <w:rFonts w:hint="eastAsia" w:ascii="宋体" w:hAnsi="宋体" w:cs="宋体"/>
          <w:b/>
          <w:color w:val="auto"/>
          <w:sz w:val="30"/>
          <w:szCs w:val="30"/>
          <w:highlight w:val="none"/>
          <w:lang w:val="en-US" w:eastAsia="zh-CN"/>
        </w:rPr>
        <w:t>10</w:t>
      </w:r>
      <w:r>
        <w:rPr>
          <w:rFonts w:hint="eastAsia" w:ascii="宋体" w:hAnsi="宋体" w:eastAsia="宋体" w:cs="宋体"/>
          <w:b/>
          <w:bCs/>
          <w:color w:val="auto"/>
          <w:sz w:val="30"/>
          <w:szCs w:val="30"/>
          <w:highlight w:val="none"/>
        </w:rPr>
        <w:t>月</w:t>
      </w:r>
      <w:r>
        <w:rPr>
          <w:rFonts w:hint="eastAsia" w:ascii="宋体" w:hAnsi="宋体" w:cs="宋体"/>
          <w:b/>
          <w:bCs/>
          <w:color w:val="auto"/>
          <w:sz w:val="30"/>
          <w:szCs w:val="30"/>
          <w:highlight w:val="none"/>
          <w:lang w:val="en-US" w:eastAsia="zh-CN"/>
        </w:rPr>
        <w:t>24</w:t>
      </w:r>
      <w:r>
        <w:rPr>
          <w:rFonts w:hint="eastAsia" w:ascii="宋体" w:hAnsi="宋体" w:eastAsia="宋体" w:cs="宋体"/>
          <w:b/>
          <w:bCs/>
          <w:color w:val="auto"/>
          <w:sz w:val="30"/>
          <w:szCs w:val="30"/>
          <w:highlight w:val="none"/>
          <w:lang w:val="en-US" w:eastAsia="zh-CN"/>
        </w:rPr>
        <w:t>日</w:t>
      </w:r>
    </w:p>
    <w:p w14:paraId="5532F8B9">
      <w:pPr>
        <w:autoSpaceDE w:val="0"/>
        <w:autoSpaceDN w:val="0"/>
        <w:spacing w:line="545" w:lineRule="exact"/>
        <w:outlineLvl w:val="2"/>
        <w:rPr>
          <w:rFonts w:hint="eastAsia" w:ascii="宋体" w:hAnsi="宋体" w:cs="宋体"/>
          <w:b/>
          <w:bCs/>
          <w:color w:val="auto"/>
          <w:kern w:val="0"/>
          <w:sz w:val="44"/>
          <w:szCs w:val="44"/>
          <w:highlight w:val="none"/>
          <w:lang w:val="zh-CN" w:bidi="zh-CN"/>
        </w:rPr>
        <w:sectPr>
          <w:headerReference r:id="rId3" w:type="default"/>
          <w:footerReference r:id="rId4" w:type="even"/>
          <w:pgSz w:w="11906" w:h="16838"/>
          <w:pgMar w:top="850" w:right="972" w:bottom="850" w:left="854" w:header="851" w:footer="992" w:gutter="0"/>
          <w:cols w:space="720" w:num="1"/>
          <w:titlePg/>
          <w:docGrid w:type="lines" w:linePitch="388" w:charSpace="0"/>
        </w:sectPr>
      </w:pPr>
    </w:p>
    <w:p w14:paraId="309B2D5B">
      <w:pPr>
        <w:pStyle w:val="14"/>
        <w:keepNext w:val="0"/>
        <w:keepLines w:val="0"/>
        <w:pageBreakBefore w:val="0"/>
        <w:widowControl w:val="0"/>
        <w:tabs>
          <w:tab w:val="right" w:leader="dot" w:pos="9660"/>
        </w:tabs>
        <w:kinsoku/>
        <w:wordWrap/>
        <w:overflowPunct/>
        <w:topLinePunct w:val="0"/>
        <w:autoSpaceDE/>
        <w:autoSpaceDN/>
        <w:bidi w:val="0"/>
        <w:adjustRightInd/>
        <w:snapToGrid/>
        <w:spacing w:line="360" w:lineRule="auto"/>
        <w:jc w:val="both"/>
        <w:textAlignment w:val="auto"/>
        <w:rPr>
          <w:rFonts w:hint="eastAsia" w:ascii="宋体" w:hAnsi="宋体" w:eastAsia="宋体" w:cs="宋体"/>
          <w:b/>
          <w:color w:val="auto"/>
          <w:spacing w:val="-6"/>
          <w:kern w:val="0"/>
          <w:sz w:val="21"/>
          <w:szCs w:val="21"/>
          <w:highlight w:val="none"/>
          <w:lang w:eastAsia="zh-CN"/>
        </w:rPr>
      </w:pPr>
    </w:p>
    <w:p w14:paraId="6727D4B0">
      <w:pPr>
        <w:pStyle w:val="14"/>
        <w:keepNext w:val="0"/>
        <w:keepLines w:val="0"/>
        <w:pageBreakBefore w:val="0"/>
        <w:widowControl w:val="0"/>
        <w:tabs>
          <w:tab w:val="right" w:leader="dot" w:pos="9660"/>
        </w:tabs>
        <w:kinsoku/>
        <w:wordWrap/>
        <w:overflowPunct/>
        <w:topLinePunct w:val="0"/>
        <w:autoSpaceDE/>
        <w:autoSpaceDN/>
        <w:bidi w:val="0"/>
        <w:adjustRightInd/>
        <w:snapToGrid/>
        <w:spacing w:line="360" w:lineRule="auto"/>
        <w:jc w:val="center"/>
        <w:textAlignment w:val="auto"/>
        <w:rPr>
          <w:rFonts w:hint="eastAsia" w:ascii="宋体" w:hAnsi="宋体" w:eastAsia="宋体" w:cs="宋体"/>
          <w:b/>
          <w:color w:val="auto"/>
          <w:spacing w:val="-6"/>
          <w:kern w:val="0"/>
          <w:sz w:val="32"/>
          <w:szCs w:val="32"/>
          <w:highlight w:val="none"/>
          <w:lang w:eastAsia="zh-CN"/>
        </w:rPr>
      </w:pPr>
      <w:r>
        <w:rPr>
          <w:rFonts w:hint="eastAsia" w:ascii="宋体" w:hAnsi="宋体" w:eastAsia="宋体" w:cs="宋体"/>
          <w:b/>
          <w:color w:val="auto"/>
          <w:spacing w:val="-6"/>
          <w:kern w:val="0"/>
          <w:sz w:val="32"/>
          <w:szCs w:val="32"/>
          <w:highlight w:val="none"/>
          <w:lang w:eastAsia="zh-CN"/>
        </w:rPr>
        <w:t>目</w:t>
      </w:r>
      <w:r>
        <w:rPr>
          <w:rFonts w:hint="eastAsia" w:ascii="宋体" w:hAnsi="宋体" w:eastAsia="宋体" w:cs="宋体"/>
          <w:b/>
          <w:color w:val="auto"/>
          <w:spacing w:val="-6"/>
          <w:kern w:val="0"/>
          <w:sz w:val="32"/>
          <w:szCs w:val="32"/>
          <w:highlight w:val="none"/>
          <w:lang w:val="en-US" w:eastAsia="zh-CN"/>
        </w:rPr>
        <w:t xml:space="preserve">  </w:t>
      </w:r>
      <w:r>
        <w:rPr>
          <w:rFonts w:hint="eastAsia" w:ascii="宋体" w:hAnsi="宋体" w:eastAsia="宋体" w:cs="宋体"/>
          <w:b/>
          <w:color w:val="auto"/>
          <w:spacing w:val="-6"/>
          <w:kern w:val="0"/>
          <w:sz w:val="32"/>
          <w:szCs w:val="32"/>
          <w:highlight w:val="none"/>
          <w:lang w:eastAsia="zh-CN"/>
        </w:rPr>
        <w:t>录</w:t>
      </w:r>
    </w:p>
    <w:p w14:paraId="3254D0A1">
      <w:pPr>
        <w:rPr>
          <w:rFonts w:hint="eastAsia" w:ascii="宋体" w:hAnsi="宋体" w:eastAsia="宋体" w:cs="宋体"/>
          <w:color w:val="auto"/>
          <w:sz w:val="28"/>
          <w:szCs w:val="28"/>
          <w:highlight w:val="none"/>
          <w:lang w:eastAsia="zh-CN"/>
        </w:rPr>
      </w:pPr>
    </w:p>
    <w:p w14:paraId="78CD43FB">
      <w:pPr>
        <w:pStyle w:val="14"/>
        <w:tabs>
          <w:tab w:val="right" w:leader="dot" w:pos="9660"/>
        </w:tabs>
        <w:spacing w:line="360" w:lineRule="auto"/>
        <w:rPr>
          <w:rFonts w:hint="eastAsia" w:ascii="宋体" w:hAnsi="宋体" w:eastAsia="宋体" w:cs="宋体"/>
          <w:color w:val="auto"/>
          <w:sz w:val="28"/>
          <w:szCs w:val="28"/>
          <w:highlight w:val="none"/>
        </w:rPr>
      </w:pPr>
      <w:r>
        <w:rPr>
          <w:rFonts w:hint="eastAsia" w:ascii="宋体" w:hAnsi="宋体" w:eastAsia="宋体" w:cs="宋体"/>
          <w:b/>
          <w:color w:val="auto"/>
          <w:spacing w:val="-6"/>
          <w:kern w:val="0"/>
          <w:sz w:val="28"/>
          <w:szCs w:val="28"/>
          <w:highlight w:val="none"/>
        </w:rPr>
        <w:fldChar w:fldCharType="begin"/>
      </w:r>
      <w:r>
        <w:rPr>
          <w:rFonts w:hint="eastAsia" w:ascii="宋体" w:hAnsi="宋体" w:eastAsia="宋体" w:cs="宋体"/>
          <w:b/>
          <w:color w:val="auto"/>
          <w:spacing w:val="-6"/>
          <w:kern w:val="0"/>
          <w:sz w:val="28"/>
          <w:szCs w:val="28"/>
          <w:highlight w:val="none"/>
        </w:rPr>
        <w:instrText xml:space="preserve">TOC \o "1-2" \h \u </w:instrText>
      </w:r>
      <w:r>
        <w:rPr>
          <w:rFonts w:hint="eastAsia" w:ascii="宋体" w:hAnsi="宋体" w:eastAsia="宋体" w:cs="宋体"/>
          <w:b/>
          <w:color w:val="auto"/>
          <w:spacing w:val="-6"/>
          <w:kern w:val="0"/>
          <w:sz w:val="28"/>
          <w:szCs w:val="28"/>
          <w:highlight w:val="none"/>
        </w:rPr>
        <w:fldChar w:fldCharType="separate"/>
      </w:r>
      <w:r>
        <w:rPr>
          <w:rFonts w:hint="eastAsia" w:ascii="宋体" w:hAnsi="宋体" w:eastAsia="宋体" w:cs="宋体"/>
          <w:color w:val="auto"/>
          <w:spacing w:val="-6"/>
          <w:kern w:val="0"/>
          <w:sz w:val="28"/>
          <w:szCs w:val="28"/>
          <w:highlight w:val="none"/>
        </w:rPr>
        <w:fldChar w:fldCharType="begin"/>
      </w:r>
      <w:r>
        <w:rPr>
          <w:rFonts w:hint="eastAsia" w:ascii="宋体" w:hAnsi="宋体" w:eastAsia="宋体" w:cs="宋体"/>
          <w:color w:val="auto"/>
          <w:spacing w:val="-6"/>
          <w:kern w:val="0"/>
          <w:sz w:val="28"/>
          <w:szCs w:val="28"/>
          <w:highlight w:val="none"/>
        </w:rPr>
        <w:instrText xml:space="preserve"> HYPERLINK \l _Toc15867 </w:instrText>
      </w:r>
      <w:r>
        <w:rPr>
          <w:rFonts w:hint="eastAsia" w:ascii="宋体" w:hAnsi="宋体" w:eastAsia="宋体" w:cs="宋体"/>
          <w:color w:val="auto"/>
          <w:spacing w:val="-6"/>
          <w:kern w:val="0"/>
          <w:sz w:val="28"/>
          <w:szCs w:val="28"/>
          <w:highlight w:val="none"/>
        </w:rPr>
        <w:fldChar w:fldCharType="separate"/>
      </w:r>
      <w:r>
        <w:rPr>
          <w:rFonts w:hint="eastAsia" w:ascii="宋体" w:hAnsi="宋体" w:eastAsia="宋体" w:cs="宋体"/>
          <w:color w:val="auto"/>
          <w:sz w:val="28"/>
          <w:szCs w:val="28"/>
          <w:highlight w:val="none"/>
          <w:lang w:eastAsia="zh-CN"/>
        </w:rPr>
        <w:t>第一章</w:t>
      </w:r>
      <w:r>
        <w:rPr>
          <w:rFonts w:hint="eastAsia" w:ascii="宋体" w:hAnsi="宋体" w:eastAsia="宋体" w:cs="宋体"/>
          <w:color w:val="auto"/>
          <w:sz w:val="28"/>
          <w:szCs w:val="28"/>
          <w:highlight w:val="none"/>
          <w:lang w:val="en-US" w:eastAsia="zh-CN"/>
        </w:rPr>
        <w:t xml:space="preserve"> </w:t>
      </w:r>
      <w:r>
        <w:rPr>
          <w:rFonts w:hint="eastAsia" w:ascii="宋体" w:hAnsi="宋体" w:eastAsia="宋体" w:cs="宋体"/>
          <w:color w:val="auto"/>
          <w:sz w:val="28"/>
          <w:szCs w:val="28"/>
          <w:highlight w:val="none"/>
        </w:rPr>
        <w:t>竞争性磋商公告</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_Toc15867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2</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pacing w:val="-6"/>
          <w:kern w:val="0"/>
          <w:sz w:val="28"/>
          <w:szCs w:val="28"/>
          <w:highlight w:val="none"/>
        </w:rPr>
        <w:fldChar w:fldCharType="end"/>
      </w:r>
    </w:p>
    <w:p w14:paraId="180546DF">
      <w:pPr>
        <w:pStyle w:val="14"/>
        <w:tabs>
          <w:tab w:val="right" w:leader="dot" w:pos="9660"/>
        </w:tabs>
        <w:spacing w:line="360" w:lineRule="auto"/>
        <w:rPr>
          <w:rFonts w:hint="eastAsia" w:ascii="宋体" w:hAnsi="宋体" w:eastAsia="宋体" w:cs="宋体"/>
          <w:color w:val="auto"/>
          <w:sz w:val="28"/>
          <w:szCs w:val="28"/>
          <w:highlight w:val="none"/>
        </w:rPr>
      </w:pPr>
      <w:r>
        <w:rPr>
          <w:rFonts w:hint="eastAsia" w:ascii="宋体" w:hAnsi="宋体" w:eastAsia="宋体" w:cs="宋体"/>
          <w:color w:val="auto"/>
          <w:spacing w:val="-6"/>
          <w:kern w:val="0"/>
          <w:sz w:val="28"/>
          <w:szCs w:val="28"/>
          <w:highlight w:val="none"/>
        </w:rPr>
        <w:fldChar w:fldCharType="begin"/>
      </w:r>
      <w:r>
        <w:rPr>
          <w:rFonts w:hint="eastAsia" w:ascii="宋体" w:hAnsi="宋体" w:eastAsia="宋体" w:cs="宋体"/>
          <w:color w:val="auto"/>
          <w:spacing w:val="-6"/>
          <w:kern w:val="0"/>
          <w:sz w:val="28"/>
          <w:szCs w:val="28"/>
          <w:highlight w:val="none"/>
        </w:rPr>
        <w:instrText xml:space="preserve"> HYPERLINK \l _Toc16146 </w:instrText>
      </w:r>
      <w:r>
        <w:rPr>
          <w:rFonts w:hint="eastAsia" w:ascii="宋体" w:hAnsi="宋体" w:eastAsia="宋体" w:cs="宋体"/>
          <w:color w:val="auto"/>
          <w:spacing w:val="-6"/>
          <w:kern w:val="0"/>
          <w:sz w:val="28"/>
          <w:szCs w:val="28"/>
          <w:highlight w:val="none"/>
        </w:rPr>
        <w:fldChar w:fldCharType="separate"/>
      </w:r>
      <w:r>
        <w:rPr>
          <w:rFonts w:hint="eastAsia" w:ascii="宋体" w:hAnsi="宋体" w:eastAsia="宋体" w:cs="宋体"/>
          <w:color w:val="auto"/>
          <w:sz w:val="28"/>
          <w:szCs w:val="28"/>
          <w:highlight w:val="none"/>
          <w:lang w:eastAsia="zh-CN"/>
        </w:rPr>
        <w:t>第二章</w:t>
      </w:r>
      <w:r>
        <w:rPr>
          <w:rFonts w:hint="eastAsia" w:ascii="宋体" w:hAnsi="宋体" w:eastAsia="宋体" w:cs="宋体"/>
          <w:color w:val="auto"/>
          <w:sz w:val="28"/>
          <w:szCs w:val="28"/>
          <w:highlight w:val="none"/>
          <w:lang w:val="en-US" w:eastAsia="zh-CN"/>
        </w:rPr>
        <w:t xml:space="preserve"> </w:t>
      </w:r>
      <w:r>
        <w:rPr>
          <w:rFonts w:hint="eastAsia" w:ascii="宋体" w:hAnsi="宋体" w:eastAsia="宋体" w:cs="宋体"/>
          <w:color w:val="auto"/>
          <w:sz w:val="28"/>
          <w:szCs w:val="28"/>
          <w:highlight w:val="none"/>
        </w:rPr>
        <w:t>供应商须知</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_Toc16146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5</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pacing w:val="-6"/>
          <w:kern w:val="0"/>
          <w:sz w:val="28"/>
          <w:szCs w:val="28"/>
          <w:highlight w:val="none"/>
        </w:rPr>
        <w:fldChar w:fldCharType="end"/>
      </w:r>
    </w:p>
    <w:p w14:paraId="2DD38FF1">
      <w:pPr>
        <w:pStyle w:val="15"/>
        <w:tabs>
          <w:tab w:val="right" w:leader="dot" w:pos="9660"/>
        </w:tabs>
        <w:spacing w:line="360" w:lineRule="auto"/>
        <w:rPr>
          <w:rFonts w:hint="eastAsia" w:ascii="宋体" w:hAnsi="宋体" w:eastAsia="宋体" w:cs="宋体"/>
          <w:color w:val="auto"/>
          <w:sz w:val="28"/>
          <w:szCs w:val="28"/>
          <w:highlight w:val="none"/>
        </w:rPr>
      </w:pPr>
      <w:r>
        <w:rPr>
          <w:rFonts w:hint="eastAsia" w:ascii="宋体" w:hAnsi="宋体" w:eastAsia="宋体" w:cs="宋体"/>
          <w:color w:val="auto"/>
          <w:spacing w:val="-6"/>
          <w:kern w:val="0"/>
          <w:sz w:val="28"/>
          <w:szCs w:val="28"/>
          <w:highlight w:val="none"/>
        </w:rPr>
        <w:fldChar w:fldCharType="begin"/>
      </w:r>
      <w:r>
        <w:rPr>
          <w:rFonts w:hint="eastAsia" w:ascii="宋体" w:hAnsi="宋体" w:eastAsia="宋体" w:cs="宋体"/>
          <w:color w:val="auto"/>
          <w:spacing w:val="-6"/>
          <w:kern w:val="0"/>
          <w:sz w:val="28"/>
          <w:szCs w:val="28"/>
          <w:highlight w:val="none"/>
        </w:rPr>
        <w:instrText xml:space="preserve"> HYPERLINK \l _Toc19520 </w:instrText>
      </w:r>
      <w:r>
        <w:rPr>
          <w:rFonts w:hint="eastAsia" w:ascii="宋体" w:hAnsi="宋体" w:eastAsia="宋体" w:cs="宋体"/>
          <w:color w:val="auto"/>
          <w:spacing w:val="-6"/>
          <w:kern w:val="0"/>
          <w:sz w:val="28"/>
          <w:szCs w:val="28"/>
          <w:highlight w:val="none"/>
        </w:rPr>
        <w:fldChar w:fldCharType="separate"/>
      </w:r>
      <w:r>
        <w:rPr>
          <w:rFonts w:hint="eastAsia" w:ascii="宋体" w:hAnsi="宋体" w:eastAsia="宋体" w:cs="宋体"/>
          <w:bCs w:val="0"/>
          <w:color w:val="auto"/>
          <w:sz w:val="28"/>
          <w:szCs w:val="28"/>
          <w:highlight w:val="none"/>
        </w:rPr>
        <w:t>一、总则</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_Toc19520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9</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pacing w:val="-6"/>
          <w:kern w:val="0"/>
          <w:sz w:val="28"/>
          <w:szCs w:val="28"/>
          <w:highlight w:val="none"/>
        </w:rPr>
        <w:fldChar w:fldCharType="end"/>
      </w:r>
    </w:p>
    <w:p w14:paraId="34F05818">
      <w:pPr>
        <w:pStyle w:val="15"/>
        <w:tabs>
          <w:tab w:val="right" w:leader="dot" w:pos="9660"/>
        </w:tabs>
        <w:spacing w:line="360" w:lineRule="auto"/>
        <w:rPr>
          <w:rFonts w:hint="eastAsia" w:ascii="宋体" w:hAnsi="宋体" w:eastAsia="宋体" w:cs="宋体"/>
          <w:color w:val="auto"/>
          <w:sz w:val="28"/>
          <w:szCs w:val="28"/>
          <w:highlight w:val="none"/>
        </w:rPr>
      </w:pPr>
      <w:r>
        <w:rPr>
          <w:rFonts w:hint="eastAsia" w:ascii="宋体" w:hAnsi="宋体" w:eastAsia="宋体" w:cs="宋体"/>
          <w:color w:val="auto"/>
          <w:spacing w:val="-6"/>
          <w:kern w:val="0"/>
          <w:sz w:val="28"/>
          <w:szCs w:val="28"/>
          <w:highlight w:val="none"/>
        </w:rPr>
        <w:fldChar w:fldCharType="begin"/>
      </w:r>
      <w:r>
        <w:rPr>
          <w:rFonts w:hint="eastAsia" w:ascii="宋体" w:hAnsi="宋体" w:eastAsia="宋体" w:cs="宋体"/>
          <w:color w:val="auto"/>
          <w:spacing w:val="-6"/>
          <w:kern w:val="0"/>
          <w:sz w:val="28"/>
          <w:szCs w:val="28"/>
          <w:highlight w:val="none"/>
        </w:rPr>
        <w:instrText xml:space="preserve"> HYPERLINK \l _Toc5168 </w:instrText>
      </w:r>
      <w:r>
        <w:rPr>
          <w:rFonts w:hint="eastAsia" w:ascii="宋体" w:hAnsi="宋体" w:eastAsia="宋体" w:cs="宋体"/>
          <w:color w:val="auto"/>
          <w:spacing w:val="-6"/>
          <w:kern w:val="0"/>
          <w:sz w:val="28"/>
          <w:szCs w:val="28"/>
          <w:highlight w:val="none"/>
        </w:rPr>
        <w:fldChar w:fldCharType="separate"/>
      </w:r>
      <w:r>
        <w:rPr>
          <w:rFonts w:hint="eastAsia" w:ascii="宋体" w:hAnsi="宋体" w:eastAsia="宋体" w:cs="宋体"/>
          <w:bCs w:val="0"/>
          <w:color w:val="auto"/>
          <w:sz w:val="28"/>
          <w:szCs w:val="28"/>
          <w:highlight w:val="none"/>
        </w:rPr>
        <w:t>二、磋商文件</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_Toc5168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10</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pacing w:val="-6"/>
          <w:kern w:val="0"/>
          <w:sz w:val="28"/>
          <w:szCs w:val="28"/>
          <w:highlight w:val="none"/>
        </w:rPr>
        <w:fldChar w:fldCharType="end"/>
      </w:r>
    </w:p>
    <w:p w14:paraId="786A4740">
      <w:pPr>
        <w:pStyle w:val="15"/>
        <w:tabs>
          <w:tab w:val="right" w:leader="dot" w:pos="9660"/>
        </w:tabs>
        <w:spacing w:line="360" w:lineRule="auto"/>
        <w:rPr>
          <w:rFonts w:hint="eastAsia" w:ascii="宋体" w:hAnsi="宋体" w:eastAsia="宋体" w:cs="宋体"/>
          <w:color w:val="auto"/>
          <w:sz w:val="28"/>
          <w:szCs w:val="28"/>
          <w:highlight w:val="none"/>
        </w:rPr>
      </w:pPr>
      <w:r>
        <w:rPr>
          <w:rFonts w:hint="eastAsia" w:ascii="宋体" w:hAnsi="宋体" w:eastAsia="宋体" w:cs="宋体"/>
          <w:color w:val="auto"/>
          <w:spacing w:val="-6"/>
          <w:kern w:val="0"/>
          <w:sz w:val="28"/>
          <w:szCs w:val="28"/>
          <w:highlight w:val="none"/>
        </w:rPr>
        <w:fldChar w:fldCharType="begin"/>
      </w:r>
      <w:r>
        <w:rPr>
          <w:rFonts w:hint="eastAsia" w:ascii="宋体" w:hAnsi="宋体" w:eastAsia="宋体" w:cs="宋体"/>
          <w:color w:val="auto"/>
          <w:spacing w:val="-6"/>
          <w:kern w:val="0"/>
          <w:sz w:val="28"/>
          <w:szCs w:val="28"/>
          <w:highlight w:val="none"/>
        </w:rPr>
        <w:instrText xml:space="preserve"> HYPERLINK \l _Toc26857 </w:instrText>
      </w:r>
      <w:r>
        <w:rPr>
          <w:rFonts w:hint="eastAsia" w:ascii="宋体" w:hAnsi="宋体" w:eastAsia="宋体" w:cs="宋体"/>
          <w:color w:val="auto"/>
          <w:spacing w:val="-6"/>
          <w:kern w:val="0"/>
          <w:sz w:val="28"/>
          <w:szCs w:val="28"/>
          <w:highlight w:val="none"/>
        </w:rPr>
        <w:fldChar w:fldCharType="separate"/>
      </w:r>
      <w:r>
        <w:rPr>
          <w:rFonts w:hint="eastAsia" w:ascii="宋体" w:hAnsi="宋体" w:eastAsia="宋体" w:cs="宋体"/>
          <w:bCs w:val="0"/>
          <w:color w:val="auto"/>
          <w:sz w:val="28"/>
          <w:szCs w:val="28"/>
          <w:highlight w:val="none"/>
        </w:rPr>
        <w:t>三、竞争性磋商响应文件的编制</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_Toc26857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11</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pacing w:val="-6"/>
          <w:kern w:val="0"/>
          <w:sz w:val="28"/>
          <w:szCs w:val="28"/>
          <w:highlight w:val="none"/>
        </w:rPr>
        <w:fldChar w:fldCharType="end"/>
      </w:r>
    </w:p>
    <w:p w14:paraId="0EF277D8">
      <w:pPr>
        <w:pStyle w:val="15"/>
        <w:tabs>
          <w:tab w:val="right" w:leader="dot" w:pos="9660"/>
        </w:tabs>
        <w:spacing w:line="360" w:lineRule="auto"/>
        <w:rPr>
          <w:rFonts w:hint="eastAsia" w:ascii="宋体" w:hAnsi="宋体" w:eastAsia="宋体" w:cs="宋体"/>
          <w:color w:val="auto"/>
          <w:sz w:val="28"/>
          <w:szCs w:val="28"/>
          <w:highlight w:val="none"/>
        </w:rPr>
      </w:pPr>
      <w:r>
        <w:rPr>
          <w:rFonts w:hint="eastAsia" w:ascii="宋体" w:hAnsi="宋体" w:eastAsia="宋体" w:cs="宋体"/>
          <w:color w:val="auto"/>
          <w:spacing w:val="-6"/>
          <w:kern w:val="0"/>
          <w:sz w:val="28"/>
          <w:szCs w:val="28"/>
          <w:highlight w:val="none"/>
        </w:rPr>
        <w:fldChar w:fldCharType="begin"/>
      </w:r>
      <w:r>
        <w:rPr>
          <w:rFonts w:hint="eastAsia" w:ascii="宋体" w:hAnsi="宋体" w:eastAsia="宋体" w:cs="宋体"/>
          <w:color w:val="auto"/>
          <w:spacing w:val="-6"/>
          <w:kern w:val="0"/>
          <w:sz w:val="28"/>
          <w:szCs w:val="28"/>
          <w:highlight w:val="none"/>
        </w:rPr>
        <w:instrText xml:space="preserve"> HYPERLINK \l _Toc2647 </w:instrText>
      </w:r>
      <w:r>
        <w:rPr>
          <w:rFonts w:hint="eastAsia" w:ascii="宋体" w:hAnsi="宋体" w:eastAsia="宋体" w:cs="宋体"/>
          <w:color w:val="auto"/>
          <w:spacing w:val="-6"/>
          <w:kern w:val="0"/>
          <w:sz w:val="28"/>
          <w:szCs w:val="28"/>
          <w:highlight w:val="none"/>
        </w:rPr>
        <w:fldChar w:fldCharType="separate"/>
      </w:r>
      <w:r>
        <w:rPr>
          <w:rFonts w:hint="eastAsia" w:ascii="宋体" w:hAnsi="宋体" w:eastAsia="宋体" w:cs="宋体"/>
          <w:bCs w:val="0"/>
          <w:color w:val="auto"/>
          <w:sz w:val="28"/>
          <w:szCs w:val="28"/>
          <w:highlight w:val="none"/>
        </w:rPr>
        <w:t>四、竞争性磋商（简称磋商）与评审</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_Toc2647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15</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pacing w:val="-6"/>
          <w:kern w:val="0"/>
          <w:sz w:val="28"/>
          <w:szCs w:val="28"/>
          <w:highlight w:val="none"/>
        </w:rPr>
        <w:fldChar w:fldCharType="end"/>
      </w:r>
    </w:p>
    <w:p w14:paraId="0FA4214D">
      <w:pPr>
        <w:pStyle w:val="15"/>
        <w:tabs>
          <w:tab w:val="right" w:leader="dot" w:pos="9660"/>
        </w:tabs>
        <w:spacing w:line="360" w:lineRule="auto"/>
        <w:rPr>
          <w:rFonts w:hint="eastAsia" w:ascii="宋体" w:hAnsi="宋体" w:eastAsia="宋体" w:cs="宋体"/>
          <w:color w:val="auto"/>
          <w:sz w:val="28"/>
          <w:szCs w:val="28"/>
          <w:highlight w:val="none"/>
        </w:rPr>
      </w:pPr>
      <w:r>
        <w:rPr>
          <w:rFonts w:hint="eastAsia" w:ascii="宋体" w:hAnsi="宋体" w:eastAsia="宋体" w:cs="宋体"/>
          <w:color w:val="auto"/>
          <w:spacing w:val="-6"/>
          <w:kern w:val="0"/>
          <w:sz w:val="28"/>
          <w:szCs w:val="28"/>
          <w:highlight w:val="none"/>
        </w:rPr>
        <w:fldChar w:fldCharType="begin"/>
      </w:r>
      <w:r>
        <w:rPr>
          <w:rFonts w:hint="eastAsia" w:ascii="宋体" w:hAnsi="宋体" w:eastAsia="宋体" w:cs="宋体"/>
          <w:color w:val="auto"/>
          <w:spacing w:val="-6"/>
          <w:kern w:val="0"/>
          <w:sz w:val="28"/>
          <w:szCs w:val="28"/>
          <w:highlight w:val="none"/>
        </w:rPr>
        <w:instrText xml:space="preserve"> HYPERLINK \l _Toc6064 </w:instrText>
      </w:r>
      <w:r>
        <w:rPr>
          <w:rFonts w:hint="eastAsia" w:ascii="宋体" w:hAnsi="宋体" w:eastAsia="宋体" w:cs="宋体"/>
          <w:color w:val="auto"/>
          <w:spacing w:val="-6"/>
          <w:kern w:val="0"/>
          <w:sz w:val="28"/>
          <w:szCs w:val="28"/>
          <w:highlight w:val="none"/>
        </w:rPr>
        <w:fldChar w:fldCharType="separate"/>
      </w:r>
      <w:r>
        <w:rPr>
          <w:rFonts w:hint="eastAsia" w:ascii="宋体" w:hAnsi="宋体" w:eastAsia="宋体" w:cs="宋体"/>
          <w:bCs w:val="0"/>
          <w:color w:val="auto"/>
          <w:sz w:val="28"/>
          <w:szCs w:val="28"/>
          <w:highlight w:val="none"/>
        </w:rPr>
        <w:t>五、签订合同</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_Toc6064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20</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pacing w:val="-6"/>
          <w:kern w:val="0"/>
          <w:sz w:val="28"/>
          <w:szCs w:val="28"/>
          <w:highlight w:val="none"/>
        </w:rPr>
        <w:fldChar w:fldCharType="end"/>
      </w:r>
    </w:p>
    <w:p w14:paraId="7F966446">
      <w:pPr>
        <w:pStyle w:val="15"/>
        <w:tabs>
          <w:tab w:val="right" w:leader="dot" w:pos="9660"/>
        </w:tabs>
        <w:spacing w:line="360" w:lineRule="auto"/>
        <w:rPr>
          <w:rFonts w:hint="eastAsia" w:ascii="宋体" w:hAnsi="宋体" w:eastAsia="宋体" w:cs="宋体"/>
          <w:color w:val="auto"/>
          <w:sz w:val="28"/>
          <w:szCs w:val="28"/>
          <w:highlight w:val="none"/>
        </w:rPr>
      </w:pPr>
      <w:r>
        <w:rPr>
          <w:rFonts w:hint="eastAsia" w:ascii="宋体" w:hAnsi="宋体" w:eastAsia="宋体" w:cs="宋体"/>
          <w:color w:val="auto"/>
          <w:spacing w:val="-6"/>
          <w:kern w:val="0"/>
          <w:sz w:val="28"/>
          <w:szCs w:val="28"/>
          <w:highlight w:val="none"/>
        </w:rPr>
        <w:fldChar w:fldCharType="begin"/>
      </w:r>
      <w:r>
        <w:rPr>
          <w:rFonts w:hint="eastAsia" w:ascii="宋体" w:hAnsi="宋体" w:eastAsia="宋体" w:cs="宋体"/>
          <w:color w:val="auto"/>
          <w:spacing w:val="-6"/>
          <w:kern w:val="0"/>
          <w:sz w:val="28"/>
          <w:szCs w:val="28"/>
          <w:highlight w:val="none"/>
        </w:rPr>
        <w:instrText xml:space="preserve"> HYPERLINK \l _Toc26986 </w:instrText>
      </w:r>
      <w:r>
        <w:rPr>
          <w:rFonts w:hint="eastAsia" w:ascii="宋体" w:hAnsi="宋体" w:eastAsia="宋体" w:cs="宋体"/>
          <w:color w:val="auto"/>
          <w:spacing w:val="-6"/>
          <w:kern w:val="0"/>
          <w:sz w:val="28"/>
          <w:szCs w:val="28"/>
          <w:highlight w:val="none"/>
        </w:rPr>
        <w:fldChar w:fldCharType="separate"/>
      </w:r>
      <w:r>
        <w:rPr>
          <w:rFonts w:hint="eastAsia" w:ascii="宋体" w:hAnsi="宋体" w:eastAsia="宋体" w:cs="宋体"/>
          <w:bCs w:val="0"/>
          <w:color w:val="auto"/>
          <w:sz w:val="28"/>
          <w:szCs w:val="28"/>
          <w:highlight w:val="none"/>
        </w:rPr>
        <w:t>六、其他事项</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_Toc26986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20</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pacing w:val="-6"/>
          <w:kern w:val="0"/>
          <w:sz w:val="28"/>
          <w:szCs w:val="28"/>
          <w:highlight w:val="none"/>
        </w:rPr>
        <w:fldChar w:fldCharType="end"/>
      </w:r>
    </w:p>
    <w:p w14:paraId="1FE2F8FC">
      <w:pPr>
        <w:pStyle w:val="14"/>
        <w:tabs>
          <w:tab w:val="right" w:leader="dot" w:pos="9660"/>
        </w:tabs>
        <w:spacing w:line="360" w:lineRule="auto"/>
        <w:rPr>
          <w:rFonts w:hint="eastAsia" w:ascii="宋体" w:hAnsi="宋体" w:eastAsia="宋体" w:cs="宋体"/>
          <w:color w:val="auto"/>
          <w:sz w:val="28"/>
          <w:szCs w:val="28"/>
          <w:highlight w:val="none"/>
        </w:rPr>
      </w:pPr>
      <w:r>
        <w:rPr>
          <w:rFonts w:hint="eastAsia" w:ascii="宋体" w:hAnsi="宋体" w:eastAsia="宋体" w:cs="宋体"/>
          <w:color w:val="auto"/>
          <w:spacing w:val="-6"/>
          <w:kern w:val="0"/>
          <w:sz w:val="28"/>
          <w:szCs w:val="28"/>
          <w:highlight w:val="none"/>
        </w:rPr>
        <w:fldChar w:fldCharType="begin"/>
      </w:r>
      <w:r>
        <w:rPr>
          <w:rFonts w:hint="eastAsia" w:ascii="宋体" w:hAnsi="宋体" w:eastAsia="宋体" w:cs="宋体"/>
          <w:color w:val="auto"/>
          <w:spacing w:val="-6"/>
          <w:kern w:val="0"/>
          <w:sz w:val="28"/>
          <w:szCs w:val="28"/>
          <w:highlight w:val="none"/>
        </w:rPr>
        <w:instrText xml:space="preserve"> HYPERLINK \l _Toc23263 </w:instrText>
      </w:r>
      <w:r>
        <w:rPr>
          <w:rFonts w:hint="eastAsia" w:ascii="宋体" w:hAnsi="宋体" w:eastAsia="宋体" w:cs="宋体"/>
          <w:color w:val="auto"/>
          <w:spacing w:val="-6"/>
          <w:kern w:val="0"/>
          <w:sz w:val="28"/>
          <w:szCs w:val="28"/>
          <w:highlight w:val="none"/>
        </w:rPr>
        <w:fldChar w:fldCharType="separate"/>
      </w:r>
      <w:r>
        <w:rPr>
          <w:rFonts w:hint="eastAsia" w:ascii="宋体" w:hAnsi="宋体" w:eastAsia="宋体" w:cs="宋体"/>
          <w:color w:val="auto"/>
          <w:sz w:val="28"/>
          <w:szCs w:val="28"/>
          <w:highlight w:val="none"/>
        </w:rPr>
        <w:t xml:space="preserve">第三章 </w:t>
      </w:r>
      <w:r>
        <w:rPr>
          <w:rFonts w:hint="eastAsia" w:ascii="宋体" w:hAnsi="宋体" w:eastAsia="宋体" w:cs="宋体"/>
          <w:color w:val="auto"/>
          <w:sz w:val="28"/>
          <w:szCs w:val="28"/>
          <w:highlight w:val="none"/>
          <w:lang w:eastAsia="zh-CN"/>
        </w:rPr>
        <w:t>工程量清单</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_Toc23263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27</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pacing w:val="-6"/>
          <w:kern w:val="0"/>
          <w:sz w:val="28"/>
          <w:szCs w:val="28"/>
          <w:highlight w:val="none"/>
        </w:rPr>
        <w:fldChar w:fldCharType="end"/>
      </w:r>
    </w:p>
    <w:p w14:paraId="3ABB2297">
      <w:pPr>
        <w:pStyle w:val="14"/>
        <w:tabs>
          <w:tab w:val="right" w:leader="dot" w:pos="9660"/>
        </w:tabs>
        <w:spacing w:line="360" w:lineRule="auto"/>
        <w:rPr>
          <w:rFonts w:hint="eastAsia" w:ascii="宋体" w:hAnsi="宋体" w:eastAsia="宋体" w:cs="宋体"/>
          <w:color w:val="auto"/>
          <w:sz w:val="28"/>
          <w:szCs w:val="28"/>
          <w:highlight w:val="none"/>
        </w:rPr>
      </w:pPr>
      <w:r>
        <w:rPr>
          <w:rFonts w:hint="eastAsia" w:ascii="宋体" w:hAnsi="宋体" w:eastAsia="宋体" w:cs="宋体"/>
          <w:color w:val="auto"/>
          <w:spacing w:val="-6"/>
          <w:kern w:val="0"/>
          <w:sz w:val="28"/>
          <w:szCs w:val="28"/>
          <w:highlight w:val="none"/>
        </w:rPr>
        <w:fldChar w:fldCharType="begin"/>
      </w:r>
      <w:r>
        <w:rPr>
          <w:rFonts w:hint="eastAsia" w:ascii="宋体" w:hAnsi="宋体" w:eastAsia="宋体" w:cs="宋体"/>
          <w:color w:val="auto"/>
          <w:spacing w:val="-6"/>
          <w:kern w:val="0"/>
          <w:sz w:val="28"/>
          <w:szCs w:val="28"/>
          <w:highlight w:val="none"/>
        </w:rPr>
        <w:instrText xml:space="preserve"> HYPERLINK \l _Toc5828 </w:instrText>
      </w:r>
      <w:r>
        <w:rPr>
          <w:rFonts w:hint="eastAsia" w:ascii="宋体" w:hAnsi="宋体" w:eastAsia="宋体" w:cs="宋体"/>
          <w:color w:val="auto"/>
          <w:spacing w:val="-6"/>
          <w:kern w:val="0"/>
          <w:sz w:val="28"/>
          <w:szCs w:val="28"/>
          <w:highlight w:val="none"/>
        </w:rPr>
        <w:fldChar w:fldCharType="separate"/>
      </w:r>
      <w:r>
        <w:rPr>
          <w:rFonts w:hint="eastAsia" w:ascii="宋体" w:hAnsi="宋体" w:eastAsia="宋体" w:cs="宋体"/>
          <w:color w:val="auto"/>
          <w:sz w:val="28"/>
          <w:szCs w:val="28"/>
          <w:highlight w:val="none"/>
          <w:lang w:eastAsia="zh-CN"/>
        </w:rPr>
        <w:t>第四章</w:t>
      </w:r>
      <w:r>
        <w:rPr>
          <w:rFonts w:hint="eastAsia" w:ascii="宋体" w:hAnsi="宋体" w:eastAsia="宋体" w:cs="宋体"/>
          <w:color w:val="auto"/>
          <w:sz w:val="28"/>
          <w:szCs w:val="28"/>
          <w:highlight w:val="none"/>
          <w:lang w:val="en-US" w:eastAsia="zh-CN"/>
        </w:rPr>
        <w:t xml:space="preserve"> </w:t>
      </w:r>
      <w:r>
        <w:rPr>
          <w:rFonts w:hint="eastAsia" w:ascii="宋体" w:hAnsi="宋体" w:eastAsia="宋体" w:cs="宋体"/>
          <w:color w:val="auto"/>
          <w:sz w:val="28"/>
          <w:szCs w:val="28"/>
          <w:highlight w:val="none"/>
        </w:rPr>
        <w:t>评审办法</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_Toc5828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29</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pacing w:val="-6"/>
          <w:kern w:val="0"/>
          <w:sz w:val="28"/>
          <w:szCs w:val="28"/>
          <w:highlight w:val="none"/>
        </w:rPr>
        <w:fldChar w:fldCharType="end"/>
      </w:r>
    </w:p>
    <w:p w14:paraId="66981CAB">
      <w:pPr>
        <w:pStyle w:val="14"/>
        <w:tabs>
          <w:tab w:val="right" w:leader="dot" w:pos="9660"/>
        </w:tabs>
        <w:spacing w:line="360" w:lineRule="auto"/>
        <w:rPr>
          <w:rFonts w:hint="eastAsia" w:ascii="宋体" w:hAnsi="宋体" w:eastAsia="宋体" w:cs="宋体"/>
          <w:color w:val="auto"/>
          <w:sz w:val="28"/>
          <w:szCs w:val="28"/>
          <w:highlight w:val="none"/>
        </w:rPr>
      </w:pPr>
      <w:r>
        <w:rPr>
          <w:rFonts w:hint="eastAsia" w:ascii="宋体" w:hAnsi="宋体" w:eastAsia="宋体" w:cs="宋体"/>
          <w:color w:val="auto"/>
          <w:spacing w:val="-6"/>
          <w:kern w:val="0"/>
          <w:sz w:val="28"/>
          <w:szCs w:val="28"/>
          <w:highlight w:val="none"/>
        </w:rPr>
        <w:fldChar w:fldCharType="begin"/>
      </w:r>
      <w:r>
        <w:rPr>
          <w:rFonts w:hint="eastAsia" w:ascii="宋体" w:hAnsi="宋体" w:eastAsia="宋体" w:cs="宋体"/>
          <w:color w:val="auto"/>
          <w:spacing w:val="-6"/>
          <w:kern w:val="0"/>
          <w:sz w:val="28"/>
          <w:szCs w:val="28"/>
          <w:highlight w:val="none"/>
        </w:rPr>
        <w:instrText xml:space="preserve"> HYPERLINK \l _Toc5821 </w:instrText>
      </w:r>
      <w:r>
        <w:rPr>
          <w:rFonts w:hint="eastAsia" w:ascii="宋体" w:hAnsi="宋体" w:eastAsia="宋体" w:cs="宋体"/>
          <w:color w:val="auto"/>
          <w:spacing w:val="-6"/>
          <w:kern w:val="0"/>
          <w:sz w:val="28"/>
          <w:szCs w:val="28"/>
          <w:highlight w:val="none"/>
        </w:rPr>
        <w:fldChar w:fldCharType="separate"/>
      </w:r>
      <w:r>
        <w:rPr>
          <w:rFonts w:hint="eastAsia" w:ascii="宋体" w:hAnsi="宋体" w:eastAsia="宋体" w:cs="宋体"/>
          <w:color w:val="auto"/>
          <w:sz w:val="28"/>
          <w:szCs w:val="28"/>
          <w:highlight w:val="none"/>
          <w:lang w:eastAsia="zh-CN"/>
        </w:rPr>
        <w:t>第五章</w:t>
      </w:r>
      <w:r>
        <w:rPr>
          <w:rFonts w:hint="eastAsia" w:ascii="宋体" w:hAnsi="宋体" w:eastAsia="宋体" w:cs="宋体"/>
          <w:color w:val="auto"/>
          <w:sz w:val="28"/>
          <w:szCs w:val="28"/>
          <w:highlight w:val="none"/>
          <w:lang w:val="en-US" w:eastAsia="zh-CN"/>
        </w:rPr>
        <w:t xml:space="preserve"> </w:t>
      </w:r>
      <w:r>
        <w:rPr>
          <w:rFonts w:hint="eastAsia" w:ascii="宋体" w:hAnsi="宋体" w:eastAsia="宋体" w:cs="宋体"/>
          <w:color w:val="auto"/>
          <w:sz w:val="28"/>
          <w:szCs w:val="28"/>
          <w:highlight w:val="none"/>
        </w:rPr>
        <w:t>采购合同（合同主要条款及格式）</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_Toc5821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32</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pacing w:val="-6"/>
          <w:kern w:val="0"/>
          <w:sz w:val="28"/>
          <w:szCs w:val="28"/>
          <w:highlight w:val="none"/>
        </w:rPr>
        <w:fldChar w:fldCharType="end"/>
      </w:r>
    </w:p>
    <w:p w14:paraId="649498D2">
      <w:pPr>
        <w:pStyle w:val="15"/>
        <w:tabs>
          <w:tab w:val="right" w:leader="dot" w:pos="9660"/>
        </w:tabs>
        <w:spacing w:line="360" w:lineRule="auto"/>
        <w:ind w:left="0" w:leftChars="0" w:firstLine="0" w:firstLineChars="0"/>
        <w:rPr>
          <w:rFonts w:hint="eastAsia" w:ascii="宋体" w:hAnsi="宋体" w:eastAsia="宋体" w:cs="宋体"/>
          <w:color w:val="auto"/>
          <w:sz w:val="28"/>
          <w:szCs w:val="28"/>
          <w:highlight w:val="none"/>
        </w:rPr>
      </w:pPr>
      <w:r>
        <w:rPr>
          <w:rFonts w:hint="eastAsia" w:ascii="宋体" w:hAnsi="宋体" w:eastAsia="宋体" w:cs="宋体"/>
          <w:color w:val="auto"/>
          <w:spacing w:val="-6"/>
          <w:kern w:val="0"/>
          <w:sz w:val="28"/>
          <w:szCs w:val="28"/>
          <w:highlight w:val="none"/>
        </w:rPr>
        <w:fldChar w:fldCharType="begin"/>
      </w:r>
      <w:r>
        <w:rPr>
          <w:rFonts w:hint="eastAsia" w:ascii="宋体" w:hAnsi="宋体" w:eastAsia="宋体" w:cs="宋体"/>
          <w:color w:val="auto"/>
          <w:spacing w:val="-6"/>
          <w:kern w:val="0"/>
          <w:sz w:val="28"/>
          <w:szCs w:val="28"/>
          <w:highlight w:val="none"/>
        </w:rPr>
        <w:instrText xml:space="preserve"> HYPERLINK \l _Toc6509 </w:instrText>
      </w:r>
      <w:r>
        <w:rPr>
          <w:rFonts w:hint="eastAsia" w:ascii="宋体" w:hAnsi="宋体" w:eastAsia="宋体" w:cs="宋体"/>
          <w:color w:val="auto"/>
          <w:spacing w:val="-6"/>
          <w:kern w:val="0"/>
          <w:sz w:val="28"/>
          <w:szCs w:val="28"/>
          <w:highlight w:val="none"/>
        </w:rPr>
        <w:fldChar w:fldCharType="separate"/>
      </w:r>
      <w:r>
        <w:rPr>
          <w:rFonts w:hint="eastAsia" w:ascii="宋体" w:hAnsi="宋体" w:eastAsia="宋体" w:cs="宋体"/>
          <w:bCs/>
          <w:color w:val="auto"/>
          <w:kern w:val="44"/>
          <w:sz w:val="28"/>
          <w:szCs w:val="28"/>
          <w:highlight w:val="none"/>
        </w:rPr>
        <w:t xml:space="preserve">第六章 </w:t>
      </w:r>
      <w:r>
        <w:rPr>
          <w:rFonts w:hint="eastAsia" w:ascii="宋体" w:hAnsi="宋体" w:eastAsia="宋体" w:cs="宋体"/>
          <w:bCs/>
          <w:color w:val="auto"/>
          <w:sz w:val="28"/>
          <w:szCs w:val="28"/>
          <w:highlight w:val="none"/>
        </w:rPr>
        <w:t>响应文件（格式）</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_Toc6509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66</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pacing w:val="-6"/>
          <w:kern w:val="0"/>
          <w:sz w:val="28"/>
          <w:szCs w:val="28"/>
          <w:highlight w:val="none"/>
        </w:rPr>
        <w:fldChar w:fldCharType="end"/>
      </w:r>
    </w:p>
    <w:p w14:paraId="2131D18A">
      <w:pPr>
        <w:pStyle w:val="14"/>
        <w:tabs>
          <w:tab w:val="right" w:leader="dot" w:pos="9660"/>
        </w:tabs>
        <w:spacing w:line="360" w:lineRule="auto"/>
        <w:rPr>
          <w:rFonts w:hint="eastAsia" w:ascii="宋体" w:hAnsi="宋体" w:eastAsia="宋体" w:cs="宋体"/>
          <w:color w:val="auto"/>
          <w:sz w:val="28"/>
          <w:szCs w:val="28"/>
          <w:highlight w:val="none"/>
        </w:rPr>
      </w:pPr>
      <w:r>
        <w:rPr>
          <w:rFonts w:hint="eastAsia" w:ascii="宋体" w:hAnsi="宋体" w:eastAsia="宋体" w:cs="宋体"/>
          <w:color w:val="auto"/>
          <w:spacing w:val="-6"/>
          <w:kern w:val="0"/>
          <w:sz w:val="28"/>
          <w:szCs w:val="28"/>
          <w:highlight w:val="none"/>
        </w:rPr>
        <w:fldChar w:fldCharType="begin"/>
      </w:r>
      <w:r>
        <w:rPr>
          <w:rFonts w:hint="eastAsia" w:ascii="宋体" w:hAnsi="宋体" w:eastAsia="宋体" w:cs="宋体"/>
          <w:color w:val="auto"/>
          <w:spacing w:val="-6"/>
          <w:kern w:val="0"/>
          <w:sz w:val="28"/>
          <w:szCs w:val="28"/>
          <w:highlight w:val="none"/>
        </w:rPr>
        <w:instrText xml:space="preserve"> HYPERLINK \l _Toc15967 </w:instrText>
      </w:r>
      <w:r>
        <w:rPr>
          <w:rFonts w:hint="eastAsia" w:ascii="宋体" w:hAnsi="宋体" w:eastAsia="宋体" w:cs="宋体"/>
          <w:color w:val="auto"/>
          <w:spacing w:val="-6"/>
          <w:kern w:val="0"/>
          <w:sz w:val="28"/>
          <w:szCs w:val="28"/>
          <w:highlight w:val="none"/>
        </w:rPr>
        <w:fldChar w:fldCharType="separate"/>
      </w:r>
      <w:r>
        <w:rPr>
          <w:rFonts w:hint="eastAsia" w:ascii="宋体" w:hAnsi="宋体" w:eastAsia="宋体" w:cs="宋体"/>
          <w:color w:val="auto"/>
          <w:sz w:val="28"/>
          <w:szCs w:val="28"/>
          <w:highlight w:val="none"/>
        </w:rPr>
        <w:t>第七章</w:t>
      </w:r>
      <w:r>
        <w:rPr>
          <w:rFonts w:hint="eastAsia" w:ascii="宋体" w:hAnsi="宋体" w:eastAsia="宋体" w:cs="宋体"/>
          <w:color w:val="auto"/>
          <w:sz w:val="28"/>
          <w:szCs w:val="28"/>
          <w:highlight w:val="none"/>
          <w:lang w:val="en-US" w:eastAsia="zh-CN"/>
        </w:rPr>
        <w:t xml:space="preserve"> </w:t>
      </w:r>
      <w:r>
        <w:rPr>
          <w:rFonts w:hint="eastAsia" w:ascii="宋体" w:hAnsi="宋体" w:eastAsia="宋体" w:cs="宋体"/>
          <w:color w:val="auto"/>
          <w:sz w:val="28"/>
          <w:szCs w:val="28"/>
          <w:highlight w:val="none"/>
        </w:rPr>
        <w:t>图纸</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_Toc15967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86</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pacing w:val="-6"/>
          <w:kern w:val="0"/>
          <w:sz w:val="28"/>
          <w:szCs w:val="28"/>
          <w:highlight w:val="none"/>
        </w:rPr>
        <w:fldChar w:fldCharType="end"/>
      </w:r>
    </w:p>
    <w:p w14:paraId="2C5AA2E1">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color w:val="auto"/>
          <w:spacing w:val="-6"/>
          <w:kern w:val="0"/>
          <w:sz w:val="21"/>
          <w:szCs w:val="21"/>
          <w:highlight w:val="none"/>
        </w:rPr>
      </w:pPr>
      <w:r>
        <w:rPr>
          <w:rFonts w:hint="eastAsia" w:ascii="宋体" w:hAnsi="宋体" w:eastAsia="宋体" w:cs="宋体"/>
          <w:color w:val="auto"/>
          <w:spacing w:val="-6"/>
          <w:kern w:val="0"/>
          <w:sz w:val="28"/>
          <w:szCs w:val="28"/>
          <w:highlight w:val="none"/>
        </w:rPr>
        <w:fldChar w:fldCharType="end"/>
      </w:r>
    </w:p>
    <w:p w14:paraId="0C6B1DCE">
      <w:pPr>
        <w:pStyle w:val="3"/>
        <w:rPr>
          <w:rFonts w:hint="eastAsia" w:ascii="宋体" w:hAnsi="宋体" w:eastAsia="宋体" w:cs="宋体"/>
          <w:color w:val="auto"/>
          <w:spacing w:val="-6"/>
          <w:kern w:val="0"/>
          <w:sz w:val="21"/>
          <w:szCs w:val="21"/>
          <w:highlight w:val="none"/>
        </w:rPr>
      </w:pPr>
    </w:p>
    <w:p w14:paraId="2501DD5D">
      <w:pPr>
        <w:rPr>
          <w:rFonts w:hint="eastAsia" w:ascii="宋体" w:hAnsi="宋体" w:eastAsia="宋体" w:cs="宋体"/>
          <w:color w:val="auto"/>
          <w:spacing w:val="-6"/>
          <w:kern w:val="0"/>
          <w:sz w:val="21"/>
          <w:szCs w:val="21"/>
          <w:highlight w:val="none"/>
        </w:rPr>
      </w:pPr>
    </w:p>
    <w:p w14:paraId="42ACB7F5">
      <w:pPr>
        <w:rPr>
          <w:rFonts w:hint="eastAsia" w:ascii="宋体" w:hAnsi="宋体" w:eastAsia="宋体" w:cs="宋体"/>
          <w:color w:val="auto"/>
          <w:spacing w:val="-6"/>
          <w:kern w:val="0"/>
          <w:sz w:val="21"/>
          <w:szCs w:val="21"/>
          <w:highlight w:val="none"/>
        </w:rPr>
      </w:pPr>
    </w:p>
    <w:p w14:paraId="11C1BDD5">
      <w:pPr>
        <w:rPr>
          <w:rFonts w:hint="eastAsia" w:ascii="宋体" w:hAnsi="宋体" w:eastAsia="宋体" w:cs="宋体"/>
          <w:color w:val="auto"/>
          <w:sz w:val="21"/>
          <w:szCs w:val="21"/>
          <w:highlight w:val="none"/>
        </w:rPr>
      </w:pPr>
    </w:p>
    <w:p w14:paraId="69928D1B">
      <w:pPr>
        <w:pStyle w:val="2"/>
        <w:numPr>
          <w:ilvl w:val="0"/>
          <w:numId w:val="1"/>
        </w:numPr>
        <w:tabs>
          <w:tab w:val="left" w:pos="0"/>
        </w:tabs>
        <w:autoSpaceDE w:val="0"/>
        <w:autoSpaceDN w:val="0"/>
        <w:adjustRightInd w:val="0"/>
        <w:spacing w:before="0" w:after="0" w:line="360" w:lineRule="auto"/>
        <w:ind w:firstLine="425"/>
        <w:jc w:val="center"/>
        <w:rPr>
          <w:rFonts w:hint="eastAsia" w:ascii="宋体" w:hAnsi="宋体" w:eastAsia="宋体" w:cs="宋体"/>
          <w:color w:val="auto"/>
          <w:sz w:val="21"/>
          <w:szCs w:val="21"/>
          <w:highlight w:val="none"/>
        </w:rPr>
        <w:sectPr>
          <w:footerReference r:id="rId6" w:type="first"/>
          <w:footerReference r:id="rId5" w:type="default"/>
          <w:pgSz w:w="11906" w:h="16838"/>
          <w:pgMar w:top="1418" w:right="1115" w:bottom="1418" w:left="1131" w:header="851" w:footer="992" w:gutter="0"/>
          <w:pgNumType w:fmt="decimal" w:start="1"/>
          <w:cols w:space="720" w:num="1"/>
          <w:titlePg/>
          <w:docGrid w:type="lines" w:linePitch="312" w:charSpace="0"/>
        </w:sectPr>
      </w:pPr>
      <w:bookmarkStart w:id="0" w:name="_Toc30170"/>
      <w:bookmarkStart w:id="1" w:name="_Toc21930"/>
      <w:bookmarkStart w:id="2" w:name="_Toc35393797"/>
      <w:bookmarkStart w:id="3" w:name="_Toc26809"/>
      <w:bookmarkStart w:id="4" w:name="_Toc28359011"/>
    </w:p>
    <w:p w14:paraId="03DA2BA6">
      <w:pPr>
        <w:pStyle w:val="2"/>
        <w:numPr>
          <w:ilvl w:val="0"/>
          <w:numId w:val="0"/>
        </w:numPr>
        <w:tabs>
          <w:tab w:val="left" w:pos="0"/>
        </w:tabs>
        <w:autoSpaceDE w:val="0"/>
        <w:autoSpaceDN w:val="0"/>
        <w:adjustRightInd w:val="0"/>
        <w:spacing w:before="0" w:after="0" w:line="360" w:lineRule="auto"/>
        <w:ind w:left="425" w:leftChars="0"/>
        <w:jc w:val="center"/>
        <w:rPr>
          <w:rFonts w:hint="eastAsia" w:ascii="宋体" w:hAnsi="宋体" w:eastAsia="宋体" w:cs="宋体"/>
          <w:color w:val="auto"/>
          <w:sz w:val="28"/>
          <w:szCs w:val="28"/>
          <w:highlight w:val="none"/>
        </w:rPr>
      </w:pPr>
      <w:bookmarkStart w:id="5" w:name="_Toc15867"/>
      <w:r>
        <w:rPr>
          <w:rFonts w:hint="eastAsia" w:ascii="宋体" w:hAnsi="宋体" w:eastAsia="宋体" w:cs="宋体"/>
          <w:color w:val="auto"/>
          <w:sz w:val="28"/>
          <w:szCs w:val="28"/>
          <w:highlight w:val="none"/>
          <w:lang w:eastAsia="zh-CN"/>
        </w:rPr>
        <w:t>第一章</w:t>
      </w:r>
      <w:r>
        <w:rPr>
          <w:rFonts w:hint="eastAsia" w:ascii="宋体" w:hAnsi="宋体" w:eastAsia="宋体" w:cs="宋体"/>
          <w:color w:val="auto"/>
          <w:sz w:val="28"/>
          <w:szCs w:val="28"/>
          <w:highlight w:val="none"/>
          <w:lang w:val="en-US" w:eastAsia="zh-CN"/>
        </w:rPr>
        <w:t xml:space="preserve"> </w:t>
      </w:r>
      <w:r>
        <w:rPr>
          <w:rFonts w:hint="eastAsia" w:ascii="宋体" w:hAnsi="宋体" w:eastAsia="宋体" w:cs="宋体"/>
          <w:color w:val="auto"/>
          <w:sz w:val="28"/>
          <w:szCs w:val="28"/>
          <w:highlight w:val="none"/>
        </w:rPr>
        <w:t>竞争性磋商公告</w:t>
      </w:r>
      <w:bookmarkEnd w:id="0"/>
      <w:bookmarkEnd w:id="1"/>
      <w:bookmarkEnd w:id="2"/>
      <w:bookmarkEnd w:id="3"/>
      <w:bookmarkEnd w:id="4"/>
      <w:bookmarkEnd w:id="5"/>
    </w:p>
    <w:tbl>
      <w:tblPr>
        <w:tblStyle w:val="19"/>
        <w:tblpPr w:leftFromText="180" w:rightFromText="180" w:vertAnchor="text" w:tblpX="38" w:tblpY="134"/>
        <w:tblOverlap w:val="never"/>
        <w:tblW w:w="93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20"/>
      </w:tblGrid>
      <w:tr w14:paraId="24A8B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9" w:hRule="atLeast"/>
        </w:trPr>
        <w:tc>
          <w:tcPr>
            <w:tcW w:w="9320" w:type="dxa"/>
            <w:vAlign w:val="top"/>
          </w:tcPr>
          <w:p w14:paraId="310D9E3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项目概况</w:t>
            </w:r>
          </w:p>
          <w:p w14:paraId="31CFD08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rPr>
            </w:pPr>
            <w:r>
              <w:rPr>
                <w:rFonts w:hint="eastAsia" w:ascii="宋体" w:hAnsi="宋体" w:cs="宋体"/>
                <w:b w:val="0"/>
                <w:bCs w:val="0"/>
                <w:color w:val="auto"/>
                <w:kern w:val="2"/>
                <w:sz w:val="21"/>
                <w:szCs w:val="21"/>
                <w:highlight w:val="none"/>
                <w:u w:val="single"/>
                <w:lang w:val="en-US" w:eastAsia="zh-CN" w:bidi="ar-SA"/>
              </w:rPr>
              <w:t>中峰村油榨坪街村民议事中心</w:t>
            </w:r>
            <w:r>
              <w:rPr>
                <w:rFonts w:hint="eastAsia" w:ascii="宋体" w:hAnsi="宋体" w:eastAsia="宋体" w:cs="宋体"/>
                <w:b w:val="0"/>
                <w:bCs w:val="0"/>
                <w:color w:val="auto"/>
                <w:kern w:val="2"/>
                <w:sz w:val="21"/>
                <w:szCs w:val="21"/>
                <w:highlight w:val="none"/>
                <w:lang w:val="en-US" w:eastAsia="zh-CN" w:bidi="ar-SA"/>
              </w:rPr>
              <w:t>的潜在供应商应在</w:t>
            </w:r>
            <w:r>
              <w:rPr>
                <w:rFonts w:hint="eastAsia" w:ascii="宋体" w:hAnsi="宋体" w:eastAsia="宋体" w:cs="宋体"/>
                <w:b w:val="0"/>
                <w:bCs w:val="0"/>
                <w:color w:val="auto"/>
                <w:kern w:val="2"/>
                <w:sz w:val="21"/>
                <w:szCs w:val="21"/>
                <w:highlight w:val="none"/>
                <w:u w:val="single"/>
                <w:lang w:val="en-US" w:eastAsia="zh-CN" w:bidi="ar-SA"/>
              </w:rPr>
              <w:t>广西政府采购云平台（ https://www.gcy.zfcg.gxzf.gov.cn/）</w:t>
            </w:r>
            <w:r>
              <w:rPr>
                <w:rFonts w:hint="eastAsia" w:ascii="宋体" w:hAnsi="宋体" w:eastAsia="宋体" w:cs="宋体"/>
                <w:b w:val="0"/>
                <w:bCs w:val="0"/>
                <w:color w:val="auto"/>
                <w:kern w:val="2"/>
                <w:sz w:val="21"/>
                <w:szCs w:val="21"/>
                <w:highlight w:val="none"/>
                <w:lang w:val="en-US" w:eastAsia="zh-CN" w:bidi="ar-SA"/>
              </w:rPr>
              <w:t>获取采购文件，并于2024年</w:t>
            </w:r>
            <w:r>
              <w:rPr>
                <w:rFonts w:hint="eastAsia" w:ascii="宋体" w:hAnsi="宋体" w:cs="宋体"/>
                <w:b w:val="0"/>
                <w:bCs w:val="0"/>
                <w:color w:val="auto"/>
                <w:kern w:val="2"/>
                <w:sz w:val="21"/>
                <w:szCs w:val="21"/>
                <w:highlight w:val="none"/>
                <w:lang w:val="en-US" w:eastAsia="zh-CN" w:bidi="ar-SA"/>
              </w:rPr>
              <w:t>11</w:t>
            </w:r>
            <w:r>
              <w:rPr>
                <w:rFonts w:hint="eastAsia" w:ascii="宋体" w:hAnsi="宋体" w:eastAsia="宋体" w:cs="宋体"/>
                <w:b w:val="0"/>
                <w:bCs w:val="0"/>
                <w:color w:val="auto"/>
                <w:kern w:val="2"/>
                <w:sz w:val="21"/>
                <w:szCs w:val="21"/>
                <w:highlight w:val="none"/>
                <w:lang w:val="en-US" w:eastAsia="zh-CN" w:bidi="ar-SA"/>
              </w:rPr>
              <w:t>月</w:t>
            </w:r>
            <w:r>
              <w:rPr>
                <w:rFonts w:hint="eastAsia" w:ascii="宋体" w:hAnsi="宋体" w:cs="宋体"/>
                <w:b w:val="0"/>
                <w:bCs w:val="0"/>
                <w:color w:val="auto"/>
                <w:kern w:val="2"/>
                <w:sz w:val="21"/>
                <w:szCs w:val="21"/>
                <w:highlight w:val="none"/>
                <w:lang w:val="en-US" w:eastAsia="zh-CN" w:bidi="ar-SA"/>
              </w:rPr>
              <w:t>4</w:t>
            </w:r>
            <w:r>
              <w:rPr>
                <w:rFonts w:hint="eastAsia" w:ascii="宋体" w:hAnsi="宋体" w:eastAsia="宋体" w:cs="宋体"/>
                <w:b w:val="0"/>
                <w:bCs w:val="0"/>
                <w:color w:val="auto"/>
                <w:kern w:val="2"/>
                <w:sz w:val="21"/>
                <w:szCs w:val="21"/>
                <w:highlight w:val="none"/>
                <w:lang w:val="en-US" w:eastAsia="zh-CN" w:bidi="ar-SA"/>
              </w:rPr>
              <w:t>日</w:t>
            </w:r>
            <w:r>
              <w:rPr>
                <w:rFonts w:hint="eastAsia" w:ascii="宋体" w:hAnsi="宋体" w:cs="宋体"/>
                <w:b w:val="0"/>
                <w:bCs w:val="0"/>
                <w:color w:val="auto"/>
                <w:kern w:val="2"/>
                <w:sz w:val="21"/>
                <w:szCs w:val="21"/>
                <w:highlight w:val="none"/>
                <w:lang w:val="en-US" w:eastAsia="zh-CN" w:bidi="ar-SA"/>
              </w:rPr>
              <w:t>9:</w:t>
            </w:r>
            <w:r>
              <w:rPr>
                <w:rFonts w:hint="eastAsia" w:ascii="宋体" w:hAnsi="宋体" w:eastAsia="宋体" w:cs="宋体"/>
                <w:b w:val="0"/>
                <w:bCs w:val="0"/>
                <w:color w:val="auto"/>
                <w:kern w:val="2"/>
                <w:sz w:val="21"/>
                <w:szCs w:val="21"/>
                <w:highlight w:val="none"/>
                <w:lang w:val="en-US" w:eastAsia="zh-CN" w:bidi="ar-SA"/>
              </w:rPr>
              <w:t>30（北京时间）前提交响应文件。</w:t>
            </w:r>
          </w:p>
        </w:tc>
      </w:tr>
    </w:tbl>
    <w:p w14:paraId="7D585A1A">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color w:val="auto"/>
          <w:sz w:val="21"/>
          <w:szCs w:val="21"/>
          <w:highlight w:val="none"/>
        </w:rPr>
      </w:pPr>
      <w:bookmarkStart w:id="6" w:name="_Toc35393798"/>
      <w:bookmarkStart w:id="7" w:name="_Toc28359012"/>
      <w:bookmarkStart w:id="8" w:name="_Toc35393629"/>
      <w:bookmarkStart w:id="9" w:name="_Toc28359089"/>
      <w:r>
        <w:rPr>
          <w:rFonts w:hint="eastAsia" w:ascii="宋体" w:hAnsi="宋体" w:eastAsia="宋体" w:cs="宋体"/>
          <w:b/>
          <w:bCs/>
          <w:color w:val="auto"/>
          <w:sz w:val="21"/>
          <w:szCs w:val="21"/>
          <w:highlight w:val="none"/>
        </w:rPr>
        <w:t>一、项目基本情况</w:t>
      </w:r>
      <w:bookmarkEnd w:id="6"/>
      <w:bookmarkEnd w:id="7"/>
      <w:bookmarkEnd w:id="8"/>
      <w:bookmarkEnd w:id="9"/>
    </w:p>
    <w:p w14:paraId="271429C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项目编号：</w:t>
      </w:r>
      <w:r>
        <w:rPr>
          <w:rFonts w:hint="eastAsia" w:ascii="宋体" w:hAnsi="宋体" w:cs="宋体"/>
          <w:color w:val="auto"/>
          <w:sz w:val="21"/>
          <w:szCs w:val="21"/>
          <w:highlight w:val="none"/>
          <w:lang w:eastAsia="zh-CN"/>
        </w:rPr>
        <w:t>GLZC2024-C2-290265-GXGZ</w:t>
      </w:r>
    </w:p>
    <w:p w14:paraId="0CD6FA9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b w:val="0"/>
          <w:bCs w:val="0"/>
          <w:color w:val="auto"/>
          <w:sz w:val="21"/>
          <w:szCs w:val="21"/>
          <w:highlight w:val="none"/>
          <w:u w:val="single"/>
          <w:lang w:eastAsia="zh-CN"/>
        </w:rPr>
      </w:pPr>
      <w:r>
        <w:rPr>
          <w:rFonts w:hint="eastAsia" w:ascii="宋体" w:hAnsi="宋体" w:eastAsia="宋体" w:cs="宋体"/>
          <w:color w:val="auto"/>
          <w:sz w:val="21"/>
          <w:szCs w:val="21"/>
          <w:highlight w:val="none"/>
        </w:rPr>
        <w:t>项目名称：</w:t>
      </w:r>
      <w:r>
        <w:rPr>
          <w:rFonts w:hint="eastAsia" w:ascii="宋体" w:hAnsi="宋体" w:cs="宋体"/>
          <w:b w:val="0"/>
          <w:bCs w:val="0"/>
          <w:color w:val="auto"/>
          <w:sz w:val="21"/>
          <w:szCs w:val="21"/>
          <w:highlight w:val="none"/>
          <w:lang w:val="en-US" w:eastAsia="zh-CN"/>
        </w:rPr>
        <w:t>中峰村油榨坪街村民议事中心</w:t>
      </w:r>
    </w:p>
    <w:p w14:paraId="4B3CBA5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采购方式：竞争性磋商</w:t>
      </w:r>
    </w:p>
    <w:p w14:paraId="08FF69C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预算</w:t>
      </w:r>
      <w:r>
        <w:rPr>
          <w:rFonts w:hint="eastAsia" w:ascii="宋体" w:hAnsi="宋体" w:cs="宋体"/>
          <w:b w:val="0"/>
          <w:bCs w:val="0"/>
          <w:color w:val="auto"/>
          <w:sz w:val="21"/>
          <w:szCs w:val="21"/>
          <w:highlight w:val="none"/>
          <w:lang w:val="en-US" w:eastAsia="zh-CN"/>
        </w:rPr>
        <w:t>总</w:t>
      </w:r>
      <w:r>
        <w:rPr>
          <w:rFonts w:hint="eastAsia" w:ascii="宋体" w:hAnsi="宋体" w:eastAsia="宋体" w:cs="宋体"/>
          <w:b w:val="0"/>
          <w:bCs w:val="0"/>
          <w:color w:val="auto"/>
          <w:sz w:val="21"/>
          <w:szCs w:val="21"/>
          <w:highlight w:val="none"/>
          <w:lang w:val="en-US" w:eastAsia="zh-CN"/>
        </w:rPr>
        <w:t>金额（元）：</w:t>
      </w:r>
      <w:r>
        <w:rPr>
          <w:rFonts w:hint="eastAsia" w:ascii="宋体" w:hAnsi="宋体" w:cs="宋体"/>
          <w:b w:val="0"/>
          <w:bCs w:val="0"/>
          <w:color w:val="auto"/>
          <w:kern w:val="2"/>
          <w:sz w:val="21"/>
          <w:szCs w:val="21"/>
          <w:highlight w:val="none"/>
          <w:lang w:val="en-US" w:eastAsia="zh-CN" w:bidi="ar-SA"/>
        </w:rPr>
        <w:t>834408.91</w:t>
      </w:r>
    </w:p>
    <w:p w14:paraId="1B3BDA3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cs="宋体"/>
          <w:b w:val="0"/>
          <w:bCs w:val="0"/>
          <w:color w:val="auto"/>
          <w:sz w:val="21"/>
          <w:szCs w:val="21"/>
          <w:highlight w:val="none"/>
          <w:lang w:val="en-US" w:eastAsia="zh-CN"/>
        </w:rPr>
        <w:t>采购需求：</w:t>
      </w:r>
    </w:p>
    <w:p w14:paraId="0B1DC9B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标项名称：</w:t>
      </w:r>
      <w:r>
        <w:rPr>
          <w:rFonts w:hint="eastAsia" w:ascii="宋体" w:hAnsi="宋体" w:cs="宋体"/>
          <w:b w:val="0"/>
          <w:bCs w:val="0"/>
          <w:color w:val="auto"/>
          <w:sz w:val="21"/>
          <w:szCs w:val="21"/>
          <w:highlight w:val="none"/>
          <w:lang w:val="en-US" w:eastAsia="zh-CN"/>
        </w:rPr>
        <w:t>中峰村油榨坪街村民议事中心</w:t>
      </w:r>
    </w:p>
    <w:p w14:paraId="4B00276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数量：</w:t>
      </w:r>
      <w:r>
        <w:rPr>
          <w:rFonts w:hint="eastAsia" w:ascii="宋体" w:hAnsi="宋体" w:cs="宋体"/>
          <w:b w:val="0"/>
          <w:bCs w:val="0"/>
          <w:color w:val="auto"/>
          <w:sz w:val="21"/>
          <w:szCs w:val="21"/>
          <w:highlight w:val="none"/>
          <w:lang w:val="en-US" w:eastAsia="zh-CN"/>
        </w:rPr>
        <w:t>不限</w:t>
      </w:r>
    </w:p>
    <w:p w14:paraId="710FCEE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cs="宋体"/>
          <w:b w:val="0"/>
          <w:bCs w:val="0"/>
          <w:color w:val="auto"/>
          <w:sz w:val="21"/>
          <w:szCs w:val="21"/>
          <w:highlight w:val="none"/>
          <w:lang w:val="en-US" w:eastAsia="zh-CN"/>
        </w:rPr>
        <w:t>预算金额（元）：</w:t>
      </w:r>
      <w:r>
        <w:rPr>
          <w:rFonts w:hint="eastAsia" w:ascii="宋体" w:hAnsi="宋体" w:cs="宋体"/>
          <w:b w:val="0"/>
          <w:bCs w:val="0"/>
          <w:color w:val="auto"/>
          <w:kern w:val="2"/>
          <w:sz w:val="21"/>
          <w:szCs w:val="21"/>
          <w:highlight w:val="none"/>
          <w:lang w:val="en-US" w:eastAsia="zh-CN" w:bidi="ar-SA"/>
        </w:rPr>
        <w:t>834408.91</w:t>
      </w:r>
    </w:p>
    <w:p w14:paraId="63E0911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b w:val="0"/>
          <w:bCs w:val="0"/>
          <w:color w:val="auto"/>
          <w:kern w:val="2"/>
          <w:sz w:val="21"/>
          <w:szCs w:val="21"/>
          <w:highlight w:val="none"/>
          <w:lang w:val="en-US" w:eastAsia="zh-CN" w:bidi="ar-SA"/>
        </w:rPr>
      </w:pPr>
      <w:r>
        <w:rPr>
          <w:rFonts w:hint="eastAsia" w:ascii="宋体" w:hAnsi="宋体" w:eastAsia="宋体" w:cs="宋体"/>
          <w:b w:val="0"/>
          <w:bCs w:val="0"/>
          <w:color w:val="auto"/>
          <w:sz w:val="21"/>
          <w:szCs w:val="21"/>
          <w:highlight w:val="none"/>
          <w:lang w:val="en-US" w:eastAsia="zh-CN"/>
        </w:rPr>
        <w:t>简要规格描述或项目基本概况介绍、用途：</w:t>
      </w:r>
      <w:r>
        <w:rPr>
          <w:rFonts w:hint="eastAsia" w:ascii="宋体" w:hAnsi="宋体" w:cs="宋体"/>
          <w:b w:val="0"/>
          <w:bCs w:val="0"/>
          <w:color w:val="auto"/>
          <w:sz w:val="21"/>
          <w:szCs w:val="21"/>
          <w:highlight w:val="none"/>
          <w:lang w:val="en-US" w:eastAsia="zh-CN"/>
        </w:rPr>
        <w:t>中峰村油榨坪街村民议事中心具体详见工程量清单、图纸等要求的内容</w:t>
      </w:r>
      <w:r>
        <w:rPr>
          <w:rFonts w:hint="eastAsia" w:ascii="宋体" w:hAnsi="宋体" w:eastAsia="宋体" w:cs="宋体"/>
          <w:b w:val="0"/>
          <w:bCs w:val="0"/>
          <w:color w:val="auto"/>
          <w:kern w:val="2"/>
          <w:sz w:val="21"/>
          <w:szCs w:val="21"/>
          <w:highlight w:val="none"/>
          <w:lang w:val="en-US" w:eastAsia="zh-CN" w:bidi="ar-SA"/>
        </w:rPr>
        <w:t>。</w:t>
      </w:r>
    </w:p>
    <w:p w14:paraId="4BF872B8">
      <w:pPr>
        <w:pStyle w:val="8"/>
        <w:keepNext w:val="0"/>
        <w:keepLines w:val="0"/>
        <w:pageBreakBefore w:val="0"/>
        <w:widowControl/>
        <w:numPr>
          <w:ilvl w:val="0"/>
          <w:numId w:val="0"/>
        </w:numPr>
        <w:kinsoku w:val="0"/>
        <w:wordWrap/>
        <w:overflowPunct/>
        <w:topLinePunct w:val="0"/>
        <w:autoSpaceDE w:val="0"/>
        <w:autoSpaceDN w:val="0"/>
        <w:bidi w:val="0"/>
        <w:adjustRightInd w:val="0"/>
        <w:snapToGrid w:val="0"/>
        <w:spacing w:after="0" w:line="400" w:lineRule="exact"/>
        <w:ind w:right="0" w:rightChars="0" w:firstLine="420" w:firstLineChars="200"/>
        <w:textAlignment w:val="baseline"/>
        <w:rPr>
          <w:rFonts w:hint="eastAsia" w:ascii="宋体" w:hAnsi="宋体" w:eastAsia="宋体" w:cs="宋体"/>
          <w:b w:val="0"/>
          <w:bCs w:val="0"/>
          <w:color w:val="auto"/>
          <w:kern w:val="2"/>
          <w:sz w:val="21"/>
          <w:szCs w:val="21"/>
          <w:highlight w:val="none"/>
          <w:lang w:val="en-US" w:eastAsia="zh-CN" w:bidi="ar-SA"/>
        </w:rPr>
      </w:pPr>
      <w:r>
        <w:rPr>
          <w:rFonts w:hint="eastAsia" w:ascii="宋体" w:hAnsi="宋体" w:eastAsia="宋体" w:cs="宋体"/>
          <w:b w:val="0"/>
          <w:bCs w:val="0"/>
          <w:color w:val="auto"/>
          <w:kern w:val="2"/>
          <w:sz w:val="21"/>
          <w:szCs w:val="21"/>
          <w:highlight w:val="none"/>
          <w:lang w:val="en-US" w:eastAsia="zh-CN" w:bidi="ar-SA"/>
        </w:rPr>
        <w:t>最高限价（如有） ：792688.46元</w:t>
      </w:r>
    </w:p>
    <w:p w14:paraId="46642359">
      <w:pPr>
        <w:pStyle w:val="8"/>
        <w:keepNext w:val="0"/>
        <w:keepLines w:val="0"/>
        <w:pageBreakBefore w:val="0"/>
        <w:widowControl/>
        <w:numPr>
          <w:ilvl w:val="0"/>
          <w:numId w:val="0"/>
        </w:numPr>
        <w:kinsoku w:val="0"/>
        <w:wordWrap/>
        <w:overflowPunct/>
        <w:topLinePunct w:val="0"/>
        <w:autoSpaceDE w:val="0"/>
        <w:autoSpaceDN w:val="0"/>
        <w:bidi w:val="0"/>
        <w:adjustRightInd w:val="0"/>
        <w:snapToGrid w:val="0"/>
        <w:spacing w:after="0" w:line="400" w:lineRule="exact"/>
        <w:ind w:right="0" w:rightChars="0" w:firstLine="420" w:firstLineChars="200"/>
        <w:textAlignment w:val="baseline"/>
        <w:rPr>
          <w:rFonts w:hint="eastAsia" w:ascii="宋体" w:hAnsi="宋体" w:eastAsia="宋体" w:cs="宋体"/>
          <w:b w:val="0"/>
          <w:bCs w:val="0"/>
          <w:color w:val="auto"/>
          <w:kern w:val="2"/>
          <w:sz w:val="21"/>
          <w:szCs w:val="21"/>
          <w:highlight w:val="none"/>
          <w:lang w:val="en-US" w:eastAsia="zh-CN" w:bidi="ar-SA"/>
        </w:rPr>
      </w:pPr>
      <w:r>
        <w:rPr>
          <w:rFonts w:hint="eastAsia" w:ascii="宋体" w:hAnsi="宋体" w:eastAsia="宋体" w:cs="宋体"/>
          <w:b w:val="0"/>
          <w:bCs w:val="0"/>
          <w:color w:val="auto"/>
          <w:kern w:val="2"/>
          <w:sz w:val="21"/>
          <w:szCs w:val="21"/>
          <w:highlight w:val="none"/>
          <w:lang w:val="en-US" w:eastAsia="zh-CN" w:bidi="ar-SA"/>
        </w:rPr>
        <w:t>合同履约期限：自合同签订之日起</w:t>
      </w:r>
      <w:r>
        <w:rPr>
          <w:rFonts w:hint="eastAsia" w:ascii="宋体" w:hAnsi="宋体" w:cs="宋体"/>
          <w:b w:val="0"/>
          <w:bCs w:val="0"/>
          <w:color w:val="auto"/>
          <w:kern w:val="2"/>
          <w:sz w:val="21"/>
          <w:szCs w:val="21"/>
          <w:highlight w:val="none"/>
          <w:lang w:val="en-US" w:eastAsia="zh-CN" w:bidi="ar-SA"/>
        </w:rPr>
        <w:t>50</w:t>
      </w:r>
      <w:r>
        <w:rPr>
          <w:rFonts w:hint="eastAsia" w:ascii="宋体" w:hAnsi="宋体" w:eastAsia="宋体" w:cs="宋体"/>
          <w:b w:val="0"/>
          <w:bCs w:val="0"/>
          <w:color w:val="auto"/>
          <w:kern w:val="2"/>
          <w:sz w:val="21"/>
          <w:szCs w:val="21"/>
          <w:highlight w:val="none"/>
          <w:lang w:val="en-US" w:eastAsia="zh-CN" w:bidi="ar-SA"/>
        </w:rPr>
        <w:t>个日历天内完工。</w:t>
      </w:r>
    </w:p>
    <w:p w14:paraId="73026B7B">
      <w:pPr>
        <w:pStyle w:val="8"/>
        <w:keepNext w:val="0"/>
        <w:keepLines w:val="0"/>
        <w:pageBreakBefore w:val="0"/>
        <w:widowControl/>
        <w:numPr>
          <w:ilvl w:val="0"/>
          <w:numId w:val="0"/>
        </w:numPr>
        <w:kinsoku w:val="0"/>
        <w:wordWrap/>
        <w:overflowPunct/>
        <w:topLinePunct w:val="0"/>
        <w:autoSpaceDE w:val="0"/>
        <w:autoSpaceDN w:val="0"/>
        <w:bidi w:val="0"/>
        <w:adjustRightInd w:val="0"/>
        <w:snapToGrid w:val="0"/>
        <w:spacing w:after="0" w:line="400" w:lineRule="exact"/>
        <w:ind w:right="0" w:rightChars="0" w:firstLine="420" w:firstLineChars="200"/>
        <w:textAlignment w:val="baseline"/>
        <w:rPr>
          <w:rFonts w:hint="eastAsia" w:ascii="宋体" w:hAnsi="宋体" w:eastAsia="宋体" w:cs="宋体"/>
          <w:b w:val="0"/>
          <w:bCs w:val="0"/>
          <w:color w:val="auto"/>
          <w:kern w:val="2"/>
          <w:sz w:val="21"/>
          <w:szCs w:val="21"/>
          <w:highlight w:val="none"/>
          <w:lang w:val="en-US" w:eastAsia="zh-CN" w:bidi="ar-SA"/>
        </w:rPr>
      </w:pPr>
      <w:r>
        <w:rPr>
          <w:rFonts w:hint="eastAsia" w:ascii="宋体" w:hAnsi="宋体" w:eastAsia="宋体" w:cs="宋体"/>
          <w:b w:val="0"/>
          <w:bCs w:val="0"/>
          <w:color w:val="auto"/>
          <w:kern w:val="2"/>
          <w:sz w:val="21"/>
          <w:szCs w:val="21"/>
          <w:highlight w:val="none"/>
          <w:lang w:val="en-US" w:eastAsia="zh-CN" w:bidi="ar-SA"/>
        </w:rPr>
        <w:t>本标项（否）接受联合体投标</w:t>
      </w:r>
    </w:p>
    <w:p w14:paraId="14DEB825">
      <w:pPr>
        <w:pStyle w:val="8"/>
        <w:keepNext w:val="0"/>
        <w:keepLines w:val="0"/>
        <w:pageBreakBefore w:val="0"/>
        <w:widowControl/>
        <w:numPr>
          <w:ilvl w:val="0"/>
          <w:numId w:val="0"/>
        </w:numPr>
        <w:kinsoku w:val="0"/>
        <w:wordWrap/>
        <w:overflowPunct/>
        <w:topLinePunct w:val="0"/>
        <w:autoSpaceDE w:val="0"/>
        <w:autoSpaceDN w:val="0"/>
        <w:bidi w:val="0"/>
        <w:adjustRightInd w:val="0"/>
        <w:snapToGrid w:val="0"/>
        <w:spacing w:after="0" w:line="400" w:lineRule="exact"/>
        <w:ind w:right="0" w:rightChars="0" w:firstLine="420" w:firstLineChars="200"/>
        <w:textAlignment w:val="baseline"/>
        <w:rPr>
          <w:rFonts w:hint="eastAsia" w:ascii="宋体" w:hAnsi="宋体" w:eastAsia="宋体" w:cs="宋体"/>
          <w:b w:val="0"/>
          <w:bCs w:val="0"/>
          <w:color w:val="auto"/>
          <w:kern w:val="2"/>
          <w:sz w:val="21"/>
          <w:szCs w:val="21"/>
          <w:highlight w:val="none"/>
          <w:lang w:val="en-US" w:eastAsia="zh-CN" w:bidi="ar-SA"/>
        </w:rPr>
      </w:pPr>
      <w:r>
        <w:rPr>
          <w:rFonts w:hint="eastAsia" w:ascii="宋体" w:hAnsi="宋体" w:eastAsia="宋体" w:cs="宋体"/>
          <w:b w:val="0"/>
          <w:bCs w:val="0"/>
          <w:color w:val="auto"/>
          <w:kern w:val="2"/>
          <w:sz w:val="21"/>
          <w:szCs w:val="21"/>
          <w:highlight w:val="none"/>
          <w:lang w:val="en-US" w:eastAsia="zh-CN" w:bidi="ar-SA"/>
        </w:rPr>
        <w:t>备注：本项目为线上电子标项目，有意向参与本项目的供应商应当做好参与全流程电子标交易的充分准备。</w:t>
      </w:r>
    </w:p>
    <w:p w14:paraId="0075BDE3">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
          <w:bCs/>
          <w:color w:val="auto"/>
          <w:sz w:val="21"/>
          <w:szCs w:val="21"/>
          <w:highlight w:val="none"/>
        </w:rPr>
      </w:pPr>
      <w:bookmarkStart w:id="10" w:name="_Toc28359013"/>
      <w:bookmarkStart w:id="11" w:name="_Toc28359090"/>
      <w:bookmarkStart w:id="12" w:name="_Toc35393630"/>
      <w:bookmarkStart w:id="13" w:name="_Toc35393799"/>
      <w:r>
        <w:rPr>
          <w:rFonts w:hint="eastAsia" w:ascii="宋体" w:hAnsi="宋体" w:eastAsia="宋体" w:cs="宋体"/>
          <w:b/>
          <w:bCs/>
          <w:color w:val="auto"/>
          <w:sz w:val="21"/>
          <w:szCs w:val="21"/>
          <w:highlight w:val="none"/>
        </w:rPr>
        <w:t>二、申请人的资格要求：</w:t>
      </w:r>
      <w:bookmarkEnd w:id="10"/>
      <w:bookmarkEnd w:id="11"/>
      <w:bookmarkEnd w:id="12"/>
      <w:bookmarkEnd w:id="13"/>
    </w:p>
    <w:p w14:paraId="30ADE42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r>
        <w:rPr>
          <w:rFonts w:hint="eastAsia" w:ascii="宋体" w:hAnsi="宋体" w:cs="宋体"/>
          <w:color w:val="auto"/>
          <w:sz w:val="21"/>
          <w:szCs w:val="21"/>
          <w:highlight w:val="none"/>
          <w:lang w:val="en-US" w:eastAsia="zh-CN"/>
        </w:rPr>
        <w:t>.</w:t>
      </w:r>
      <w:r>
        <w:rPr>
          <w:rFonts w:hint="eastAsia" w:ascii="宋体" w:hAnsi="宋体" w:eastAsia="宋体" w:cs="宋体"/>
          <w:color w:val="auto"/>
          <w:sz w:val="21"/>
          <w:szCs w:val="21"/>
          <w:highlight w:val="none"/>
        </w:rPr>
        <w:t>满足《中华人民共和国政府采购法》第二十二条规定；</w:t>
      </w:r>
    </w:p>
    <w:p w14:paraId="3F00BB0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lang w:eastAsia="zh-CN"/>
        </w:rPr>
      </w:pPr>
      <w:bookmarkStart w:id="14" w:name="_Toc28359014"/>
      <w:bookmarkStart w:id="15" w:name="_Toc28359091"/>
      <w:r>
        <w:rPr>
          <w:rFonts w:hint="eastAsia" w:ascii="宋体" w:hAnsi="宋体" w:eastAsia="宋体" w:cs="宋体"/>
          <w:color w:val="auto"/>
          <w:sz w:val="21"/>
          <w:szCs w:val="21"/>
          <w:highlight w:val="none"/>
          <w:lang w:val="en-US" w:eastAsia="zh-CN"/>
        </w:rPr>
        <w:t>2</w:t>
      </w:r>
      <w:r>
        <w:rPr>
          <w:rFonts w:hint="eastAsia" w:ascii="宋体" w:hAnsi="宋体" w:cs="宋体"/>
          <w:color w:val="auto"/>
          <w:sz w:val="21"/>
          <w:szCs w:val="21"/>
          <w:highlight w:val="none"/>
          <w:lang w:val="en-US" w:eastAsia="zh-CN"/>
        </w:rPr>
        <w:t>.</w:t>
      </w:r>
      <w:r>
        <w:rPr>
          <w:rFonts w:hint="eastAsia" w:ascii="宋体" w:hAnsi="宋体" w:eastAsia="宋体" w:cs="宋体"/>
          <w:color w:val="auto"/>
          <w:sz w:val="21"/>
          <w:szCs w:val="21"/>
          <w:highlight w:val="none"/>
        </w:rPr>
        <w:t>落实政府采购政策需满足的资格要求：专门面向中小企业采购的项目（供应商应为中小微企业、监狱企业、残疾人福利性单位)</w:t>
      </w:r>
      <w:r>
        <w:rPr>
          <w:rFonts w:hint="eastAsia" w:ascii="宋体" w:hAnsi="宋体" w:eastAsia="宋体" w:cs="宋体"/>
          <w:color w:val="auto"/>
          <w:sz w:val="21"/>
          <w:szCs w:val="21"/>
          <w:highlight w:val="none"/>
          <w:lang w:eastAsia="zh-CN"/>
        </w:rPr>
        <w:t>；</w:t>
      </w:r>
    </w:p>
    <w:p w14:paraId="58B65A3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b/>
          <w:bCs/>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3</w:t>
      </w:r>
      <w:r>
        <w:rPr>
          <w:rFonts w:hint="eastAsia" w:ascii="宋体" w:hAnsi="宋体" w:cs="宋体"/>
          <w:b w:val="0"/>
          <w:bCs w:val="0"/>
          <w:color w:val="auto"/>
          <w:sz w:val="21"/>
          <w:szCs w:val="21"/>
          <w:highlight w:val="none"/>
          <w:lang w:val="en-US" w:eastAsia="zh-CN"/>
        </w:rPr>
        <w:t>.</w:t>
      </w:r>
      <w:r>
        <w:rPr>
          <w:rFonts w:hint="eastAsia" w:ascii="宋体" w:hAnsi="宋体" w:eastAsia="宋体" w:cs="宋体"/>
          <w:b/>
          <w:bCs/>
          <w:color w:val="auto"/>
          <w:sz w:val="21"/>
          <w:szCs w:val="21"/>
          <w:highlight w:val="none"/>
        </w:rPr>
        <w:t>本项目的特定资格要求：</w:t>
      </w:r>
      <w:bookmarkStart w:id="16" w:name="_Toc35393631"/>
      <w:bookmarkStart w:id="17" w:name="_Toc35393800"/>
      <w:r>
        <w:rPr>
          <w:rFonts w:hint="eastAsia" w:ascii="宋体" w:hAnsi="宋体" w:eastAsia="宋体" w:cs="宋体"/>
          <w:b w:val="0"/>
          <w:bCs w:val="0"/>
          <w:color w:val="auto"/>
          <w:sz w:val="21"/>
          <w:szCs w:val="21"/>
          <w:highlight w:val="none"/>
        </w:rPr>
        <w:t>供应商须具备建筑工程施工总承包</w:t>
      </w:r>
      <w:r>
        <w:rPr>
          <w:rFonts w:hint="eastAsia" w:ascii="宋体" w:hAnsi="宋体" w:cs="宋体"/>
          <w:b w:val="0"/>
          <w:bCs w:val="0"/>
          <w:color w:val="auto"/>
          <w:sz w:val="21"/>
          <w:szCs w:val="21"/>
          <w:highlight w:val="none"/>
          <w:lang w:eastAsia="zh-CN"/>
        </w:rPr>
        <w:t>三</w:t>
      </w:r>
      <w:r>
        <w:rPr>
          <w:rFonts w:hint="eastAsia" w:ascii="宋体" w:hAnsi="宋体" w:eastAsia="宋体" w:cs="宋体"/>
          <w:b w:val="0"/>
          <w:bCs w:val="0"/>
          <w:color w:val="auto"/>
          <w:sz w:val="21"/>
          <w:szCs w:val="21"/>
          <w:highlight w:val="none"/>
        </w:rPr>
        <w:t>级（含</w:t>
      </w:r>
      <w:r>
        <w:rPr>
          <w:rFonts w:hint="eastAsia" w:ascii="宋体" w:hAnsi="宋体" w:cs="宋体"/>
          <w:b w:val="0"/>
          <w:bCs w:val="0"/>
          <w:color w:val="auto"/>
          <w:sz w:val="21"/>
          <w:szCs w:val="21"/>
          <w:highlight w:val="none"/>
          <w:lang w:eastAsia="zh-CN"/>
        </w:rPr>
        <w:t>三</w:t>
      </w:r>
      <w:r>
        <w:rPr>
          <w:rFonts w:hint="eastAsia" w:ascii="宋体" w:hAnsi="宋体" w:eastAsia="宋体" w:cs="宋体"/>
          <w:b w:val="0"/>
          <w:bCs w:val="0"/>
          <w:color w:val="auto"/>
          <w:sz w:val="21"/>
          <w:szCs w:val="21"/>
          <w:highlight w:val="none"/>
        </w:rPr>
        <w:t>级）以上资质，并具有省级或以上建设行政主管部门颁发的建筑施工企业安全生产许可证，并在人员、设备、资金等方面具有相应的施工能力；拟派项目经理须具备建筑工程专业</w:t>
      </w:r>
      <w:r>
        <w:rPr>
          <w:rFonts w:hint="eastAsia" w:ascii="宋体" w:hAnsi="宋体" w:cs="宋体"/>
          <w:b w:val="0"/>
          <w:bCs w:val="0"/>
          <w:color w:val="auto"/>
          <w:sz w:val="21"/>
          <w:szCs w:val="21"/>
          <w:highlight w:val="none"/>
          <w:lang w:eastAsia="zh-CN"/>
        </w:rPr>
        <w:t>二</w:t>
      </w:r>
      <w:r>
        <w:rPr>
          <w:rFonts w:hint="eastAsia" w:ascii="宋体" w:hAnsi="宋体" w:eastAsia="宋体" w:cs="宋体"/>
          <w:b w:val="0"/>
          <w:bCs w:val="0"/>
          <w:color w:val="auto"/>
          <w:sz w:val="21"/>
          <w:szCs w:val="21"/>
          <w:highlight w:val="none"/>
        </w:rPr>
        <w:t>级以上（含</w:t>
      </w:r>
      <w:r>
        <w:rPr>
          <w:rFonts w:hint="eastAsia" w:ascii="宋体" w:hAnsi="宋体" w:cs="宋体"/>
          <w:b w:val="0"/>
          <w:bCs w:val="0"/>
          <w:color w:val="auto"/>
          <w:sz w:val="21"/>
          <w:szCs w:val="21"/>
          <w:highlight w:val="none"/>
          <w:lang w:eastAsia="zh-CN"/>
        </w:rPr>
        <w:t>二</w:t>
      </w:r>
      <w:r>
        <w:rPr>
          <w:rFonts w:hint="eastAsia" w:ascii="宋体" w:hAnsi="宋体" w:eastAsia="宋体" w:cs="宋体"/>
          <w:b w:val="0"/>
          <w:bCs w:val="0"/>
          <w:color w:val="auto"/>
          <w:sz w:val="21"/>
          <w:szCs w:val="21"/>
          <w:highlight w:val="none"/>
        </w:rPr>
        <w:t>级）注册建造师执业资格，具备安全生产考核合格证书（B类）</w:t>
      </w:r>
      <w:r>
        <w:rPr>
          <w:rFonts w:hint="eastAsia" w:ascii="宋体" w:hAnsi="宋体" w:cs="宋体"/>
          <w:b w:val="0"/>
          <w:bCs w:val="0"/>
          <w:color w:val="auto"/>
          <w:kern w:val="0"/>
          <w:sz w:val="21"/>
          <w:szCs w:val="21"/>
          <w:highlight w:val="none"/>
          <w:lang w:eastAsia="zh-CN"/>
        </w:rPr>
        <w:t>。</w:t>
      </w:r>
    </w:p>
    <w:bookmarkEnd w:id="14"/>
    <w:bookmarkEnd w:id="15"/>
    <w:bookmarkEnd w:id="16"/>
    <w:bookmarkEnd w:id="17"/>
    <w:p w14:paraId="1BEEEB07">
      <w:pPr>
        <w:keepNext w:val="0"/>
        <w:keepLines w:val="0"/>
        <w:pageBreakBefore w:val="0"/>
        <w:widowControl w:val="0"/>
        <w:kinsoku/>
        <w:wordWrap/>
        <w:overflowPunct/>
        <w:topLinePunct w:val="0"/>
        <w:bidi w:val="0"/>
        <w:snapToGrid/>
        <w:spacing w:line="400" w:lineRule="exact"/>
        <w:textAlignment w:val="auto"/>
        <w:rPr>
          <w:rFonts w:hint="eastAsia" w:ascii="宋体" w:hAnsi="宋体" w:eastAsia="宋体" w:cs="宋体"/>
          <w:b/>
          <w:bCs/>
          <w:color w:val="auto"/>
          <w:sz w:val="21"/>
          <w:szCs w:val="21"/>
          <w:highlight w:val="none"/>
          <w:lang w:eastAsia="zh-CN"/>
        </w:rPr>
      </w:pPr>
      <w:bookmarkStart w:id="18" w:name="_Toc35393623"/>
      <w:bookmarkStart w:id="19" w:name="_Toc35393792"/>
      <w:bookmarkStart w:id="20" w:name="_Toc28359018"/>
      <w:bookmarkStart w:id="21" w:name="_Toc35393805"/>
      <w:bookmarkStart w:id="22" w:name="_Toc35393636"/>
      <w:bookmarkStart w:id="23" w:name="_Toc28359095"/>
      <w:r>
        <w:rPr>
          <w:rFonts w:hint="eastAsia" w:ascii="宋体" w:hAnsi="宋体" w:eastAsia="宋体" w:cs="宋体"/>
          <w:b/>
          <w:bCs/>
          <w:color w:val="auto"/>
          <w:sz w:val="21"/>
          <w:szCs w:val="21"/>
          <w:highlight w:val="none"/>
        </w:rPr>
        <w:t>三、获取</w:t>
      </w:r>
      <w:r>
        <w:rPr>
          <w:rFonts w:hint="eastAsia" w:ascii="宋体" w:hAnsi="宋体" w:eastAsia="宋体" w:cs="宋体"/>
          <w:b/>
          <w:bCs/>
          <w:color w:val="auto"/>
          <w:sz w:val="21"/>
          <w:szCs w:val="21"/>
          <w:highlight w:val="none"/>
          <w:lang w:eastAsia="zh-CN"/>
        </w:rPr>
        <w:t>采购</w:t>
      </w:r>
      <w:r>
        <w:rPr>
          <w:rFonts w:hint="eastAsia" w:ascii="宋体" w:hAnsi="宋体" w:eastAsia="宋体" w:cs="宋体"/>
          <w:b/>
          <w:bCs/>
          <w:color w:val="auto"/>
          <w:sz w:val="21"/>
          <w:szCs w:val="21"/>
          <w:highlight w:val="none"/>
        </w:rPr>
        <w:t>文件</w:t>
      </w:r>
      <w:bookmarkEnd w:id="18"/>
      <w:bookmarkEnd w:id="19"/>
      <w:r>
        <w:rPr>
          <w:rFonts w:hint="eastAsia" w:ascii="宋体" w:hAnsi="宋体" w:eastAsia="宋体" w:cs="宋体"/>
          <w:b/>
          <w:bCs/>
          <w:color w:val="auto"/>
          <w:sz w:val="21"/>
          <w:szCs w:val="21"/>
          <w:highlight w:val="none"/>
          <w:lang w:eastAsia="zh-CN"/>
        </w:rPr>
        <w:t>：</w:t>
      </w:r>
    </w:p>
    <w:p w14:paraId="74D01C90">
      <w:pPr>
        <w:pStyle w:val="16"/>
        <w:keepNext w:val="0"/>
        <w:keepLines w:val="0"/>
        <w:pageBreakBefore w:val="0"/>
        <w:widowControl/>
        <w:wordWrap/>
        <w:overflowPunct/>
        <w:topLinePunct w:val="0"/>
        <w:bidi w:val="0"/>
        <w:spacing w:before="0" w:beforeAutospacing="0" w:after="0" w:afterAutospacing="0" w:line="400" w:lineRule="exact"/>
        <w:ind w:firstLine="420" w:firstLineChars="200"/>
        <w:rPr>
          <w:rFonts w:hint="eastAsia" w:ascii="宋体" w:hAnsi="宋体" w:eastAsia="宋体" w:cs="宋体"/>
          <w:color w:val="auto"/>
          <w:kern w:val="2"/>
          <w:sz w:val="21"/>
          <w:szCs w:val="21"/>
          <w:highlight w:val="none"/>
          <w:lang w:val="en-US" w:eastAsia="zh-CN" w:bidi="ar-SA"/>
        </w:rPr>
      </w:pPr>
      <w:bookmarkStart w:id="24" w:name="_Toc28359082"/>
      <w:bookmarkStart w:id="25" w:name="_Toc35393793"/>
      <w:bookmarkStart w:id="26" w:name="_Toc35393624"/>
      <w:bookmarkStart w:id="27" w:name="_Toc28359005"/>
      <w:r>
        <w:rPr>
          <w:rFonts w:hint="eastAsia" w:ascii="宋体" w:hAnsi="宋体" w:eastAsia="宋体" w:cs="宋体"/>
          <w:color w:val="auto"/>
          <w:kern w:val="2"/>
          <w:sz w:val="21"/>
          <w:szCs w:val="21"/>
          <w:highlight w:val="none"/>
          <w:lang w:val="en-US" w:eastAsia="zh-CN" w:bidi="ar-SA"/>
        </w:rPr>
        <w:t>时间：2024年</w:t>
      </w:r>
      <w:r>
        <w:rPr>
          <w:rFonts w:hint="eastAsia" w:cs="宋体"/>
          <w:color w:val="auto"/>
          <w:kern w:val="2"/>
          <w:sz w:val="21"/>
          <w:szCs w:val="21"/>
          <w:highlight w:val="none"/>
          <w:lang w:val="en-US" w:eastAsia="zh-CN" w:bidi="ar-SA"/>
        </w:rPr>
        <w:t>10</w:t>
      </w:r>
      <w:r>
        <w:rPr>
          <w:rFonts w:hint="eastAsia" w:ascii="宋体" w:hAnsi="宋体" w:eastAsia="宋体" w:cs="宋体"/>
          <w:color w:val="auto"/>
          <w:kern w:val="2"/>
          <w:sz w:val="21"/>
          <w:szCs w:val="21"/>
          <w:highlight w:val="none"/>
          <w:lang w:val="en-US" w:eastAsia="zh-CN" w:bidi="ar-SA"/>
        </w:rPr>
        <w:t>月</w:t>
      </w:r>
      <w:r>
        <w:rPr>
          <w:rFonts w:hint="eastAsia" w:cs="宋体"/>
          <w:color w:val="auto"/>
          <w:kern w:val="2"/>
          <w:sz w:val="21"/>
          <w:szCs w:val="21"/>
          <w:highlight w:val="none"/>
          <w:lang w:val="en-US" w:eastAsia="zh-CN" w:bidi="ar-SA"/>
        </w:rPr>
        <w:t>24</w:t>
      </w:r>
      <w:r>
        <w:rPr>
          <w:rFonts w:hint="eastAsia" w:ascii="宋体" w:hAnsi="宋体" w:eastAsia="宋体" w:cs="宋体"/>
          <w:color w:val="auto"/>
          <w:kern w:val="2"/>
          <w:sz w:val="21"/>
          <w:szCs w:val="21"/>
          <w:highlight w:val="none"/>
          <w:lang w:val="en-US" w:eastAsia="zh-CN" w:bidi="ar-SA"/>
        </w:rPr>
        <w:t>日至2024年</w:t>
      </w:r>
      <w:r>
        <w:rPr>
          <w:rFonts w:hint="eastAsia" w:cs="宋体"/>
          <w:color w:val="auto"/>
          <w:kern w:val="2"/>
          <w:sz w:val="21"/>
          <w:szCs w:val="21"/>
          <w:highlight w:val="none"/>
          <w:lang w:val="en-US" w:eastAsia="zh-CN" w:bidi="ar-SA"/>
        </w:rPr>
        <w:t>11</w:t>
      </w:r>
      <w:r>
        <w:rPr>
          <w:rFonts w:hint="eastAsia" w:ascii="宋体" w:hAnsi="宋体" w:eastAsia="宋体" w:cs="宋体"/>
          <w:color w:val="auto"/>
          <w:kern w:val="2"/>
          <w:sz w:val="21"/>
          <w:szCs w:val="21"/>
          <w:highlight w:val="none"/>
          <w:lang w:val="en-US" w:eastAsia="zh-CN" w:bidi="ar-SA"/>
        </w:rPr>
        <w:t>月</w:t>
      </w:r>
      <w:r>
        <w:rPr>
          <w:rFonts w:hint="eastAsia" w:cs="宋体"/>
          <w:color w:val="auto"/>
          <w:kern w:val="2"/>
          <w:sz w:val="21"/>
          <w:szCs w:val="21"/>
          <w:highlight w:val="none"/>
          <w:lang w:val="en-US" w:eastAsia="zh-CN" w:bidi="ar-SA"/>
        </w:rPr>
        <w:t>4</w:t>
      </w:r>
      <w:r>
        <w:rPr>
          <w:rFonts w:hint="eastAsia" w:ascii="宋体" w:hAnsi="宋体" w:eastAsia="宋体" w:cs="宋体"/>
          <w:color w:val="auto"/>
          <w:kern w:val="2"/>
          <w:sz w:val="21"/>
          <w:szCs w:val="21"/>
          <w:highlight w:val="none"/>
          <w:lang w:val="en-US" w:eastAsia="zh-CN" w:bidi="ar-SA"/>
        </w:rPr>
        <w:t>日，每天上午00:00至12:00，下午12:00至23:59（北京时间，法定节假日除外）。</w:t>
      </w:r>
    </w:p>
    <w:p w14:paraId="3CE462F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地点（网址）：广西政府采购云平台（ https://www.gcy.zfcg.gxzf.gov.cn/）。</w:t>
      </w:r>
    </w:p>
    <w:p w14:paraId="214A799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方式：供应商登录广西政府采购云平台（ https://www.gcy.zfcg.gxzf.gov.cn/）在线申请获取采购文件（进入“项目采购”应用，在获取采购文件菜单中选择项目，申请获取采购文件）。</w:t>
      </w:r>
    </w:p>
    <w:p w14:paraId="296823D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售价（元）：0 </w:t>
      </w:r>
    </w:p>
    <w:p w14:paraId="7A814728">
      <w:pPr>
        <w:keepNext w:val="0"/>
        <w:keepLines w:val="0"/>
        <w:pageBreakBefore w:val="0"/>
        <w:widowControl w:val="0"/>
        <w:kinsoku/>
        <w:wordWrap/>
        <w:overflowPunct/>
        <w:topLinePunct w:val="0"/>
        <w:bidi w:val="0"/>
        <w:snapToGrid/>
        <w:spacing w:line="400" w:lineRule="exact"/>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四、</w:t>
      </w:r>
      <w:bookmarkEnd w:id="24"/>
      <w:bookmarkEnd w:id="25"/>
      <w:bookmarkEnd w:id="26"/>
      <w:bookmarkEnd w:id="27"/>
      <w:r>
        <w:rPr>
          <w:rFonts w:hint="eastAsia" w:ascii="宋体" w:hAnsi="宋体" w:eastAsia="宋体" w:cs="宋体"/>
          <w:b/>
          <w:bCs/>
          <w:color w:val="auto"/>
          <w:sz w:val="21"/>
          <w:szCs w:val="21"/>
          <w:highlight w:val="none"/>
          <w:lang w:eastAsia="zh-CN"/>
        </w:rPr>
        <w:t>响应</w:t>
      </w:r>
      <w:r>
        <w:rPr>
          <w:rFonts w:hint="eastAsia" w:ascii="宋体" w:hAnsi="宋体" w:eastAsia="宋体" w:cs="宋体"/>
          <w:b/>
          <w:bCs/>
          <w:color w:val="auto"/>
          <w:sz w:val="21"/>
          <w:szCs w:val="21"/>
          <w:highlight w:val="none"/>
        </w:rPr>
        <w:t>文件</w:t>
      </w:r>
      <w:r>
        <w:rPr>
          <w:rFonts w:hint="eastAsia" w:ascii="宋体" w:hAnsi="宋体" w:eastAsia="宋体" w:cs="宋体"/>
          <w:b/>
          <w:bCs/>
          <w:color w:val="auto"/>
          <w:sz w:val="21"/>
          <w:szCs w:val="21"/>
          <w:highlight w:val="none"/>
          <w:lang w:eastAsia="zh-CN"/>
        </w:rPr>
        <w:t>提交</w:t>
      </w:r>
    </w:p>
    <w:p w14:paraId="25A53D4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lang w:eastAsia="zh-CN"/>
        </w:rPr>
        <w:t>截止</w:t>
      </w:r>
      <w:r>
        <w:rPr>
          <w:rFonts w:hint="eastAsia" w:ascii="宋体" w:hAnsi="宋体" w:eastAsia="宋体" w:cs="宋体"/>
          <w:bCs/>
          <w:color w:val="auto"/>
          <w:sz w:val="21"/>
          <w:szCs w:val="21"/>
          <w:highlight w:val="none"/>
        </w:rPr>
        <w:t>时间：</w:t>
      </w:r>
      <w:r>
        <w:rPr>
          <w:rFonts w:hint="eastAsia" w:ascii="宋体" w:hAnsi="宋体" w:eastAsia="宋体" w:cs="宋体"/>
          <w:color w:val="auto"/>
          <w:sz w:val="21"/>
          <w:szCs w:val="21"/>
          <w:highlight w:val="none"/>
          <w:lang w:eastAsia="zh-CN"/>
        </w:rPr>
        <w:t>20</w:t>
      </w:r>
      <w:r>
        <w:rPr>
          <w:rFonts w:hint="eastAsia" w:ascii="宋体" w:hAnsi="宋体" w:eastAsia="宋体" w:cs="宋体"/>
          <w:color w:val="auto"/>
          <w:sz w:val="21"/>
          <w:szCs w:val="21"/>
          <w:highlight w:val="none"/>
          <w:lang w:val="en-US" w:eastAsia="zh-CN"/>
        </w:rPr>
        <w:t>24</w:t>
      </w:r>
      <w:r>
        <w:rPr>
          <w:rFonts w:hint="eastAsia" w:ascii="宋体" w:hAnsi="宋体" w:eastAsia="宋体" w:cs="宋体"/>
          <w:color w:val="auto"/>
          <w:sz w:val="21"/>
          <w:szCs w:val="21"/>
          <w:highlight w:val="none"/>
          <w:lang w:eastAsia="zh-CN"/>
        </w:rPr>
        <w:t>年</w:t>
      </w:r>
      <w:r>
        <w:rPr>
          <w:rFonts w:hint="eastAsia" w:ascii="宋体" w:hAnsi="宋体" w:cs="宋体"/>
          <w:color w:val="auto"/>
          <w:sz w:val="21"/>
          <w:szCs w:val="21"/>
          <w:highlight w:val="none"/>
          <w:lang w:val="en-US" w:eastAsia="zh-CN"/>
        </w:rPr>
        <w:t>11</w:t>
      </w:r>
      <w:r>
        <w:rPr>
          <w:rFonts w:hint="eastAsia" w:ascii="宋体" w:hAnsi="宋体" w:eastAsia="宋体" w:cs="宋体"/>
          <w:color w:val="auto"/>
          <w:sz w:val="21"/>
          <w:szCs w:val="21"/>
          <w:highlight w:val="none"/>
          <w:lang w:eastAsia="zh-CN"/>
        </w:rPr>
        <w:t>月</w:t>
      </w:r>
      <w:r>
        <w:rPr>
          <w:rFonts w:hint="eastAsia" w:ascii="宋体" w:hAnsi="宋体" w:cs="宋体"/>
          <w:color w:val="auto"/>
          <w:sz w:val="21"/>
          <w:szCs w:val="21"/>
          <w:highlight w:val="none"/>
          <w:lang w:val="en-US" w:eastAsia="zh-CN"/>
        </w:rPr>
        <w:t>4</w:t>
      </w:r>
      <w:r>
        <w:rPr>
          <w:rFonts w:hint="eastAsia" w:ascii="宋体" w:hAnsi="宋体" w:eastAsia="宋体" w:cs="宋体"/>
          <w:color w:val="auto"/>
          <w:sz w:val="21"/>
          <w:szCs w:val="21"/>
          <w:highlight w:val="none"/>
          <w:lang w:eastAsia="zh-CN"/>
        </w:rPr>
        <w:t>日</w:t>
      </w:r>
      <w:r>
        <w:rPr>
          <w:rFonts w:hint="eastAsia" w:ascii="宋体" w:hAnsi="宋体" w:cs="宋体"/>
          <w:color w:val="auto"/>
          <w:sz w:val="21"/>
          <w:szCs w:val="21"/>
          <w:highlight w:val="none"/>
          <w:lang w:val="en-US" w:eastAsia="zh-CN"/>
        </w:rPr>
        <w:t>9</w:t>
      </w:r>
      <w:r>
        <w:rPr>
          <w:rFonts w:hint="eastAsia" w:ascii="宋体" w:hAnsi="宋体" w:eastAsia="宋体" w:cs="宋体"/>
          <w:color w:val="auto"/>
          <w:sz w:val="21"/>
          <w:szCs w:val="21"/>
          <w:highlight w:val="none"/>
          <w:lang w:val="en-US" w:eastAsia="zh-CN"/>
        </w:rPr>
        <w:t>时30分</w:t>
      </w:r>
      <w:r>
        <w:rPr>
          <w:rFonts w:hint="eastAsia" w:ascii="宋体" w:hAnsi="宋体" w:eastAsia="宋体" w:cs="宋体"/>
          <w:bCs/>
          <w:color w:val="auto"/>
          <w:sz w:val="21"/>
          <w:szCs w:val="21"/>
          <w:highlight w:val="none"/>
        </w:rPr>
        <w:t>（北京时间）。</w:t>
      </w:r>
    </w:p>
    <w:p w14:paraId="0D6C023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地</w:t>
      </w:r>
      <w:r>
        <w:rPr>
          <w:rFonts w:hint="eastAsia" w:ascii="宋体" w:hAnsi="宋体" w:eastAsia="宋体" w:cs="宋体"/>
          <w:color w:val="auto"/>
          <w:sz w:val="21"/>
          <w:szCs w:val="21"/>
          <w:highlight w:val="none"/>
          <w:lang w:val="en-US" w:eastAsia="zh-CN"/>
        </w:rPr>
        <w:t xml:space="preserve">    </w:t>
      </w:r>
      <w:r>
        <w:rPr>
          <w:rFonts w:hint="eastAsia" w:ascii="宋体" w:hAnsi="宋体" w:eastAsia="宋体" w:cs="宋体"/>
          <w:color w:val="auto"/>
          <w:sz w:val="21"/>
          <w:szCs w:val="21"/>
          <w:highlight w:val="none"/>
        </w:rPr>
        <w:t>点：通过广西政府采购云平台实行在线投标。</w:t>
      </w:r>
    </w:p>
    <w:p w14:paraId="7A5C4264">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五、</w:t>
      </w:r>
      <w:r>
        <w:rPr>
          <w:rFonts w:hint="eastAsia" w:ascii="宋体" w:hAnsi="宋体" w:eastAsia="宋体" w:cs="宋体"/>
          <w:b/>
          <w:bCs/>
          <w:color w:val="auto"/>
          <w:sz w:val="21"/>
          <w:szCs w:val="21"/>
          <w:highlight w:val="none"/>
          <w:lang w:eastAsia="zh-CN"/>
        </w:rPr>
        <w:t>响应</w:t>
      </w:r>
      <w:r>
        <w:rPr>
          <w:rFonts w:hint="eastAsia" w:ascii="宋体" w:hAnsi="宋体" w:eastAsia="宋体" w:cs="宋体"/>
          <w:b/>
          <w:bCs/>
          <w:color w:val="auto"/>
          <w:sz w:val="21"/>
          <w:szCs w:val="21"/>
          <w:highlight w:val="none"/>
        </w:rPr>
        <w:t>文件开启</w:t>
      </w:r>
    </w:p>
    <w:p w14:paraId="1A70B87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时间：</w:t>
      </w:r>
      <w:r>
        <w:rPr>
          <w:rFonts w:hint="eastAsia" w:ascii="宋体" w:hAnsi="宋体" w:eastAsia="宋体" w:cs="宋体"/>
          <w:color w:val="auto"/>
          <w:sz w:val="21"/>
          <w:szCs w:val="21"/>
          <w:highlight w:val="none"/>
          <w:lang w:eastAsia="zh-CN"/>
        </w:rPr>
        <w:t>20</w:t>
      </w:r>
      <w:r>
        <w:rPr>
          <w:rFonts w:hint="eastAsia" w:ascii="宋体" w:hAnsi="宋体" w:eastAsia="宋体" w:cs="宋体"/>
          <w:color w:val="auto"/>
          <w:sz w:val="21"/>
          <w:szCs w:val="21"/>
          <w:highlight w:val="none"/>
          <w:lang w:val="en-US" w:eastAsia="zh-CN"/>
        </w:rPr>
        <w:t>24</w:t>
      </w:r>
      <w:r>
        <w:rPr>
          <w:rFonts w:hint="eastAsia" w:ascii="宋体" w:hAnsi="宋体" w:eastAsia="宋体" w:cs="宋体"/>
          <w:color w:val="auto"/>
          <w:sz w:val="21"/>
          <w:szCs w:val="21"/>
          <w:highlight w:val="none"/>
          <w:lang w:eastAsia="zh-CN"/>
        </w:rPr>
        <w:t>年</w:t>
      </w:r>
      <w:r>
        <w:rPr>
          <w:rFonts w:hint="eastAsia" w:ascii="宋体" w:hAnsi="宋体" w:cs="宋体"/>
          <w:color w:val="auto"/>
          <w:sz w:val="21"/>
          <w:szCs w:val="21"/>
          <w:highlight w:val="none"/>
          <w:lang w:val="en-US" w:eastAsia="zh-CN"/>
        </w:rPr>
        <w:t>11</w:t>
      </w:r>
      <w:r>
        <w:rPr>
          <w:rFonts w:hint="eastAsia" w:ascii="宋体" w:hAnsi="宋体" w:eastAsia="宋体" w:cs="宋体"/>
          <w:color w:val="auto"/>
          <w:sz w:val="21"/>
          <w:szCs w:val="21"/>
          <w:highlight w:val="none"/>
          <w:lang w:eastAsia="zh-CN"/>
        </w:rPr>
        <w:t>月</w:t>
      </w:r>
      <w:r>
        <w:rPr>
          <w:rFonts w:hint="eastAsia" w:ascii="宋体" w:hAnsi="宋体" w:cs="宋体"/>
          <w:color w:val="auto"/>
          <w:sz w:val="21"/>
          <w:szCs w:val="21"/>
          <w:highlight w:val="none"/>
          <w:lang w:val="en-US" w:eastAsia="zh-CN"/>
        </w:rPr>
        <w:t>4</w:t>
      </w:r>
      <w:r>
        <w:rPr>
          <w:rFonts w:hint="eastAsia" w:ascii="宋体" w:hAnsi="宋体" w:eastAsia="宋体" w:cs="宋体"/>
          <w:color w:val="auto"/>
          <w:sz w:val="21"/>
          <w:szCs w:val="21"/>
          <w:highlight w:val="none"/>
          <w:lang w:eastAsia="zh-CN"/>
        </w:rPr>
        <w:t>日</w:t>
      </w:r>
      <w:r>
        <w:rPr>
          <w:rFonts w:hint="eastAsia" w:ascii="宋体" w:hAnsi="宋体" w:cs="宋体"/>
          <w:color w:val="auto"/>
          <w:sz w:val="21"/>
          <w:szCs w:val="21"/>
          <w:highlight w:val="none"/>
          <w:lang w:val="en-US" w:eastAsia="zh-CN"/>
        </w:rPr>
        <w:t>9</w:t>
      </w:r>
      <w:r>
        <w:rPr>
          <w:rFonts w:hint="eastAsia" w:ascii="宋体" w:hAnsi="宋体" w:eastAsia="宋体" w:cs="宋体"/>
          <w:color w:val="auto"/>
          <w:sz w:val="21"/>
          <w:szCs w:val="21"/>
          <w:highlight w:val="none"/>
          <w:lang w:val="en-US" w:eastAsia="zh-CN"/>
        </w:rPr>
        <w:t>时30分</w:t>
      </w:r>
      <w:r>
        <w:rPr>
          <w:rFonts w:hint="eastAsia" w:ascii="宋体" w:hAnsi="宋体" w:eastAsia="宋体" w:cs="宋体"/>
          <w:color w:val="auto"/>
          <w:sz w:val="21"/>
          <w:szCs w:val="21"/>
          <w:highlight w:val="none"/>
        </w:rPr>
        <w:t>（北京时间）截标。</w:t>
      </w:r>
    </w:p>
    <w:p w14:paraId="247EFBB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rPr>
      </w:pPr>
      <w:bookmarkStart w:id="28" w:name="_Toc28359084"/>
      <w:bookmarkStart w:id="29" w:name="_Toc35393794"/>
      <w:bookmarkStart w:id="30" w:name="_Toc28359007"/>
      <w:bookmarkStart w:id="31" w:name="_Toc35393625"/>
      <w:r>
        <w:rPr>
          <w:rFonts w:hint="eastAsia" w:ascii="宋体" w:hAnsi="宋体" w:eastAsia="宋体" w:cs="宋体"/>
          <w:color w:val="auto"/>
          <w:sz w:val="21"/>
          <w:szCs w:val="21"/>
          <w:highlight w:val="none"/>
        </w:rPr>
        <w:t>地点：桂林市公共资源交易中心9号政采开标仓（广西桂林市临桂区西城中路69号创业大厦西辅楼4楼北区）通过广西政府采购云平台实行在线解密开启。</w:t>
      </w:r>
    </w:p>
    <w:p w14:paraId="3EAF2A0C">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lang w:eastAsia="zh-CN"/>
        </w:rPr>
        <w:t>六</w:t>
      </w:r>
      <w:r>
        <w:rPr>
          <w:rFonts w:hint="eastAsia" w:ascii="宋体" w:hAnsi="宋体" w:eastAsia="宋体" w:cs="宋体"/>
          <w:b/>
          <w:bCs/>
          <w:color w:val="auto"/>
          <w:sz w:val="21"/>
          <w:szCs w:val="21"/>
          <w:highlight w:val="none"/>
        </w:rPr>
        <w:t>、公告期限</w:t>
      </w:r>
      <w:bookmarkEnd w:id="28"/>
      <w:bookmarkEnd w:id="29"/>
      <w:bookmarkEnd w:id="30"/>
      <w:bookmarkEnd w:id="31"/>
    </w:p>
    <w:p w14:paraId="21470B6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自本公告发布之日起</w:t>
      </w:r>
      <w:r>
        <w:rPr>
          <w:rFonts w:hint="eastAsia" w:ascii="宋体" w:hAnsi="宋体" w:eastAsia="宋体" w:cs="宋体"/>
          <w:color w:val="auto"/>
          <w:kern w:val="0"/>
          <w:sz w:val="21"/>
          <w:szCs w:val="21"/>
          <w:highlight w:val="none"/>
          <w:lang w:val="en-US" w:eastAsia="zh-CN"/>
        </w:rPr>
        <w:t>5</w:t>
      </w:r>
      <w:r>
        <w:rPr>
          <w:rFonts w:hint="eastAsia" w:ascii="宋体" w:hAnsi="宋体" w:eastAsia="宋体" w:cs="宋体"/>
          <w:color w:val="auto"/>
          <w:kern w:val="0"/>
          <w:sz w:val="21"/>
          <w:szCs w:val="21"/>
          <w:highlight w:val="none"/>
        </w:rPr>
        <w:t>个工作日。</w:t>
      </w:r>
    </w:p>
    <w:p w14:paraId="31F226BE">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
          <w:bCs/>
          <w:color w:val="auto"/>
          <w:sz w:val="21"/>
          <w:szCs w:val="21"/>
          <w:highlight w:val="none"/>
        </w:rPr>
      </w:pPr>
      <w:bookmarkStart w:id="32" w:name="_Toc35393795"/>
      <w:bookmarkStart w:id="33" w:name="_Toc35393626"/>
      <w:r>
        <w:rPr>
          <w:rFonts w:hint="eastAsia" w:ascii="宋体" w:hAnsi="宋体" w:eastAsia="宋体" w:cs="宋体"/>
          <w:b/>
          <w:bCs/>
          <w:color w:val="auto"/>
          <w:sz w:val="21"/>
          <w:szCs w:val="21"/>
          <w:highlight w:val="none"/>
          <w:lang w:eastAsia="zh-CN"/>
        </w:rPr>
        <w:t>七</w:t>
      </w:r>
      <w:r>
        <w:rPr>
          <w:rFonts w:hint="eastAsia" w:ascii="宋体" w:hAnsi="宋体" w:eastAsia="宋体" w:cs="宋体"/>
          <w:b/>
          <w:bCs/>
          <w:color w:val="auto"/>
          <w:sz w:val="21"/>
          <w:szCs w:val="21"/>
          <w:highlight w:val="none"/>
        </w:rPr>
        <w:t>、其他补充事宜</w:t>
      </w:r>
      <w:bookmarkEnd w:id="32"/>
      <w:bookmarkEnd w:id="33"/>
    </w:p>
    <w:p w14:paraId="073E58D2">
      <w:pPr>
        <w:keepNext w:val="0"/>
        <w:keepLines w:val="0"/>
        <w:pageBreakBefore w:val="0"/>
        <w:widowControl w:val="0"/>
        <w:numPr>
          <w:ilvl w:val="0"/>
          <w:numId w:val="0"/>
        </w:numPr>
        <w:kinsoku/>
        <w:wordWrap/>
        <w:overflowPunct/>
        <w:topLinePunct w:val="0"/>
        <w:bidi w:val="0"/>
        <w:snapToGrid/>
        <w:spacing w:line="400" w:lineRule="exact"/>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1.资格条件特别说明</w:t>
      </w:r>
    </w:p>
    <w:p w14:paraId="0F689420">
      <w:pPr>
        <w:keepNext w:val="0"/>
        <w:keepLines w:val="0"/>
        <w:pageBreakBefore w:val="0"/>
        <w:widowControl w:val="0"/>
        <w:numPr>
          <w:ilvl w:val="0"/>
          <w:numId w:val="0"/>
        </w:numPr>
        <w:kinsoku/>
        <w:wordWrap/>
        <w:overflowPunct/>
        <w:topLinePunct w:val="0"/>
        <w:bidi w:val="0"/>
        <w:snapToGrid/>
        <w:spacing w:line="400" w:lineRule="exact"/>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单位负责人为同一人或者存在直接控股、管理关系的不同供应商，不得参加同一合同项下的政府采购活动。除单一来源采购项目外，为采购项目提供整体设计、规范编制或者项目管理、监理、检测等服务的供应商，不得再参加该采购项目的其他采购活动。</w:t>
      </w:r>
    </w:p>
    <w:p w14:paraId="73B2E235">
      <w:pPr>
        <w:keepNext w:val="0"/>
        <w:keepLines w:val="0"/>
        <w:pageBreakBefore w:val="0"/>
        <w:widowControl w:val="0"/>
        <w:numPr>
          <w:ilvl w:val="0"/>
          <w:numId w:val="0"/>
        </w:numPr>
        <w:kinsoku/>
        <w:wordWrap/>
        <w:overflowPunct/>
        <w:topLinePunct w:val="0"/>
        <w:bidi w:val="0"/>
        <w:snapToGrid/>
        <w:spacing w:line="400" w:lineRule="exact"/>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（2）</w:t>
      </w:r>
      <w:r>
        <w:rPr>
          <w:rFonts w:hint="eastAsia" w:ascii="宋体" w:hAnsi="宋体" w:eastAsia="宋体" w:cs="宋体"/>
          <w:color w:val="auto"/>
          <w:sz w:val="21"/>
          <w:szCs w:val="21"/>
          <w:highlight w:val="none"/>
          <w:lang w:val="en-US" w:eastAsia="zh-CN"/>
        </w:rPr>
        <w:t>对在“信用中国”网站(www.creditchina.gov.cn)、中国政府采购网(www.ccgp.gov.cn)等渠道列入失信被执行人、重大税收违法案件当事人名单、政府采购严重违法失信行为记录名单及其他不符合《中华人民共和国政府采购法》第二十二条规定条件的供应商，不得参与政府采购活动。</w:t>
      </w:r>
    </w:p>
    <w:p w14:paraId="2C8067E5">
      <w:pPr>
        <w:pStyle w:val="23"/>
        <w:keepNext w:val="0"/>
        <w:keepLines w:val="0"/>
        <w:pageBreakBefore w:val="0"/>
        <w:widowControl w:val="0"/>
        <w:kinsoku/>
        <w:wordWrap/>
        <w:overflowPunct/>
        <w:topLinePunct w:val="0"/>
        <w:bidi w:val="0"/>
        <w:snapToGrid/>
        <w:spacing w:line="400" w:lineRule="exact"/>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2.</w:t>
      </w:r>
      <w:r>
        <w:rPr>
          <w:rFonts w:hint="eastAsia" w:ascii="宋体" w:hAnsi="宋体" w:eastAsia="宋体" w:cs="宋体"/>
          <w:color w:val="auto"/>
          <w:sz w:val="21"/>
          <w:szCs w:val="21"/>
          <w:highlight w:val="none"/>
          <w:lang w:val="en-US" w:eastAsia="zh-CN"/>
        </w:rPr>
        <w:t>本项目需要落实的政府采购政策：</w:t>
      </w:r>
    </w:p>
    <w:p w14:paraId="07BF774A">
      <w:pPr>
        <w:pStyle w:val="23"/>
        <w:keepNext w:val="0"/>
        <w:keepLines w:val="0"/>
        <w:pageBreakBefore w:val="0"/>
        <w:widowControl w:val="0"/>
        <w:kinsoku/>
        <w:wordWrap/>
        <w:overflowPunct/>
        <w:topLinePunct w:val="0"/>
        <w:bidi w:val="0"/>
        <w:snapToGrid/>
        <w:spacing w:line="400" w:lineRule="exact"/>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（1）《政府采购促进中小企业发展管理办法》（财库〔2020〕46号）。</w:t>
      </w:r>
    </w:p>
    <w:p w14:paraId="25B538DA">
      <w:pPr>
        <w:pStyle w:val="23"/>
        <w:keepNext w:val="0"/>
        <w:keepLines w:val="0"/>
        <w:pageBreakBefore w:val="0"/>
        <w:widowControl w:val="0"/>
        <w:kinsoku/>
        <w:wordWrap/>
        <w:overflowPunct/>
        <w:topLinePunct w:val="0"/>
        <w:bidi w:val="0"/>
        <w:snapToGrid/>
        <w:spacing w:line="400" w:lineRule="exact"/>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（2）《关于进一步加大政府采购支持中小企业力度的通知》（财库〔2022〕19号）。</w:t>
      </w:r>
    </w:p>
    <w:p w14:paraId="5F3856E6">
      <w:pPr>
        <w:pStyle w:val="23"/>
        <w:keepNext w:val="0"/>
        <w:keepLines w:val="0"/>
        <w:pageBreakBefore w:val="0"/>
        <w:widowControl w:val="0"/>
        <w:kinsoku/>
        <w:wordWrap/>
        <w:overflowPunct/>
        <w:topLinePunct w:val="0"/>
        <w:bidi w:val="0"/>
        <w:snapToGrid/>
        <w:spacing w:line="400" w:lineRule="exact"/>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（3）《关于政府采购支持监狱企业发展有关问题的通知》（财库〔2014〕68号）。</w:t>
      </w:r>
    </w:p>
    <w:p w14:paraId="7A5F4351">
      <w:pPr>
        <w:pStyle w:val="23"/>
        <w:keepNext w:val="0"/>
        <w:keepLines w:val="0"/>
        <w:pageBreakBefore w:val="0"/>
        <w:widowControl w:val="0"/>
        <w:kinsoku/>
        <w:wordWrap/>
        <w:overflowPunct/>
        <w:topLinePunct w:val="0"/>
        <w:bidi w:val="0"/>
        <w:snapToGrid/>
        <w:spacing w:line="400" w:lineRule="exact"/>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（4）《关于促进残疾人就业政府采购政策的通知》（财库〔2017〕141号）。</w:t>
      </w:r>
    </w:p>
    <w:p w14:paraId="57DA41E6">
      <w:pPr>
        <w:pStyle w:val="23"/>
        <w:keepNext w:val="0"/>
        <w:keepLines w:val="0"/>
        <w:pageBreakBefore w:val="0"/>
        <w:widowControl w:val="0"/>
        <w:kinsoku/>
        <w:wordWrap/>
        <w:overflowPunct/>
        <w:topLinePunct w:val="0"/>
        <w:bidi w:val="0"/>
        <w:snapToGrid/>
        <w:spacing w:line="400" w:lineRule="exact"/>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（5）政府采购扶持不发达地区和少数民族地区。</w:t>
      </w:r>
    </w:p>
    <w:p w14:paraId="2CCFFDB0">
      <w:pPr>
        <w:keepNext w:val="0"/>
        <w:keepLines w:val="0"/>
        <w:pageBreakBefore w:val="0"/>
        <w:widowControl w:val="0"/>
        <w:numPr>
          <w:ilvl w:val="0"/>
          <w:numId w:val="0"/>
        </w:numPr>
        <w:kinsoku/>
        <w:wordWrap/>
        <w:overflowPunct/>
        <w:topLinePunct w:val="0"/>
        <w:bidi w:val="0"/>
        <w:snapToGrid/>
        <w:spacing w:line="400" w:lineRule="exact"/>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（6）</w:t>
      </w:r>
      <w:r>
        <w:rPr>
          <w:rFonts w:hint="eastAsia" w:ascii="宋体" w:hAnsi="宋体" w:eastAsia="宋体" w:cs="宋体"/>
          <w:b/>
          <w:bCs/>
          <w:color w:val="auto"/>
          <w:sz w:val="21"/>
          <w:szCs w:val="21"/>
          <w:highlight w:val="none"/>
          <w:lang w:val="en-US" w:eastAsia="zh-CN"/>
        </w:rPr>
        <w:t>中小企业划分标准所属行业：“建筑业”</w:t>
      </w:r>
      <w:r>
        <w:rPr>
          <w:rFonts w:hint="eastAsia" w:ascii="宋体" w:hAnsi="宋体" w:eastAsia="宋体" w:cs="宋体"/>
          <w:b w:val="0"/>
          <w:bCs w:val="0"/>
          <w:color w:val="auto"/>
          <w:sz w:val="21"/>
          <w:szCs w:val="21"/>
          <w:highlight w:val="none"/>
          <w:lang w:val="en-US" w:eastAsia="zh-CN"/>
        </w:rPr>
        <w:t>。</w:t>
      </w:r>
    </w:p>
    <w:p w14:paraId="57315918">
      <w:pPr>
        <w:keepNext w:val="0"/>
        <w:keepLines w:val="0"/>
        <w:pageBreakBefore w:val="0"/>
        <w:widowControl w:val="0"/>
        <w:numPr>
          <w:ilvl w:val="0"/>
          <w:numId w:val="0"/>
        </w:numPr>
        <w:kinsoku/>
        <w:wordWrap/>
        <w:overflowPunct/>
        <w:topLinePunct w:val="0"/>
        <w:bidi w:val="0"/>
        <w:snapToGrid/>
        <w:spacing w:line="400" w:lineRule="exact"/>
        <w:ind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3.</w:t>
      </w:r>
      <w:r>
        <w:rPr>
          <w:rFonts w:hint="eastAsia" w:ascii="宋体" w:hAnsi="宋体" w:eastAsia="宋体" w:cs="宋体"/>
          <w:color w:val="auto"/>
          <w:sz w:val="21"/>
          <w:szCs w:val="21"/>
          <w:highlight w:val="none"/>
        </w:rPr>
        <w:t>本项目信息发布媒体：http://www.ccgp.gov.cn（中国政府采购网）、http://zfcg.gxzf.gov.cn（广西壮族自治区政府采购网）、http://zfcg.czj.guilin.gov.cn（桂林市政府采购网）</w:t>
      </w:r>
      <w:r>
        <w:rPr>
          <w:rFonts w:hint="eastAsia" w:ascii="宋体" w:hAnsi="宋体" w:eastAsia="宋体" w:cs="宋体"/>
          <w:color w:val="auto"/>
          <w:sz w:val="21"/>
          <w:szCs w:val="21"/>
          <w:highlight w:val="none"/>
          <w:lang w:eastAsia="zh-CN"/>
        </w:rPr>
        <w:t>。</w:t>
      </w:r>
    </w:p>
    <w:p w14:paraId="6556ABA9">
      <w:pPr>
        <w:pStyle w:val="23"/>
        <w:keepNext w:val="0"/>
        <w:keepLines w:val="0"/>
        <w:pageBreakBefore w:val="0"/>
        <w:widowControl w:val="0"/>
        <w:kinsoku/>
        <w:wordWrap/>
        <w:overflowPunct/>
        <w:topLinePunct w:val="0"/>
        <w:bidi w:val="0"/>
        <w:snapToGrid/>
        <w:spacing w:line="400" w:lineRule="exact"/>
        <w:ind w:firstLine="420" w:firstLineChars="200"/>
        <w:textAlignment w:val="auto"/>
        <w:rPr>
          <w:rFonts w:hint="eastAsia" w:ascii="宋体" w:hAnsi="宋体" w:cs="宋体"/>
          <w:b w:val="0"/>
          <w:bCs w:val="0"/>
          <w:color w:val="auto"/>
          <w:sz w:val="21"/>
          <w:szCs w:val="21"/>
          <w:highlight w:val="none"/>
          <w:u w:val="none"/>
          <w:lang w:val="en-US" w:eastAsia="zh-CN"/>
        </w:rPr>
      </w:pPr>
      <w:r>
        <w:rPr>
          <w:rFonts w:hint="eastAsia" w:ascii="宋体" w:hAnsi="宋体" w:cs="宋体"/>
          <w:b w:val="0"/>
          <w:bCs w:val="0"/>
          <w:color w:val="auto"/>
          <w:sz w:val="21"/>
          <w:szCs w:val="21"/>
          <w:highlight w:val="none"/>
          <w:u w:val="none"/>
          <w:lang w:val="en-US" w:eastAsia="zh-CN"/>
        </w:rPr>
        <w:t>4.在线投标响应（电子投标）说明</w:t>
      </w:r>
    </w:p>
    <w:p w14:paraId="4234B0BC">
      <w:pPr>
        <w:pStyle w:val="23"/>
        <w:keepNext w:val="0"/>
        <w:keepLines w:val="0"/>
        <w:pageBreakBefore w:val="0"/>
        <w:widowControl w:val="0"/>
        <w:kinsoku/>
        <w:wordWrap/>
        <w:overflowPunct/>
        <w:topLinePunct w:val="0"/>
        <w:bidi w:val="0"/>
        <w:snapToGrid/>
        <w:spacing w:line="400" w:lineRule="exact"/>
        <w:ind w:firstLine="420" w:firstLineChars="200"/>
        <w:textAlignment w:val="auto"/>
        <w:rPr>
          <w:rFonts w:hint="eastAsia" w:ascii="宋体" w:hAnsi="宋体" w:cs="宋体"/>
          <w:b w:val="0"/>
          <w:bCs w:val="0"/>
          <w:color w:val="auto"/>
          <w:sz w:val="21"/>
          <w:szCs w:val="21"/>
          <w:highlight w:val="none"/>
          <w:u w:val="none"/>
          <w:lang w:val="en-US" w:eastAsia="zh-CN"/>
        </w:rPr>
      </w:pPr>
      <w:r>
        <w:rPr>
          <w:rFonts w:hint="eastAsia" w:ascii="宋体" w:hAnsi="宋体" w:cs="宋体"/>
          <w:b w:val="0"/>
          <w:bCs w:val="0"/>
          <w:color w:val="auto"/>
          <w:sz w:val="21"/>
          <w:szCs w:val="21"/>
          <w:highlight w:val="none"/>
          <w:u w:val="none"/>
          <w:lang w:val="en-US" w:eastAsia="zh-CN"/>
        </w:rPr>
        <w:t>（1）本项目实行全流程电子化采购，供应商通过“广西政府采购云平台”参与电子竞标，并应做好以下相关准备工作：①在“广西政府采购云平台”注册成为正式供应商（操作方法详见广西壮族自治区政府采购网—办事服务—办事指南）；②完成CA证书申领和绑定（费用由供应商自行承担，办理流程详见广西壮族自治区政府采购网—办事服务—下载专区，完成CA证书办理预计一周左右，建议供应商尽快办理）；③下载“广西壮族自治区全流程电子招投标项目管理系统--供应商客户端”（操作方法详见广西壮族自治区政府采购网—办事服务—下载专区，以下称“广西政府采购云平台电子投标客户端”）并安装成功，供应商应当在响应文件提交截止时间前在“广西政府采购云平台”完成身份认证，确保能够对相关数据电文进行加密和使用电子签章；④自备计算机和网络设备并确保能接入互联网（费用由供应商自行承担，设备确保可进行视频通话和读取广西政府采购云平台CA证书）。因供应商未做好相关准备工作等自身原因导致无法参加本项目电子竞标或竞标失败的，造成的一切后果，由供应商自行承担。</w:t>
      </w:r>
    </w:p>
    <w:p w14:paraId="12B94242">
      <w:pPr>
        <w:pStyle w:val="23"/>
        <w:keepNext w:val="0"/>
        <w:keepLines w:val="0"/>
        <w:pageBreakBefore w:val="0"/>
        <w:widowControl w:val="0"/>
        <w:kinsoku/>
        <w:wordWrap/>
        <w:overflowPunct/>
        <w:topLinePunct w:val="0"/>
        <w:bidi w:val="0"/>
        <w:snapToGrid/>
        <w:spacing w:line="400" w:lineRule="exact"/>
        <w:ind w:firstLine="420" w:firstLineChars="200"/>
        <w:textAlignment w:val="auto"/>
        <w:rPr>
          <w:rFonts w:hint="eastAsia" w:ascii="宋体" w:hAnsi="宋体" w:cs="宋体"/>
          <w:b w:val="0"/>
          <w:bCs w:val="0"/>
          <w:color w:val="auto"/>
          <w:sz w:val="21"/>
          <w:szCs w:val="21"/>
          <w:highlight w:val="none"/>
          <w:u w:val="none"/>
          <w:lang w:val="en-US" w:eastAsia="zh-CN"/>
        </w:rPr>
      </w:pPr>
      <w:r>
        <w:rPr>
          <w:rFonts w:hint="eastAsia" w:ascii="宋体" w:hAnsi="宋体" w:cs="宋体"/>
          <w:b w:val="0"/>
          <w:bCs w:val="0"/>
          <w:color w:val="auto"/>
          <w:sz w:val="21"/>
          <w:szCs w:val="21"/>
          <w:highlight w:val="none"/>
          <w:u w:val="none"/>
          <w:lang w:val="en-US" w:eastAsia="zh-CN"/>
        </w:rPr>
        <w:t>（2）电子竞标具体操作流程参考《政府采购项目电子交易管理操作指南-供应商》；如遇平台技术问题详询95763。</w:t>
      </w:r>
    </w:p>
    <w:p w14:paraId="25C0F9A8">
      <w:pPr>
        <w:pStyle w:val="23"/>
        <w:keepNext w:val="0"/>
        <w:keepLines w:val="0"/>
        <w:pageBreakBefore w:val="0"/>
        <w:widowControl w:val="0"/>
        <w:kinsoku/>
        <w:wordWrap/>
        <w:overflowPunct/>
        <w:topLinePunct w:val="0"/>
        <w:bidi w:val="0"/>
        <w:snapToGrid/>
        <w:spacing w:line="400" w:lineRule="exact"/>
        <w:ind w:firstLine="420" w:firstLineChars="200"/>
        <w:textAlignment w:val="auto"/>
        <w:rPr>
          <w:rFonts w:hint="eastAsia" w:ascii="宋体" w:hAnsi="宋体" w:cs="宋体"/>
          <w:b w:val="0"/>
          <w:bCs w:val="0"/>
          <w:color w:val="auto"/>
          <w:sz w:val="21"/>
          <w:szCs w:val="21"/>
          <w:highlight w:val="none"/>
          <w:u w:val="none"/>
          <w:lang w:val="en-US" w:eastAsia="zh-CN"/>
        </w:rPr>
      </w:pPr>
      <w:r>
        <w:rPr>
          <w:rFonts w:hint="eastAsia" w:ascii="宋体" w:hAnsi="宋体" w:cs="宋体"/>
          <w:b w:val="0"/>
          <w:bCs w:val="0"/>
          <w:color w:val="auto"/>
          <w:sz w:val="21"/>
          <w:szCs w:val="21"/>
          <w:highlight w:val="none"/>
          <w:u w:val="none"/>
          <w:lang w:val="en-US" w:eastAsia="zh-CN"/>
        </w:rPr>
        <w:t>（3）电子响应文件的制作、加密、提交、解密等相关事宜详见第二章 “磋商供应商须知”。</w:t>
      </w:r>
    </w:p>
    <w:p w14:paraId="167448AC">
      <w:pPr>
        <w:pStyle w:val="23"/>
        <w:keepNext w:val="0"/>
        <w:keepLines w:val="0"/>
        <w:pageBreakBefore w:val="0"/>
        <w:widowControl w:val="0"/>
        <w:kinsoku/>
        <w:wordWrap/>
        <w:overflowPunct/>
        <w:topLinePunct w:val="0"/>
        <w:bidi w:val="0"/>
        <w:snapToGrid/>
        <w:spacing w:line="400" w:lineRule="exact"/>
        <w:ind w:firstLine="420" w:firstLineChars="200"/>
        <w:textAlignment w:val="auto"/>
        <w:rPr>
          <w:rFonts w:hint="eastAsia" w:ascii="宋体" w:hAnsi="宋体" w:eastAsia="宋体" w:cs="宋体"/>
          <w:b w:val="0"/>
          <w:bCs w:val="0"/>
          <w:color w:val="auto"/>
          <w:sz w:val="21"/>
          <w:szCs w:val="21"/>
          <w:highlight w:val="none"/>
          <w:u w:val="none"/>
          <w:lang w:val="en-US" w:eastAsia="zh-CN"/>
        </w:rPr>
      </w:pPr>
      <w:r>
        <w:rPr>
          <w:rFonts w:hint="eastAsia" w:ascii="宋体" w:hAnsi="宋体" w:cs="宋体"/>
          <w:b w:val="0"/>
          <w:bCs w:val="0"/>
          <w:color w:val="auto"/>
          <w:sz w:val="21"/>
          <w:szCs w:val="21"/>
          <w:highlight w:val="none"/>
          <w:u w:val="none"/>
          <w:lang w:val="en-US" w:eastAsia="zh-CN"/>
        </w:rPr>
        <w:t>5.本项目需要磋商供应商代表在截标当天截标后，按磋商小组要求及时登录广西政府采购云平台等候在线磋商及提交最后报价。</w:t>
      </w:r>
    </w:p>
    <w:p w14:paraId="05771F78">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422" w:firstLineChars="200"/>
        <w:textAlignment w:val="auto"/>
        <w:rPr>
          <w:rFonts w:hint="eastAsia" w:ascii="宋体" w:hAnsi="宋体" w:eastAsia="宋体" w:cs="宋体"/>
          <w:color w:val="auto"/>
          <w:sz w:val="21"/>
          <w:szCs w:val="21"/>
          <w:highlight w:val="none"/>
        </w:rPr>
      </w:pPr>
      <w:r>
        <w:rPr>
          <w:rFonts w:hint="eastAsia" w:ascii="宋体" w:hAnsi="宋体" w:eastAsia="宋体" w:cs="宋体"/>
          <w:b/>
          <w:bCs/>
          <w:color w:val="auto"/>
          <w:kern w:val="2"/>
          <w:sz w:val="21"/>
          <w:szCs w:val="21"/>
          <w:highlight w:val="none"/>
          <w:lang w:val="en-US" w:eastAsia="zh-CN" w:bidi="ar-SA"/>
        </w:rPr>
        <w:t>八、</w:t>
      </w:r>
      <w:r>
        <w:rPr>
          <w:rFonts w:hint="eastAsia" w:ascii="宋体" w:hAnsi="宋体" w:eastAsia="宋体" w:cs="宋体"/>
          <w:b/>
          <w:bCs/>
          <w:color w:val="auto"/>
          <w:sz w:val="21"/>
          <w:szCs w:val="21"/>
          <w:highlight w:val="none"/>
        </w:rPr>
        <w:t>凡对本次采购提出询问，请按以下方式联系。</w:t>
      </w:r>
      <w:bookmarkEnd w:id="20"/>
      <w:bookmarkEnd w:id="21"/>
      <w:bookmarkEnd w:id="22"/>
      <w:bookmarkEnd w:id="23"/>
    </w:p>
    <w:p w14:paraId="27177F8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采购人信息</w:t>
      </w:r>
    </w:p>
    <w:p w14:paraId="1880EFE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lang w:val="en-US" w:eastAsia="zh-CN"/>
        </w:rPr>
      </w:pPr>
      <w:bookmarkStart w:id="34" w:name="_Toc32670"/>
      <w:r>
        <w:rPr>
          <w:rFonts w:hint="eastAsia" w:ascii="宋体" w:hAnsi="宋体" w:eastAsia="宋体" w:cs="宋体"/>
          <w:color w:val="auto"/>
          <w:sz w:val="21"/>
          <w:szCs w:val="21"/>
          <w:highlight w:val="none"/>
        </w:rPr>
        <w:t>名称：</w:t>
      </w:r>
      <w:r>
        <w:rPr>
          <w:rFonts w:hint="eastAsia" w:ascii="宋体" w:hAnsi="宋体" w:eastAsia="宋体" w:cs="宋体"/>
          <w:color w:val="auto"/>
          <w:sz w:val="21"/>
          <w:szCs w:val="21"/>
          <w:highlight w:val="none"/>
          <w:lang w:val="zh-CN"/>
        </w:rPr>
        <w:t>资源县中峰镇人民政府</w:t>
      </w:r>
    </w:p>
    <w:p w14:paraId="657501D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地址：</w:t>
      </w:r>
      <w:r>
        <w:rPr>
          <w:rFonts w:hint="eastAsia" w:ascii="宋体" w:hAnsi="宋体" w:cs="宋体"/>
          <w:color w:val="auto"/>
          <w:sz w:val="21"/>
          <w:szCs w:val="21"/>
          <w:highlight w:val="none"/>
          <w:lang w:val="en-US" w:eastAsia="zh-CN"/>
        </w:rPr>
        <w:t>资源县中峰镇中峰村油榨坪</w:t>
      </w:r>
    </w:p>
    <w:p w14:paraId="7FD1D48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联系人：刘钰榕</w:t>
      </w:r>
      <w:r>
        <w:rPr>
          <w:rFonts w:hint="eastAsia" w:ascii="宋体" w:hAnsi="宋体" w:cs="宋体"/>
          <w:color w:val="auto"/>
          <w:sz w:val="21"/>
          <w:szCs w:val="21"/>
          <w:highlight w:val="none"/>
          <w:lang w:val="en-US" w:eastAsia="zh-CN"/>
        </w:rPr>
        <w:t xml:space="preserve"> </w:t>
      </w:r>
    </w:p>
    <w:p w14:paraId="4B51BC2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rPr>
        <w:t>联系电话：0773</w:t>
      </w:r>
      <w:r>
        <w:rPr>
          <w:rFonts w:hint="eastAsia" w:ascii="宋体" w:hAnsi="宋体" w:cs="宋体"/>
          <w:color w:val="auto"/>
          <w:sz w:val="21"/>
          <w:szCs w:val="21"/>
          <w:highlight w:val="none"/>
          <w:lang w:val="en-US" w:eastAsia="zh-CN"/>
        </w:rPr>
        <w:t>-</w:t>
      </w:r>
      <w:r>
        <w:rPr>
          <w:rFonts w:hint="eastAsia" w:ascii="宋体" w:hAnsi="宋体" w:eastAsia="宋体" w:cs="宋体"/>
          <w:color w:val="auto"/>
          <w:sz w:val="21"/>
          <w:szCs w:val="21"/>
          <w:highlight w:val="none"/>
        </w:rPr>
        <w:t>4381018</w:t>
      </w:r>
      <w:r>
        <w:rPr>
          <w:rFonts w:hint="eastAsia" w:ascii="宋体" w:hAnsi="宋体" w:cs="宋体"/>
          <w:color w:val="auto"/>
          <w:sz w:val="21"/>
          <w:szCs w:val="21"/>
          <w:highlight w:val="none"/>
          <w:lang w:val="en-US" w:eastAsia="zh-CN"/>
        </w:rPr>
        <w:t xml:space="preserve"> </w:t>
      </w:r>
    </w:p>
    <w:p w14:paraId="46F2F36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采购代理机构信息</w:t>
      </w:r>
    </w:p>
    <w:p w14:paraId="0EC4A5E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名称：</w:t>
      </w:r>
      <w:r>
        <w:rPr>
          <w:rFonts w:hint="eastAsia" w:ascii="宋体" w:hAnsi="宋体" w:cs="宋体"/>
          <w:color w:val="auto"/>
          <w:sz w:val="21"/>
          <w:szCs w:val="21"/>
          <w:highlight w:val="none"/>
          <w:lang w:eastAsia="zh-CN"/>
        </w:rPr>
        <w:t>广西高质建设管理咨询有限公司</w:t>
      </w:r>
    </w:p>
    <w:p w14:paraId="7DE0FD93">
      <w:pPr>
        <w:keepNext w:val="0"/>
        <w:keepLines w:val="0"/>
        <w:pageBreakBefore w:val="0"/>
        <w:widowControl w:val="0"/>
        <w:kinsoku/>
        <w:wordWrap/>
        <w:overflowPunct/>
        <w:topLinePunct w:val="0"/>
        <w:autoSpaceDE/>
        <w:autoSpaceDN/>
        <w:bidi w:val="0"/>
        <w:adjustRightInd/>
        <w:snapToGrid/>
        <w:spacing w:line="40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地址：桂林市七星区朝阳路高新区信息产业园</w:t>
      </w:r>
    </w:p>
    <w:p w14:paraId="6A3AF9FB">
      <w:pPr>
        <w:keepNext w:val="0"/>
        <w:keepLines w:val="0"/>
        <w:pageBreakBefore w:val="0"/>
        <w:widowControl w:val="0"/>
        <w:kinsoku/>
        <w:wordWrap/>
        <w:overflowPunct/>
        <w:topLinePunct w:val="0"/>
        <w:autoSpaceDE/>
        <w:autoSpaceDN/>
        <w:bidi w:val="0"/>
        <w:adjustRightInd/>
        <w:snapToGrid/>
        <w:spacing w:line="40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项目联系人：</w:t>
      </w:r>
      <w:r>
        <w:rPr>
          <w:rFonts w:hint="eastAsia" w:ascii="宋体" w:hAnsi="宋体" w:cs="宋体"/>
          <w:color w:val="auto"/>
          <w:sz w:val="21"/>
          <w:szCs w:val="21"/>
          <w:highlight w:val="none"/>
          <w:lang w:val="en-US" w:eastAsia="zh-CN"/>
        </w:rPr>
        <w:t>韦靖</w:t>
      </w:r>
      <w:r>
        <w:rPr>
          <w:rFonts w:hint="eastAsia" w:ascii="宋体" w:hAnsi="宋体" w:eastAsia="宋体" w:cs="宋体"/>
          <w:color w:val="auto"/>
          <w:sz w:val="21"/>
          <w:szCs w:val="21"/>
          <w:highlight w:val="none"/>
        </w:rPr>
        <w:t xml:space="preserve">    </w:t>
      </w:r>
    </w:p>
    <w:p w14:paraId="720423E7">
      <w:pPr>
        <w:keepNext w:val="0"/>
        <w:keepLines w:val="0"/>
        <w:pageBreakBefore w:val="0"/>
        <w:widowControl w:val="0"/>
        <w:kinsoku/>
        <w:wordWrap/>
        <w:overflowPunct/>
        <w:topLinePunct w:val="0"/>
        <w:autoSpaceDE/>
        <w:autoSpaceDN/>
        <w:bidi w:val="0"/>
        <w:adjustRightInd/>
        <w:snapToGrid/>
        <w:spacing w:line="400" w:lineRule="exact"/>
        <w:ind w:left="0" w:leftChars="0"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rPr>
        <w:t>联系电话</w:t>
      </w:r>
      <w:r>
        <w:rPr>
          <w:rFonts w:hint="eastAsia" w:ascii="宋体" w:hAnsi="宋体" w:eastAsia="宋体" w:cs="宋体"/>
          <w:color w:val="auto"/>
          <w:sz w:val="21"/>
          <w:szCs w:val="21"/>
          <w:highlight w:val="none"/>
          <w:lang w:eastAsia="zh-CN"/>
        </w:rPr>
        <w:t>：0773-587</w:t>
      </w:r>
      <w:r>
        <w:rPr>
          <w:rFonts w:hint="eastAsia" w:ascii="宋体" w:hAnsi="宋体" w:cs="宋体"/>
          <w:color w:val="auto"/>
          <w:sz w:val="21"/>
          <w:szCs w:val="21"/>
          <w:highlight w:val="none"/>
          <w:lang w:val="en-US" w:eastAsia="zh-CN"/>
        </w:rPr>
        <w:t>5190</w:t>
      </w:r>
      <w:r>
        <w:rPr>
          <w:rFonts w:hint="eastAsia" w:ascii="宋体" w:hAnsi="宋体" w:eastAsia="宋体" w:cs="宋体"/>
          <w:color w:val="auto"/>
          <w:sz w:val="21"/>
          <w:szCs w:val="21"/>
          <w:highlight w:val="none"/>
          <w:lang w:val="en-US" w:eastAsia="zh-CN"/>
        </w:rPr>
        <w:t xml:space="preserve">                    </w:t>
      </w:r>
    </w:p>
    <w:p w14:paraId="4DBD14C0">
      <w:pPr>
        <w:keepNext w:val="0"/>
        <w:keepLines w:val="0"/>
        <w:pageBreakBefore w:val="0"/>
        <w:kinsoku/>
        <w:wordWrap/>
        <w:overflowPunct/>
        <w:topLinePunct w:val="0"/>
        <w:autoSpaceDE/>
        <w:autoSpaceDN/>
        <w:bidi w:val="0"/>
        <w:adjustRightInd/>
        <w:snapToGrid/>
        <w:spacing w:line="340" w:lineRule="exact"/>
        <w:ind w:left="0" w:leftChars="0" w:firstLine="420" w:firstLineChars="200"/>
        <w:jc w:val="left"/>
        <w:textAlignment w:val="auto"/>
        <w:outlineLvl w:val="0"/>
        <w:rPr>
          <w:rFonts w:hint="eastAsia" w:ascii="宋体" w:hAnsi="宋体" w:eastAsia="宋体" w:cs="宋体"/>
          <w:b w:val="0"/>
          <w:bCs/>
          <w:i w:val="0"/>
          <w:iCs w:val="0"/>
          <w:color w:val="auto"/>
          <w:sz w:val="21"/>
          <w:szCs w:val="21"/>
          <w:highlight w:val="none"/>
        </w:rPr>
      </w:pPr>
      <w:bookmarkStart w:id="35" w:name="_Toc32438"/>
      <w:bookmarkStart w:id="36" w:name="_Toc27588"/>
      <w:r>
        <w:rPr>
          <w:rFonts w:hint="eastAsia" w:ascii="宋体" w:hAnsi="宋体" w:eastAsia="宋体" w:cs="宋体"/>
          <w:b w:val="0"/>
          <w:bCs/>
          <w:i w:val="0"/>
          <w:iCs w:val="0"/>
          <w:color w:val="auto"/>
          <w:sz w:val="21"/>
          <w:szCs w:val="21"/>
          <w:highlight w:val="none"/>
          <w:lang w:val="en-US" w:eastAsia="zh-CN"/>
        </w:rPr>
        <w:t>3.</w:t>
      </w:r>
      <w:r>
        <w:rPr>
          <w:rFonts w:hint="eastAsia" w:ascii="宋体" w:hAnsi="宋体" w:eastAsia="宋体" w:cs="宋体"/>
          <w:b w:val="0"/>
          <w:bCs/>
          <w:i w:val="0"/>
          <w:iCs w:val="0"/>
          <w:color w:val="auto"/>
          <w:sz w:val="21"/>
          <w:szCs w:val="21"/>
          <w:highlight w:val="none"/>
        </w:rPr>
        <w:t>监督管理机构：</w:t>
      </w:r>
      <w:bookmarkEnd w:id="35"/>
      <w:bookmarkEnd w:id="36"/>
    </w:p>
    <w:p w14:paraId="605B50A4">
      <w:pPr>
        <w:keepNext w:val="0"/>
        <w:keepLines w:val="0"/>
        <w:pageBreakBefore w:val="0"/>
        <w:kinsoku/>
        <w:wordWrap/>
        <w:overflowPunct/>
        <w:topLinePunct w:val="0"/>
        <w:autoSpaceDE/>
        <w:autoSpaceDN/>
        <w:bidi w:val="0"/>
        <w:adjustRightInd/>
        <w:snapToGrid/>
        <w:spacing w:line="340" w:lineRule="exact"/>
        <w:ind w:firstLine="420"/>
        <w:jc w:val="left"/>
        <w:textAlignment w:val="auto"/>
        <w:outlineLvl w:val="0"/>
        <w:rPr>
          <w:rFonts w:hint="eastAsia" w:ascii="宋体" w:hAnsi="宋体" w:eastAsia="宋体" w:cs="宋体"/>
          <w:color w:val="auto"/>
          <w:szCs w:val="21"/>
          <w:highlight w:val="none"/>
        </w:rPr>
      </w:pPr>
      <w:bookmarkStart w:id="37" w:name="_Toc8483"/>
      <w:r>
        <w:rPr>
          <w:rFonts w:hint="eastAsia" w:ascii="宋体" w:hAnsi="宋体" w:eastAsia="宋体" w:cs="宋体"/>
          <w:color w:val="auto"/>
          <w:szCs w:val="21"/>
          <w:highlight w:val="none"/>
          <w:lang w:val="en-US" w:eastAsia="zh-CN"/>
        </w:rPr>
        <w:t>资源县政府采购管理办公室</w:t>
      </w:r>
      <w:r>
        <w:rPr>
          <w:rFonts w:hint="eastAsia" w:ascii="宋体" w:hAnsi="宋体" w:eastAsia="宋体" w:cs="宋体"/>
          <w:color w:val="auto"/>
          <w:szCs w:val="21"/>
          <w:highlight w:val="none"/>
        </w:rPr>
        <w:t xml:space="preserve"> </w:t>
      </w:r>
      <w:r>
        <w:rPr>
          <w:rFonts w:hint="eastAsia" w:ascii="宋体" w:hAnsi="宋体" w:eastAsia="宋体" w:cs="宋体"/>
          <w:color w:val="auto"/>
          <w:szCs w:val="21"/>
          <w:highlight w:val="none"/>
          <w:lang w:val="en-US" w:eastAsia="zh-CN"/>
        </w:rPr>
        <w:t xml:space="preserve">         </w:t>
      </w:r>
      <w:r>
        <w:rPr>
          <w:rFonts w:hint="eastAsia" w:ascii="宋体" w:hAnsi="宋体" w:eastAsia="宋体" w:cs="宋体"/>
          <w:color w:val="auto"/>
          <w:szCs w:val="21"/>
          <w:highlight w:val="none"/>
        </w:rPr>
        <w:t>电话：</w:t>
      </w:r>
      <w:bookmarkEnd w:id="37"/>
      <w:r>
        <w:rPr>
          <w:rFonts w:hint="eastAsia" w:ascii="宋体" w:hAnsi="宋体" w:eastAsia="宋体" w:cs="宋体"/>
          <w:color w:val="auto"/>
          <w:szCs w:val="21"/>
          <w:highlight w:val="none"/>
          <w:lang w:val="en-US" w:eastAsia="zh-CN"/>
        </w:rPr>
        <w:t>0773-4315648</w:t>
      </w:r>
    </w:p>
    <w:p w14:paraId="17264B03">
      <w:pPr>
        <w:keepNext w:val="0"/>
        <w:keepLines w:val="0"/>
        <w:pageBreakBefore w:val="0"/>
        <w:kinsoku/>
        <w:wordWrap/>
        <w:overflowPunct/>
        <w:topLinePunct w:val="0"/>
        <w:autoSpaceDE/>
        <w:autoSpaceDN/>
        <w:bidi w:val="0"/>
        <w:adjustRightInd/>
        <w:snapToGrid/>
        <w:spacing w:line="340" w:lineRule="exact"/>
        <w:ind w:firstLine="420"/>
        <w:jc w:val="left"/>
        <w:textAlignment w:val="auto"/>
        <w:outlineLvl w:val="0"/>
        <w:rPr>
          <w:rFonts w:hint="eastAsia" w:ascii="宋体" w:hAnsi="宋体" w:eastAsia="宋体" w:cs="宋体"/>
          <w:b w:val="0"/>
          <w:bCs/>
          <w:i w:val="0"/>
          <w:iCs w:val="0"/>
          <w:color w:val="auto"/>
          <w:sz w:val="21"/>
          <w:szCs w:val="21"/>
          <w:highlight w:val="none"/>
          <w:lang w:eastAsia="zh-CN"/>
        </w:rPr>
      </w:pPr>
    </w:p>
    <w:bookmarkEnd w:id="34"/>
    <w:p w14:paraId="4D216AF3">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 xml:space="preserve">                                   </w:t>
      </w:r>
    </w:p>
    <w:p w14:paraId="0770EE14">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righ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20</w:t>
      </w:r>
      <w:r>
        <w:rPr>
          <w:rFonts w:hint="eastAsia" w:ascii="宋体" w:hAnsi="宋体" w:eastAsia="宋体" w:cs="宋体"/>
          <w:color w:val="auto"/>
          <w:sz w:val="21"/>
          <w:szCs w:val="21"/>
          <w:highlight w:val="none"/>
          <w:lang w:val="en-US" w:eastAsia="zh-CN"/>
        </w:rPr>
        <w:t>24</w:t>
      </w:r>
      <w:r>
        <w:rPr>
          <w:rFonts w:hint="eastAsia" w:ascii="宋体" w:hAnsi="宋体" w:eastAsia="宋体" w:cs="宋体"/>
          <w:color w:val="auto"/>
          <w:sz w:val="21"/>
          <w:szCs w:val="21"/>
          <w:highlight w:val="none"/>
        </w:rPr>
        <w:t>年</w:t>
      </w:r>
      <w:r>
        <w:rPr>
          <w:rFonts w:hint="eastAsia" w:ascii="宋体" w:hAnsi="宋体" w:cs="宋体"/>
          <w:color w:val="auto"/>
          <w:sz w:val="21"/>
          <w:szCs w:val="21"/>
          <w:highlight w:val="none"/>
          <w:lang w:val="en-US" w:eastAsia="zh-CN"/>
        </w:rPr>
        <w:t>10</w:t>
      </w:r>
      <w:r>
        <w:rPr>
          <w:rFonts w:hint="eastAsia" w:ascii="宋体" w:hAnsi="宋体" w:eastAsia="宋体" w:cs="宋体"/>
          <w:color w:val="auto"/>
          <w:sz w:val="21"/>
          <w:szCs w:val="21"/>
          <w:highlight w:val="none"/>
        </w:rPr>
        <w:t>月</w:t>
      </w:r>
      <w:r>
        <w:rPr>
          <w:rFonts w:hint="eastAsia" w:ascii="宋体" w:hAnsi="宋体" w:cs="宋体"/>
          <w:color w:val="auto"/>
          <w:sz w:val="21"/>
          <w:szCs w:val="21"/>
          <w:highlight w:val="none"/>
          <w:lang w:val="en-US" w:eastAsia="zh-CN"/>
        </w:rPr>
        <w:t>24</w:t>
      </w:r>
      <w:r>
        <w:rPr>
          <w:rFonts w:hint="eastAsia" w:ascii="宋体" w:hAnsi="宋体" w:eastAsia="宋体" w:cs="宋体"/>
          <w:color w:val="auto"/>
          <w:sz w:val="21"/>
          <w:szCs w:val="21"/>
          <w:highlight w:val="none"/>
        </w:rPr>
        <w:t>日</w:t>
      </w:r>
      <w:bookmarkStart w:id="38" w:name="_Toc26924"/>
    </w:p>
    <w:p w14:paraId="430B641E">
      <w:pPr>
        <w:pStyle w:val="5"/>
        <w:rPr>
          <w:rFonts w:hint="eastAsia" w:ascii="宋体" w:hAnsi="宋体" w:eastAsia="宋体" w:cs="宋体"/>
          <w:color w:val="auto"/>
          <w:sz w:val="21"/>
          <w:szCs w:val="21"/>
          <w:highlight w:val="none"/>
        </w:rPr>
      </w:pPr>
    </w:p>
    <w:p w14:paraId="15EF25C9">
      <w:pPr>
        <w:rPr>
          <w:rFonts w:hint="eastAsia" w:ascii="宋体" w:hAnsi="宋体" w:eastAsia="宋体" w:cs="宋体"/>
          <w:color w:val="auto"/>
          <w:sz w:val="21"/>
          <w:szCs w:val="21"/>
          <w:highlight w:val="none"/>
        </w:rPr>
      </w:pPr>
    </w:p>
    <w:p w14:paraId="679E0B84">
      <w:pPr>
        <w:pStyle w:val="5"/>
        <w:rPr>
          <w:rFonts w:hint="eastAsia" w:ascii="宋体" w:hAnsi="宋体" w:eastAsia="宋体" w:cs="宋体"/>
          <w:color w:val="auto"/>
          <w:sz w:val="21"/>
          <w:szCs w:val="21"/>
          <w:highlight w:val="none"/>
        </w:rPr>
      </w:pPr>
    </w:p>
    <w:p w14:paraId="3A83BAE4">
      <w:pPr>
        <w:rPr>
          <w:rFonts w:hint="eastAsia" w:ascii="宋体" w:hAnsi="宋体" w:eastAsia="宋体" w:cs="宋体"/>
          <w:color w:val="auto"/>
          <w:sz w:val="21"/>
          <w:szCs w:val="21"/>
          <w:highlight w:val="none"/>
        </w:rPr>
      </w:pPr>
    </w:p>
    <w:p w14:paraId="4652FA67">
      <w:pPr>
        <w:pStyle w:val="5"/>
        <w:rPr>
          <w:rFonts w:hint="eastAsia" w:ascii="宋体" w:hAnsi="宋体" w:eastAsia="宋体" w:cs="宋体"/>
          <w:color w:val="auto"/>
          <w:sz w:val="21"/>
          <w:szCs w:val="21"/>
          <w:highlight w:val="none"/>
        </w:rPr>
      </w:pPr>
    </w:p>
    <w:p w14:paraId="66230B62">
      <w:pPr>
        <w:rPr>
          <w:rFonts w:hint="eastAsia" w:ascii="宋体" w:hAnsi="宋体" w:eastAsia="宋体" w:cs="宋体"/>
          <w:color w:val="auto"/>
          <w:sz w:val="21"/>
          <w:szCs w:val="21"/>
          <w:highlight w:val="none"/>
        </w:rPr>
      </w:pPr>
    </w:p>
    <w:p w14:paraId="7AEE569F">
      <w:pPr>
        <w:pStyle w:val="2"/>
        <w:keepNext/>
        <w:keepLines/>
        <w:pageBreakBefore w:val="0"/>
        <w:widowControl w:val="0"/>
        <w:numPr>
          <w:ilvl w:val="0"/>
          <w:numId w:val="0"/>
        </w:numPr>
        <w:kinsoku/>
        <w:wordWrap/>
        <w:overflowPunct/>
        <w:topLinePunct w:val="0"/>
        <w:autoSpaceDE/>
        <w:autoSpaceDN/>
        <w:bidi w:val="0"/>
        <w:adjustRightInd/>
        <w:snapToGrid/>
        <w:spacing w:line="400" w:lineRule="exact"/>
        <w:jc w:val="both"/>
        <w:textAlignment w:val="auto"/>
        <w:rPr>
          <w:rFonts w:hint="eastAsia" w:ascii="宋体" w:hAnsi="宋体" w:eastAsia="宋体" w:cs="宋体"/>
          <w:color w:val="auto"/>
          <w:sz w:val="21"/>
          <w:szCs w:val="21"/>
          <w:highlight w:val="none"/>
          <w:lang w:eastAsia="zh-CN"/>
        </w:rPr>
      </w:pPr>
    </w:p>
    <w:p w14:paraId="391D4D79">
      <w:pPr>
        <w:rPr>
          <w:rFonts w:hint="eastAsia" w:ascii="宋体" w:hAnsi="宋体" w:eastAsia="宋体" w:cs="宋体"/>
          <w:color w:val="auto"/>
          <w:sz w:val="21"/>
          <w:szCs w:val="21"/>
          <w:highlight w:val="none"/>
          <w:lang w:eastAsia="zh-CN"/>
        </w:rPr>
      </w:pPr>
    </w:p>
    <w:p w14:paraId="062BE080">
      <w:pPr>
        <w:pStyle w:val="8"/>
        <w:rPr>
          <w:rFonts w:hint="eastAsia" w:ascii="宋体" w:hAnsi="宋体" w:eastAsia="宋体" w:cs="宋体"/>
          <w:color w:val="auto"/>
          <w:sz w:val="21"/>
          <w:szCs w:val="21"/>
          <w:highlight w:val="none"/>
          <w:lang w:eastAsia="zh-CN"/>
        </w:rPr>
      </w:pPr>
    </w:p>
    <w:p w14:paraId="48D56FDA">
      <w:pPr>
        <w:rPr>
          <w:rFonts w:hint="eastAsia" w:ascii="宋体" w:hAnsi="宋体" w:eastAsia="宋体" w:cs="宋体"/>
          <w:color w:val="auto"/>
          <w:sz w:val="21"/>
          <w:szCs w:val="21"/>
          <w:highlight w:val="none"/>
          <w:lang w:eastAsia="zh-CN"/>
        </w:rPr>
      </w:pPr>
    </w:p>
    <w:p w14:paraId="0ECE54EF">
      <w:pPr>
        <w:pStyle w:val="8"/>
        <w:rPr>
          <w:rFonts w:hint="eastAsia"/>
          <w:color w:val="auto"/>
          <w:highlight w:val="none"/>
          <w:lang w:eastAsia="zh-CN"/>
        </w:rPr>
      </w:pPr>
    </w:p>
    <w:p w14:paraId="47618DD5">
      <w:pPr>
        <w:pStyle w:val="2"/>
        <w:numPr>
          <w:ilvl w:val="0"/>
          <w:numId w:val="0"/>
        </w:numPr>
        <w:tabs>
          <w:tab w:val="left" w:pos="0"/>
        </w:tabs>
        <w:autoSpaceDE w:val="0"/>
        <w:autoSpaceDN w:val="0"/>
        <w:adjustRightInd w:val="0"/>
        <w:spacing w:before="0" w:after="0" w:line="360" w:lineRule="auto"/>
        <w:ind w:left="425" w:leftChars="0"/>
        <w:jc w:val="center"/>
        <w:rPr>
          <w:rFonts w:hint="eastAsia" w:ascii="宋体" w:hAnsi="宋体" w:eastAsia="宋体" w:cs="宋体"/>
          <w:color w:val="auto"/>
          <w:sz w:val="28"/>
          <w:szCs w:val="28"/>
          <w:highlight w:val="none"/>
          <w:lang w:eastAsia="zh-CN"/>
        </w:rPr>
      </w:pPr>
      <w:bookmarkStart w:id="39" w:name="_Toc16146"/>
      <w:r>
        <w:rPr>
          <w:rFonts w:hint="eastAsia" w:ascii="宋体" w:hAnsi="宋体" w:eastAsia="宋体" w:cs="宋体"/>
          <w:color w:val="auto"/>
          <w:sz w:val="28"/>
          <w:szCs w:val="28"/>
          <w:highlight w:val="none"/>
          <w:lang w:eastAsia="zh-CN"/>
        </w:rPr>
        <w:t>第二章</w:t>
      </w:r>
      <w:r>
        <w:rPr>
          <w:rFonts w:hint="eastAsia" w:ascii="宋体" w:hAnsi="宋体" w:eastAsia="宋体" w:cs="宋体"/>
          <w:color w:val="auto"/>
          <w:sz w:val="28"/>
          <w:szCs w:val="28"/>
          <w:highlight w:val="none"/>
          <w:lang w:val="en-US" w:eastAsia="zh-CN"/>
        </w:rPr>
        <w:t xml:space="preserve"> </w:t>
      </w:r>
      <w:r>
        <w:rPr>
          <w:rFonts w:hint="eastAsia" w:ascii="宋体" w:hAnsi="宋体" w:eastAsia="宋体" w:cs="宋体"/>
          <w:color w:val="auto"/>
          <w:sz w:val="28"/>
          <w:szCs w:val="28"/>
          <w:highlight w:val="none"/>
          <w:lang w:eastAsia="zh-CN"/>
        </w:rPr>
        <w:t>供应商须知</w:t>
      </w:r>
      <w:bookmarkEnd w:id="39"/>
    </w:p>
    <w:p w14:paraId="3604E5C1">
      <w:pPr>
        <w:pStyle w:val="3"/>
        <w:keepNext/>
        <w:keepLines/>
        <w:pageBreakBefore w:val="0"/>
        <w:widowControl w:val="0"/>
        <w:tabs>
          <w:tab w:val="left" w:pos="567"/>
        </w:tabs>
        <w:kinsoku/>
        <w:wordWrap/>
        <w:overflowPunct/>
        <w:topLinePunct w:val="0"/>
        <w:autoSpaceDE/>
        <w:autoSpaceDN/>
        <w:bidi w:val="0"/>
        <w:adjustRightInd/>
        <w:snapToGrid/>
        <w:spacing w:before="0" w:after="0" w:line="400" w:lineRule="exact"/>
        <w:jc w:val="center"/>
        <w:textAlignment w:val="auto"/>
        <w:rPr>
          <w:rFonts w:hint="eastAsia" w:ascii="宋体" w:hAnsi="宋体" w:eastAsia="宋体" w:cs="宋体"/>
          <w:color w:val="auto"/>
          <w:sz w:val="21"/>
          <w:szCs w:val="21"/>
          <w:highlight w:val="none"/>
          <w:lang w:eastAsia="zh-CN"/>
        </w:rPr>
      </w:pPr>
      <w:bookmarkStart w:id="40" w:name="_Toc25063"/>
      <w:bookmarkStart w:id="41" w:name="_Toc23030"/>
      <w:bookmarkStart w:id="42" w:name="_Toc13547"/>
      <w:bookmarkStart w:id="43" w:name="_Toc1585"/>
      <w:bookmarkStart w:id="44" w:name="_Toc9508"/>
      <w:r>
        <w:rPr>
          <w:rFonts w:hint="eastAsia" w:ascii="宋体" w:hAnsi="宋体" w:eastAsia="宋体" w:cs="宋体"/>
          <w:b/>
          <w:bCs w:val="0"/>
          <w:color w:val="auto"/>
          <w:sz w:val="21"/>
          <w:szCs w:val="21"/>
          <w:highlight w:val="none"/>
        </w:rPr>
        <w:t>供 应 商 须 知 前 附 表</w:t>
      </w:r>
      <w:bookmarkEnd w:id="40"/>
      <w:bookmarkEnd w:id="41"/>
      <w:bookmarkEnd w:id="42"/>
      <w:bookmarkEnd w:id="43"/>
      <w:bookmarkEnd w:id="44"/>
    </w:p>
    <w:bookmarkEnd w:id="38"/>
    <w:tbl>
      <w:tblPr>
        <w:tblStyle w:val="18"/>
        <w:tblW w:w="102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2"/>
        <w:gridCol w:w="942"/>
        <w:gridCol w:w="1775"/>
        <w:gridCol w:w="6912"/>
      </w:tblGrid>
      <w:tr w14:paraId="0A456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jc w:val="center"/>
        </w:trPr>
        <w:tc>
          <w:tcPr>
            <w:tcW w:w="662" w:type="dxa"/>
            <w:vAlign w:val="center"/>
          </w:tcPr>
          <w:p w14:paraId="3E57E426">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序号</w:t>
            </w:r>
          </w:p>
        </w:tc>
        <w:tc>
          <w:tcPr>
            <w:tcW w:w="942" w:type="dxa"/>
            <w:vAlign w:val="center"/>
          </w:tcPr>
          <w:p w14:paraId="68D4319F">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条款号</w:t>
            </w:r>
          </w:p>
        </w:tc>
        <w:tc>
          <w:tcPr>
            <w:tcW w:w="1775" w:type="dxa"/>
            <w:vAlign w:val="center"/>
          </w:tcPr>
          <w:p w14:paraId="1D6FD658">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条款名称</w:t>
            </w:r>
          </w:p>
        </w:tc>
        <w:tc>
          <w:tcPr>
            <w:tcW w:w="6912" w:type="dxa"/>
            <w:vAlign w:val="center"/>
          </w:tcPr>
          <w:p w14:paraId="63CCCDAD">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内容、要求</w:t>
            </w:r>
          </w:p>
        </w:tc>
      </w:tr>
      <w:tr w14:paraId="203D7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662" w:type="dxa"/>
            <w:vAlign w:val="center"/>
          </w:tcPr>
          <w:p w14:paraId="525AB63A">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942" w:type="dxa"/>
            <w:vAlign w:val="center"/>
          </w:tcPr>
          <w:p w14:paraId="6155EA42">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1.1</w:t>
            </w:r>
          </w:p>
        </w:tc>
        <w:tc>
          <w:tcPr>
            <w:tcW w:w="1775" w:type="dxa"/>
            <w:vAlign w:val="center"/>
          </w:tcPr>
          <w:p w14:paraId="69F71B1C">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项目名称及项目编号</w:t>
            </w:r>
          </w:p>
        </w:tc>
        <w:tc>
          <w:tcPr>
            <w:tcW w:w="6912" w:type="dxa"/>
            <w:vAlign w:val="center"/>
          </w:tcPr>
          <w:p w14:paraId="34F2AC4D">
            <w:pPr>
              <w:pageBreakBefore w:val="0"/>
              <w:widowControl w:val="0"/>
              <w:kinsoku/>
              <w:wordWrap/>
              <w:overflowPunct/>
              <w:topLinePunct w:val="0"/>
              <w:autoSpaceDE/>
              <w:autoSpaceDN/>
              <w:bidi w:val="0"/>
              <w:adjustRightInd/>
              <w:spacing w:line="380" w:lineRule="exact"/>
              <w:ind w:left="0"/>
              <w:jc w:val="both"/>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项目名称：</w:t>
            </w:r>
            <w:r>
              <w:rPr>
                <w:rFonts w:hint="eastAsia" w:ascii="宋体" w:hAnsi="宋体" w:cs="宋体"/>
                <w:color w:val="auto"/>
                <w:sz w:val="21"/>
                <w:szCs w:val="21"/>
                <w:highlight w:val="none"/>
                <w:lang w:val="en-US" w:eastAsia="zh-CN"/>
              </w:rPr>
              <w:t>中峰村油榨坪街村民议事中心</w:t>
            </w:r>
            <w:r>
              <w:rPr>
                <w:rFonts w:hint="eastAsia" w:ascii="宋体" w:hAnsi="宋体" w:eastAsia="宋体" w:cs="宋体"/>
                <w:color w:val="auto"/>
                <w:sz w:val="21"/>
                <w:szCs w:val="21"/>
                <w:highlight w:val="none"/>
              </w:rPr>
              <w:t xml:space="preserve"> </w:t>
            </w:r>
          </w:p>
          <w:p w14:paraId="4A84060E">
            <w:pPr>
              <w:pageBreakBefore w:val="0"/>
              <w:widowControl w:val="0"/>
              <w:kinsoku/>
              <w:wordWrap/>
              <w:overflowPunct/>
              <w:topLinePunct w:val="0"/>
              <w:autoSpaceDE/>
              <w:autoSpaceDN/>
              <w:bidi w:val="0"/>
              <w:adjustRightInd/>
              <w:spacing w:line="380" w:lineRule="exact"/>
              <w:ind w:left="0"/>
              <w:jc w:val="both"/>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项目编号：</w:t>
            </w:r>
            <w:r>
              <w:rPr>
                <w:rFonts w:hint="eastAsia" w:ascii="宋体" w:hAnsi="宋体" w:cs="宋体"/>
                <w:color w:val="auto"/>
                <w:sz w:val="21"/>
                <w:szCs w:val="21"/>
                <w:highlight w:val="none"/>
                <w:lang w:eastAsia="zh-CN"/>
              </w:rPr>
              <w:t>GLZC2024-C2-290265-GXGZ</w:t>
            </w:r>
          </w:p>
        </w:tc>
      </w:tr>
      <w:tr w14:paraId="15721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5" w:hRule="atLeast"/>
          <w:jc w:val="center"/>
        </w:trPr>
        <w:tc>
          <w:tcPr>
            <w:tcW w:w="662" w:type="dxa"/>
            <w:vAlign w:val="center"/>
          </w:tcPr>
          <w:p w14:paraId="44FAE1AB">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942" w:type="dxa"/>
            <w:vAlign w:val="center"/>
          </w:tcPr>
          <w:p w14:paraId="3D97ACE2">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1775" w:type="dxa"/>
            <w:vAlign w:val="center"/>
          </w:tcPr>
          <w:p w14:paraId="1AA67C72">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供应商资格</w:t>
            </w:r>
          </w:p>
        </w:tc>
        <w:tc>
          <w:tcPr>
            <w:tcW w:w="6912" w:type="dxa"/>
            <w:vAlign w:val="center"/>
          </w:tcPr>
          <w:p w14:paraId="25059E6B">
            <w:pPr>
              <w:keepNext w:val="0"/>
              <w:keepLines w:val="0"/>
              <w:pageBreakBefore w:val="0"/>
              <w:widowControl w:val="0"/>
              <w:kinsoku/>
              <w:wordWrap/>
              <w:overflowPunct/>
              <w:topLinePunct w:val="0"/>
              <w:autoSpaceDE/>
              <w:autoSpaceDN/>
              <w:bidi w:val="0"/>
              <w:adjustRightInd/>
              <w:snapToGrid/>
              <w:spacing w:line="380" w:lineRule="exact"/>
              <w:ind w:left="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3.1满足《中华人民共和国政府采购法》第二十二条规定；</w:t>
            </w:r>
          </w:p>
          <w:p w14:paraId="55D4E226">
            <w:pPr>
              <w:keepNext w:val="0"/>
              <w:keepLines w:val="0"/>
              <w:pageBreakBefore w:val="0"/>
              <w:widowControl w:val="0"/>
              <w:kinsoku/>
              <w:wordWrap/>
              <w:overflowPunct/>
              <w:topLinePunct w:val="0"/>
              <w:autoSpaceDE/>
              <w:autoSpaceDN/>
              <w:bidi w:val="0"/>
              <w:adjustRightInd/>
              <w:snapToGrid/>
              <w:spacing w:line="380" w:lineRule="exact"/>
              <w:ind w:left="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3.2落实政府采购政策需满足的资格要求：</w:t>
            </w:r>
            <w:r>
              <w:rPr>
                <w:rFonts w:hint="eastAsia" w:ascii="宋体" w:hAnsi="宋体" w:eastAsia="宋体" w:cs="宋体"/>
                <w:color w:val="auto"/>
                <w:sz w:val="21"/>
                <w:szCs w:val="21"/>
                <w:highlight w:val="none"/>
              </w:rPr>
              <w:t>专门面向中小企业采购的项目</w:t>
            </w:r>
            <w:r>
              <w:rPr>
                <w:rFonts w:hint="eastAsia" w:ascii="宋体" w:hAnsi="宋体" w:eastAsia="宋体" w:cs="宋体"/>
                <w:color w:val="auto"/>
                <w:sz w:val="21"/>
                <w:szCs w:val="21"/>
                <w:highlight w:val="none"/>
                <w:lang w:val="en-US" w:eastAsia="zh-CN"/>
              </w:rPr>
              <w:t>（供应商应为中小微企业、监狱企业、残疾人福利性单位)；</w:t>
            </w:r>
          </w:p>
          <w:p w14:paraId="2EFFF77C">
            <w:pPr>
              <w:keepNext w:val="0"/>
              <w:keepLines w:val="0"/>
              <w:pageBreakBefore w:val="0"/>
              <w:widowControl w:val="0"/>
              <w:kinsoku/>
              <w:wordWrap/>
              <w:overflowPunct/>
              <w:topLinePunct w:val="0"/>
              <w:autoSpaceDE/>
              <w:autoSpaceDN/>
              <w:bidi w:val="0"/>
              <w:adjustRightInd/>
              <w:snapToGrid/>
              <w:spacing w:line="380" w:lineRule="exact"/>
              <w:ind w:left="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3.3本项目的特定资格要求：</w:t>
            </w:r>
            <w:r>
              <w:rPr>
                <w:rFonts w:hint="eastAsia" w:ascii="宋体" w:hAnsi="宋体" w:eastAsia="宋体" w:cs="宋体"/>
                <w:b w:val="0"/>
                <w:bCs w:val="0"/>
                <w:color w:val="auto"/>
                <w:sz w:val="21"/>
                <w:szCs w:val="21"/>
                <w:highlight w:val="none"/>
              </w:rPr>
              <w:t>供应商须具备建筑工程施工总承包</w:t>
            </w:r>
            <w:r>
              <w:rPr>
                <w:rFonts w:hint="eastAsia" w:ascii="宋体" w:hAnsi="宋体" w:cs="宋体"/>
                <w:b w:val="0"/>
                <w:bCs w:val="0"/>
                <w:color w:val="auto"/>
                <w:sz w:val="21"/>
                <w:szCs w:val="21"/>
                <w:highlight w:val="none"/>
                <w:lang w:eastAsia="zh-CN"/>
              </w:rPr>
              <w:t>三</w:t>
            </w:r>
            <w:r>
              <w:rPr>
                <w:rFonts w:hint="eastAsia" w:ascii="宋体" w:hAnsi="宋体" w:eastAsia="宋体" w:cs="宋体"/>
                <w:b w:val="0"/>
                <w:bCs w:val="0"/>
                <w:color w:val="auto"/>
                <w:sz w:val="21"/>
                <w:szCs w:val="21"/>
                <w:highlight w:val="none"/>
              </w:rPr>
              <w:t>级（含</w:t>
            </w:r>
            <w:r>
              <w:rPr>
                <w:rFonts w:hint="eastAsia" w:ascii="宋体" w:hAnsi="宋体" w:cs="宋体"/>
                <w:b w:val="0"/>
                <w:bCs w:val="0"/>
                <w:color w:val="auto"/>
                <w:sz w:val="21"/>
                <w:szCs w:val="21"/>
                <w:highlight w:val="none"/>
                <w:lang w:eastAsia="zh-CN"/>
              </w:rPr>
              <w:t>三</w:t>
            </w:r>
            <w:r>
              <w:rPr>
                <w:rFonts w:hint="eastAsia" w:ascii="宋体" w:hAnsi="宋体" w:eastAsia="宋体" w:cs="宋体"/>
                <w:b w:val="0"/>
                <w:bCs w:val="0"/>
                <w:color w:val="auto"/>
                <w:sz w:val="21"/>
                <w:szCs w:val="21"/>
                <w:highlight w:val="none"/>
              </w:rPr>
              <w:t>级）以上资质，并具有省级或以上建设行政主管部门颁发的建筑施工企业安全生产许可证，并在人员、设备、资金等方面具有相应的施工能力；拟派项目经理须具备建筑工程专业</w:t>
            </w:r>
            <w:r>
              <w:rPr>
                <w:rFonts w:hint="eastAsia" w:ascii="宋体" w:hAnsi="宋体" w:cs="宋体"/>
                <w:b w:val="0"/>
                <w:bCs w:val="0"/>
                <w:color w:val="auto"/>
                <w:sz w:val="21"/>
                <w:szCs w:val="21"/>
                <w:highlight w:val="none"/>
                <w:lang w:eastAsia="zh-CN"/>
              </w:rPr>
              <w:t>二</w:t>
            </w:r>
            <w:r>
              <w:rPr>
                <w:rFonts w:hint="eastAsia" w:ascii="宋体" w:hAnsi="宋体" w:eastAsia="宋体" w:cs="宋体"/>
                <w:b w:val="0"/>
                <w:bCs w:val="0"/>
                <w:color w:val="auto"/>
                <w:sz w:val="21"/>
                <w:szCs w:val="21"/>
                <w:highlight w:val="none"/>
              </w:rPr>
              <w:t>级以上（含</w:t>
            </w:r>
            <w:r>
              <w:rPr>
                <w:rFonts w:hint="eastAsia" w:ascii="宋体" w:hAnsi="宋体" w:cs="宋体"/>
                <w:b w:val="0"/>
                <w:bCs w:val="0"/>
                <w:color w:val="auto"/>
                <w:sz w:val="21"/>
                <w:szCs w:val="21"/>
                <w:highlight w:val="none"/>
                <w:lang w:eastAsia="zh-CN"/>
              </w:rPr>
              <w:t>二</w:t>
            </w:r>
            <w:r>
              <w:rPr>
                <w:rFonts w:hint="eastAsia" w:ascii="宋体" w:hAnsi="宋体" w:eastAsia="宋体" w:cs="宋体"/>
                <w:b w:val="0"/>
                <w:bCs w:val="0"/>
                <w:color w:val="auto"/>
                <w:sz w:val="21"/>
                <w:szCs w:val="21"/>
                <w:highlight w:val="none"/>
              </w:rPr>
              <w:t>级）注册建造师执业资格，具备安全生产考核合格证书（B类）</w:t>
            </w:r>
            <w:r>
              <w:rPr>
                <w:rFonts w:hint="eastAsia" w:ascii="宋体" w:hAnsi="宋体" w:eastAsia="宋体" w:cs="宋体"/>
                <w:color w:val="auto"/>
                <w:kern w:val="0"/>
                <w:sz w:val="21"/>
                <w:szCs w:val="21"/>
                <w:highlight w:val="none"/>
                <w:lang w:val="en-US" w:eastAsia="zh-CN"/>
              </w:rPr>
              <w:t>。</w:t>
            </w:r>
          </w:p>
        </w:tc>
      </w:tr>
      <w:tr w14:paraId="063F1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662" w:type="dxa"/>
            <w:vAlign w:val="center"/>
          </w:tcPr>
          <w:p w14:paraId="78607136">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942" w:type="dxa"/>
            <w:vAlign w:val="center"/>
          </w:tcPr>
          <w:p w14:paraId="243EA427">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w:t>
            </w:r>
          </w:p>
        </w:tc>
        <w:tc>
          <w:tcPr>
            <w:tcW w:w="1775" w:type="dxa"/>
            <w:vAlign w:val="center"/>
          </w:tcPr>
          <w:p w14:paraId="15971D7C">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磋商费用</w:t>
            </w:r>
          </w:p>
        </w:tc>
        <w:tc>
          <w:tcPr>
            <w:tcW w:w="6912" w:type="dxa"/>
            <w:vAlign w:val="center"/>
          </w:tcPr>
          <w:p w14:paraId="1AB2C0E4">
            <w:pPr>
              <w:pageBreakBefore w:val="0"/>
              <w:widowControl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不论磋商结果如何，供应商均应自行承担所有与磋商有关的全部费用。 </w:t>
            </w:r>
          </w:p>
        </w:tc>
      </w:tr>
      <w:tr w14:paraId="2A43B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662" w:type="dxa"/>
            <w:vAlign w:val="center"/>
          </w:tcPr>
          <w:p w14:paraId="0743F211">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w:t>
            </w:r>
          </w:p>
        </w:tc>
        <w:tc>
          <w:tcPr>
            <w:tcW w:w="942" w:type="dxa"/>
            <w:vAlign w:val="center"/>
          </w:tcPr>
          <w:p w14:paraId="5CA18018">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position w:val="-2"/>
                <w:sz w:val="21"/>
                <w:szCs w:val="21"/>
                <w:highlight w:val="none"/>
              </w:rPr>
            </w:pPr>
            <w:r>
              <w:rPr>
                <w:rFonts w:hint="eastAsia" w:ascii="宋体" w:hAnsi="宋体" w:eastAsia="宋体" w:cs="宋体"/>
                <w:color w:val="auto"/>
                <w:position w:val="-2"/>
                <w:sz w:val="21"/>
                <w:szCs w:val="21"/>
                <w:highlight w:val="none"/>
              </w:rPr>
              <w:t>13</w:t>
            </w:r>
          </w:p>
        </w:tc>
        <w:tc>
          <w:tcPr>
            <w:tcW w:w="1775" w:type="dxa"/>
            <w:vAlign w:val="center"/>
          </w:tcPr>
          <w:p w14:paraId="388A620E">
            <w:pPr>
              <w:keepNext w:val="0"/>
              <w:keepLines w:val="0"/>
              <w:pageBreakBefore w:val="0"/>
              <w:kinsoku/>
              <w:wordWrap/>
              <w:overflowPunct/>
              <w:topLinePunct w:val="0"/>
              <w:autoSpaceDE/>
              <w:autoSpaceDN/>
              <w:bidi w:val="0"/>
              <w:adjustRightInd/>
              <w:spacing w:line="380" w:lineRule="exact"/>
              <w:ind w:left="0" w:leftChars="0"/>
              <w:jc w:val="center"/>
              <w:textAlignment w:val="auto"/>
              <w:rPr>
                <w:rFonts w:hint="eastAsia" w:ascii="宋体" w:hAnsi="宋体" w:eastAsia="宋体" w:cs="宋体"/>
                <w:color w:val="auto"/>
                <w:position w:val="-2"/>
                <w:sz w:val="21"/>
                <w:szCs w:val="21"/>
                <w:highlight w:val="none"/>
              </w:rPr>
            </w:pPr>
            <w:r>
              <w:rPr>
                <w:rFonts w:hint="eastAsia" w:ascii="宋体" w:hAnsi="宋体" w:eastAsia="宋体" w:cs="宋体"/>
                <w:color w:val="auto"/>
                <w:sz w:val="21"/>
                <w:szCs w:val="21"/>
                <w:highlight w:val="none"/>
              </w:rPr>
              <w:t>磋商报价及</w:t>
            </w:r>
            <w:r>
              <w:rPr>
                <w:rFonts w:hint="eastAsia" w:ascii="宋体" w:hAnsi="宋体" w:eastAsia="宋体" w:cs="宋体"/>
                <w:color w:val="auto"/>
                <w:sz w:val="21"/>
                <w:szCs w:val="21"/>
                <w:highlight w:val="none"/>
                <w:lang w:val="en-US" w:eastAsia="zh-CN"/>
              </w:rPr>
              <w:t>预算</w:t>
            </w:r>
            <w:r>
              <w:rPr>
                <w:rFonts w:hint="eastAsia" w:ascii="宋体" w:hAnsi="宋体" w:eastAsia="宋体" w:cs="宋体"/>
                <w:color w:val="auto"/>
                <w:sz w:val="21"/>
                <w:szCs w:val="21"/>
                <w:highlight w:val="none"/>
              </w:rPr>
              <w:t>控制价</w:t>
            </w:r>
          </w:p>
        </w:tc>
        <w:tc>
          <w:tcPr>
            <w:tcW w:w="6912" w:type="dxa"/>
            <w:vAlign w:val="center"/>
          </w:tcPr>
          <w:p w14:paraId="4F0EEF5F">
            <w:pPr>
              <w:keepNext w:val="0"/>
              <w:keepLines w:val="0"/>
              <w:pageBreakBefore w:val="0"/>
              <w:widowControl w:val="0"/>
              <w:kinsoku/>
              <w:wordWrap/>
              <w:overflowPunct/>
              <w:topLinePunct w:val="0"/>
              <w:autoSpaceDE/>
              <w:autoSpaceDN/>
              <w:bidi w:val="0"/>
              <w:adjustRightInd/>
              <w:snapToGrid/>
              <w:spacing w:line="380" w:lineRule="exact"/>
              <w:textAlignment w:val="auto"/>
              <w:rPr>
                <w:rFonts w:hint="eastAsia" w:ascii="宋体" w:hAnsi="宋体" w:eastAsia="宋体" w:cs="宋体"/>
                <w:color w:val="auto"/>
                <w:szCs w:val="21"/>
                <w:highlight w:val="none"/>
              </w:rPr>
            </w:pPr>
            <w:r>
              <w:rPr>
                <w:rFonts w:hint="eastAsia" w:ascii="宋体" w:hAnsi="宋体" w:eastAsia="宋体" w:cs="宋体"/>
                <w:color w:val="auto"/>
                <w:szCs w:val="21"/>
                <w:highlight w:val="none"/>
              </w:rPr>
              <w:t>13.1磋商报价应按磋商文件中相关附表格式填写。</w:t>
            </w:r>
          </w:p>
          <w:p w14:paraId="22A18344">
            <w:pPr>
              <w:keepNext w:val="0"/>
              <w:keepLines w:val="0"/>
              <w:pageBreakBefore w:val="0"/>
              <w:widowControl w:val="0"/>
              <w:kinsoku/>
              <w:wordWrap/>
              <w:overflowPunct/>
              <w:topLinePunct w:val="0"/>
              <w:autoSpaceDE/>
              <w:autoSpaceDN/>
              <w:bidi w:val="0"/>
              <w:adjustRightInd/>
              <w:snapToGrid/>
              <w:spacing w:line="380" w:lineRule="exact"/>
              <w:textAlignment w:val="auto"/>
              <w:rPr>
                <w:rFonts w:hint="eastAsia" w:ascii="宋体" w:hAnsi="宋体" w:eastAsia="宋体" w:cs="宋体"/>
                <w:b/>
                <w:color w:val="auto"/>
                <w:szCs w:val="21"/>
                <w:highlight w:val="none"/>
              </w:rPr>
            </w:pPr>
            <w:r>
              <w:rPr>
                <w:rFonts w:hint="eastAsia" w:ascii="宋体" w:hAnsi="宋体" w:eastAsia="宋体" w:cs="宋体"/>
                <w:b w:val="0"/>
                <w:bCs w:val="0"/>
                <w:color w:val="auto"/>
                <w:kern w:val="0"/>
                <w:sz w:val="21"/>
                <w:szCs w:val="21"/>
                <w:highlight w:val="none"/>
                <w:u w:val="none"/>
                <w:shd w:val="clear" w:color="auto" w:fill="auto"/>
                <w:lang w:val="en-US" w:eastAsia="zh-CN"/>
              </w:rPr>
              <w:t>预算采购金额：人民币（大写）</w:t>
            </w:r>
            <w:r>
              <w:rPr>
                <w:rFonts w:hint="eastAsia" w:ascii="宋体" w:hAnsi="宋体" w:eastAsia="宋体" w:cs="宋体"/>
                <w:b/>
                <w:bCs/>
                <w:color w:val="auto"/>
                <w:kern w:val="0"/>
                <w:sz w:val="21"/>
                <w:szCs w:val="21"/>
                <w:highlight w:val="none"/>
                <w:u w:val="none"/>
                <w:shd w:val="clear" w:color="auto" w:fill="auto"/>
                <w:lang w:val="en-US" w:eastAsia="zh-CN"/>
              </w:rPr>
              <w:t>捌拾叁万肆仟肆佰零捌元玖角壹分(￥834408.91元)</w:t>
            </w:r>
            <w:r>
              <w:rPr>
                <w:rFonts w:hint="eastAsia" w:ascii="宋体" w:hAnsi="宋体" w:eastAsia="宋体" w:cs="宋体"/>
                <w:b w:val="0"/>
                <w:bCs w:val="0"/>
                <w:color w:val="auto"/>
                <w:kern w:val="0"/>
                <w:sz w:val="21"/>
                <w:szCs w:val="21"/>
                <w:highlight w:val="none"/>
                <w:u w:val="none"/>
                <w:shd w:val="clear" w:color="auto" w:fill="auto"/>
                <w:lang w:val="en-US" w:eastAsia="zh-CN"/>
              </w:rPr>
              <w:t>；经业主调整，本工程最高磋商限价为人民币（大写）</w:t>
            </w:r>
            <w:r>
              <w:rPr>
                <w:rFonts w:hint="eastAsia" w:ascii="宋体" w:hAnsi="宋体" w:eastAsia="宋体" w:cs="宋体"/>
                <w:b/>
                <w:bCs/>
                <w:color w:val="auto"/>
                <w:kern w:val="0"/>
                <w:sz w:val="21"/>
                <w:szCs w:val="21"/>
                <w:highlight w:val="none"/>
                <w:u w:val="none"/>
                <w:shd w:val="clear" w:color="auto" w:fill="auto"/>
                <w:lang w:val="en-US" w:eastAsia="zh-CN"/>
              </w:rPr>
              <w:t>柒拾玖万贰仟陆佰捌拾捌元肆角陆分(￥792688.46元)</w:t>
            </w:r>
            <w:r>
              <w:rPr>
                <w:rFonts w:hint="eastAsia" w:ascii="宋体" w:hAnsi="宋体" w:eastAsia="宋体" w:cs="宋体"/>
                <w:b w:val="0"/>
                <w:bCs w:val="0"/>
                <w:color w:val="auto"/>
                <w:kern w:val="0"/>
                <w:sz w:val="21"/>
                <w:szCs w:val="21"/>
                <w:highlight w:val="none"/>
                <w:u w:val="none"/>
                <w:shd w:val="clear" w:color="auto" w:fill="auto"/>
                <w:lang w:val="en-US" w:eastAsia="zh-CN"/>
              </w:rPr>
              <w:t>，</w:t>
            </w:r>
            <w:r>
              <w:rPr>
                <w:rFonts w:hint="eastAsia" w:ascii="宋体" w:hAnsi="宋体" w:eastAsia="宋体" w:cs="宋体"/>
                <w:color w:val="auto"/>
                <w:sz w:val="21"/>
                <w:szCs w:val="21"/>
                <w:highlight w:val="none"/>
                <w:shd w:val="clear" w:color="auto" w:fill="auto"/>
              </w:rPr>
              <w:t>供应商磋商总报价不得高于本工程最高磋商限价，否则被视为无效报价，无效报价将不予评审。</w:t>
            </w:r>
          </w:p>
          <w:p w14:paraId="1A28C9C3">
            <w:pPr>
              <w:pStyle w:val="11"/>
              <w:keepNext w:val="0"/>
              <w:keepLines w:val="0"/>
              <w:pageBreakBefore w:val="0"/>
              <w:widowControl w:val="0"/>
              <w:kinsoku/>
              <w:wordWrap w:val="0"/>
              <w:overflowPunct/>
              <w:topLinePunct w:val="0"/>
              <w:autoSpaceDE/>
              <w:autoSpaceDN/>
              <w:bidi w:val="0"/>
              <w:adjustRightInd/>
              <w:snapToGrid/>
              <w:spacing w:line="380" w:lineRule="exact"/>
              <w:textAlignment w:val="auto"/>
              <w:rPr>
                <w:rFonts w:hint="eastAsia" w:ascii="宋体" w:hAnsi="宋体" w:eastAsia="宋体" w:cs="宋体"/>
                <w:color w:val="auto"/>
                <w:szCs w:val="21"/>
                <w:highlight w:val="none"/>
              </w:rPr>
            </w:pPr>
            <w:r>
              <w:rPr>
                <w:rFonts w:hint="eastAsia" w:ascii="宋体" w:hAnsi="宋体" w:eastAsia="宋体" w:cs="宋体"/>
                <w:color w:val="auto"/>
                <w:szCs w:val="21"/>
                <w:highlight w:val="none"/>
              </w:rPr>
              <w:t>13.2供应商应在规定时间内在</w:t>
            </w:r>
            <w:r>
              <w:rPr>
                <w:rFonts w:hint="eastAsia" w:hAnsi="宋体"/>
                <w:color w:val="auto"/>
                <w:szCs w:val="21"/>
                <w:highlight w:val="none"/>
                <w:lang w:eastAsia="zh-CN"/>
              </w:rPr>
              <w:t>广西政府采购云平台</w:t>
            </w:r>
            <w:r>
              <w:rPr>
                <w:rFonts w:hint="eastAsia" w:ascii="宋体" w:hAnsi="宋体" w:eastAsia="宋体" w:cs="宋体"/>
                <w:color w:val="auto"/>
                <w:szCs w:val="21"/>
                <w:highlight w:val="none"/>
              </w:rPr>
              <w:t>系统上提交最后报价，超出评委设定的最后报价时限或其最后报价超出招标控制价导致已通过评审的响应文件无效的，按供应商在提交响应文件截止时间后撤回响应文件处理。</w:t>
            </w:r>
          </w:p>
          <w:p w14:paraId="335F652D">
            <w:pPr>
              <w:keepNext w:val="0"/>
              <w:keepLines w:val="0"/>
              <w:pageBreakBefore w:val="0"/>
              <w:widowControl/>
              <w:kinsoku/>
              <w:wordWrap/>
              <w:overflowPunct/>
              <w:topLinePunct w:val="0"/>
              <w:autoSpaceDE/>
              <w:autoSpaceDN/>
              <w:bidi w:val="0"/>
              <w:adjustRightInd/>
              <w:snapToGrid w:val="0"/>
              <w:spacing w:line="380" w:lineRule="exact"/>
              <w:ind w:left="0" w:leftChars="0"/>
              <w:jc w:val="left"/>
              <w:textAlignment w:val="auto"/>
              <w:rPr>
                <w:rFonts w:hint="eastAsia" w:ascii="宋体" w:hAnsi="宋体" w:eastAsia="宋体" w:cs="宋体"/>
                <w:color w:val="auto"/>
                <w:sz w:val="21"/>
                <w:szCs w:val="21"/>
                <w:highlight w:val="none"/>
                <w:lang w:eastAsia="zh-CN"/>
              </w:rPr>
            </w:pPr>
            <w:r>
              <w:rPr>
                <w:rFonts w:hint="eastAsia" w:ascii="宋体" w:hAnsi="宋体" w:eastAsia="宋体" w:cs="宋体"/>
                <w:b/>
                <w:color w:val="auto"/>
                <w:sz w:val="21"/>
                <w:szCs w:val="21"/>
                <w:highlight w:val="none"/>
              </w:rPr>
              <w:t>注：</w:t>
            </w:r>
            <w:r>
              <w:rPr>
                <w:rFonts w:hint="eastAsia" w:ascii="宋体" w:hAnsi="宋体" w:eastAsia="宋体" w:cs="宋体"/>
                <w:b/>
                <w:color w:val="auto"/>
                <w:sz w:val="21"/>
                <w:szCs w:val="21"/>
                <w:highlight w:val="none"/>
                <w:lang w:eastAsia="zh-CN"/>
              </w:rPr>
              <w:t>供应商的磋商报价不得超过本工程</w:t>
            </w:r>
            <w:r>
              <w:rPr>
                <w:rFonts w:hint="eastAsia" w:ascii="宋体" w:hAnsi="宋体" w:eastAsia="宋体" w:cs="宋体"/>
                <w:b/>
                <w:bCs/>
                <w:color w:val="auto"/>
                <w:sz w:val="21"/>
                <w:szCs w:val="21"/>
                <w:highlight w:val="none"/>
                <w:lang w:eastAsia="zh-CN"/>
              </w:rPr>
              <w:t>预算</w:t>
            </w:r>
            <w:r>
              <w:rPr>
                <w:rFonts w:hint="eastAsia" w:ascii="宋体" w:hAnsi="宋体" w:eastAsia="宋体" w:cs="宋体"/>
                <w:b/>
                <w:bCs/>
                <w:color w:val="auto"/>
                <w:sz w:val="21"/>
                <w:szCs w:val="21"/>
                <w:highlight w:val="none"/>
                <w:lang w:val="en-US" w:eastAsia="zh-CN"/>
              </w:rPr>
              <w:t>控制价</w:t>
            </w:r>
            <w:r>
              <w:rPr>
                <w:rFonts w:hint="eastAsia" w:ascii="宋体" w:hAnsi="宋体" w:eastAsia="宋体" w:cs="宋体"/>
                <w:b/>
                <w:bCs/>
                <w:color w:val="auto"/>
                <w:sz w:val="21"/>
                <w:szCs w:val="21"/>
                <w:highlight w:val="none"/>
                <w:lang w:eastAsia="zh-CN"/>
              </w:rPr>
              <w:t>（</w:t>
            </w:r>
            <w:r>
              <w:rPr>
                <w:rFonts w:hint="eastAsia" w:ascii="宋体" w:hAnsi="宋体" w:eastAsia="宋体" w:cs="宋体"/>
                <w:b/>
                <w:bCs/>
                <w:color w:val="auto"/>
                <w:sz w:val="21"/>
                <w:szCs w:val="21"/>
                <w:highlight w:val="none"/>
              </w:rPr>
              <w:t>最高磋商限价</w:t>
            </w:r>
            <w:r>
              <w:rPr>
                <w:rFonts w:hint="eastAsia" w:ascii="宋体" w:hAnsi="宋体" w:eastAsia="宋体" w:cs="宋体"/>
                <w:b/>
                <w:bCs/>
                <w:color w:val="auto"/>
                <w:sz w:val="21"/>
                <w:szCs w:val="21"/>
                <w:highlight w:val="none"/>
                <w:lang w:eastAsia="zh-CN"/>
              </w:rPr>
              <w:t>）</w:t>
            </w:r>
            <w:r>
              <w:rPr>
                <w:rFonts w:hint="eastAsia" w:ascii="宋体" w:hAnsi="宋体" w:eastAsia="宋体" w:cs="宋体"/>
                <w:b/>
                <w:bCs/>
                <w:color w:val="auto"/>
                <w:kern w:val="0"/>
                <w:sz w:val="21"/>
                <w:szCs w:val="21"/>
                <w:highlight w:val="none"/>
                <w:lang w:eastAsia="zh-CN"/>
              </w:rPr>
              <w:t>，否则作无效标处理；</w:t>
            </w:r>
            <w:r>
              <w:rPr>
                <w:rFonts w:hint="eastAsia" w:ascii="宋体" w:hAnsi="宋体" w:eastAsia="宋体" w:cs="宋体"/>
                <w:b/>
                <w:color w:val="auto"/>
                <w:sz w:val="21"/>
                <w:szCs w:val="21"/>
                <w:highlight w:val="none"/>
              </w:rPr>
              <w:t>供应商的第二次磋商报价不得高于该供应商第一次磋商报价，否则</w:t>
            </w:r>
            <w:r>
              <w:rPr>
                <w:rFonts w:hint="eastAsia" w:ascii="宋体" w:hAnsi="宋体" w:cs="宋体"/>
                <w:b/>
                <w:color w:val="auto"/>
                <w:sz w:val="21"/>
                <w:szCs w:val="21"/>
                <w:highlight w:val="none"/>
                <w:lang w:eastAsia="zh-CN"/>
              </w:rPr>
              <w:t>作</w:t>
            </w:r>
            <w:r>
              <w:rPr>
                <w:rFonts w:hint="eastAsia" w:ascii="宋体" w:hAnsi="宋体" w:eastAsia="宋体" w:cs="宋体"/>
                <w:b/>
                <w:color w:val="auto"/>
                <w:sz w:val="21"/>
                <w:szCs w:val="21"/>
                <w:highlight w:val="none"/>
              </w:rPr>
              <w:t>无效标处理。如供应商维持</w:t>
            </w:r>
            <w:r>
              <w:rPr>
                <w:rFonts w:hint="eastAsia" w:ascii="宋体" w:hAnsi="宋体" w:eastAsia="宋体" w:cs="宋体"/>
                <w:b/>
                <w:color w:val="auto"/>
                <w:sz w:val="21"/>
                <w:szCs w:val="21"/>
                <w:highlight w:val="none"/>
                <w:lang w:eastAsia="zh-CN"/>
              </w:rPr>
              <w:t>磋商</w:t>
            </w:r>
            <w:r>
              <w:rPr>
                <w:rFonts w:hint="eastAsia" w:ascii="宋体" w:hAnsi="宋体" w:eastAsia="宋体" w:cs="宋体"/>
                <w:b/>
                <w:color w:val="auto"/>
                <w:sz w:val="21"/>
                <w:szCs w:val="21"/>
                <w:highlight w:val="none"/>
              </w:rPr>
              <w:t>报价不变，以原磋商报价作为供应商最后报价</w:t>
            </w:r>
            <w:r>
              <w:rPr>
                <w:rFonts w:hint="eastAsia" w:ascii="宋体" w:hAnsi="宋体" w:eastAsia="宋体" w:cs="宋体"/>
                <w:b/>
                <w:bCs/>
                <w:color w:val="auto"/>
                <w:sz w:val="21"/>
                <w:szCs w:val="21"/>
                <w:highlight w:val="none"/>
              </w:rPr>
              <w:t>；如供应商需要改变原磋商报价时，</w:t>
            </w:r>
            <w:r>
              <w:rPr>
                <w:rFonts w:hint="eastAsia" w:ascii="宋体" w:hAnsi="宋体" w:eastAsia="宋体" w:cs="宋体"/>
                <w:b/>
                <w:color w:val="auto"/>
                <w:sz w:val="21"/>
                <w:szCs w:val="21"/>
                <w:highlight w:val="none"/>
              </w:rPr>
              <w:t>供应商应预先准备好调整后的</w:t>
            </w:r>
            <w:r>
              <w:rPr>
                <w:rFonts w:hint="eastAsia" w:ascii="宋体" w:hAnsi="宋体" w:eastAsia="宋体" w:cs="宋体"/>
                <w:b/>
                <w:color w:val="auto"/>
                <w:sz w:val="21"/>
                <w:szCs w:val="21"/>
                <w:highlight w:val="none"/>
                <w:lang w:eastAsia="zh-CN"/>
              </w:rPr>
              <w:t>已标价的工程量清单</w:t>
            </w:r>
            <w:r>
              <w:rPr>
                <w:rFonts w:hint="eastAsia" w:ascii="宋体" w:hAnsi="宋体" w:eastAsia="宋体" w:cs="宋体"/>
                <w:b/>
                <w:color w:val="auto"/>
                <w:sz w:val="21"/>
                <w:szCs w:val="21"/>
                <w:highlight w:val="none"/>
              </w:rPr>
              <w:t>。</w:t>
            </w:r>
            <w:r>
              <w:rPr>
                <w:rFonts w:hint="eastAsia" w:ascii="宋体" w:hAnsi="宋体" w:eastAsia="宋体" w:cs="宋体"/>
                <w:b/>
                <w:color w:val="auto"/>
                <w:sz w:val="21"/>
                <w:szCs w:val="21"/>
                <w:highlight w:val="none"/>
                <w:lang w:eastAsia="zh-CN"/>
              </w:rPr>
              <w:t xml:space="preserve"> </w:t>
            </w:r>
          </w:p>
        </w:tc>
      </w:tr>
      <w:tr w14:paraId="3F9E4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662" w:type="dxa"/>
            <w:vAlign w:val="center"/>
          </w:tcPr>
          <w:p w14:paraId="15DAFB6C">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w:t>
            </w:r>
          </w:p>
        </w:tc>
        <w:tc>
          <w:tcPr>
            <w:tcW w:w="942" w:type="dxa"/>
            <w:vAlign w:val="center"/>
          </w:tcPr>
          <w:p w14:paraId="177B028D">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position w:val="-2"/>
                <w:sz w:val="21"/>
                <w:szCs w:val="21"/>
                <w:highlight w:val="none"/>
              </w:rPr>
            </w:pPr>
            <w:r>
              <w:rPr>
                <w:rFonts w:hint="eastAsia" w:ascii="宋体" w:hAnsi="宋体" w:eastAsia="宋体" w:cs="宋体"/>
                <w:color w:val="auto"/>
                <w:position w:val="-2"/>
                <w:sz w:val="21"/>
                <w:szCs w:val="21"/>
                <w:highlight w:val="none"/>
              </w:rPr>
              <w:t>14.1</w:t>
            </w:r>
          </w:p>
        </w:tc>
        <w:tc>
          <w:tcPr>
            <w:tcW w:w="1775" w:type="dxa"/>
            <w:vAlign w:val="center"/>
          </w:tcPr>
          <w:p w14:paraId="10D30198">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position w:val="-2"/>
                <w:sz w:val="21"/>
                <w:szCs w:val="21"/>
                <w:highlight w:val="none"/>
              </w:rPr>
            </w:pPr>
            <w:r>
              <w:rPr>
                <w:rFonts w:hint="eastAsia" w:ascii="宋体" w:hAnsi="宋体" w:eastAsia="宋体" w:cs="宋体"/>
                <w:color w:val="auto"/>
                <w:position w:val="-2"/>
                <w:sz w:val="21"/>
                <w:szCs w:val="21"/>
                <w:highlight w:val="none"/>
              </w:rPr>
              <w:t>响应文件有效期</w:t>
            </w:r>
          </w:p>
        </w:tc>
        <w:tc>
          <w:tcPr>
            <w:tcW w:w="6912" w:type="dxa"/>
            <w:vAlign w:val="top"/>
          </w:tcPr>
          <w:p w14:paraId="09E59E95">
            <w:pPr>
              <w:pageBreakBefore w:val="0"/>
              <w:widowControl w:val="0"/>
              <w:tabs>
                <w:tab w:val="left" w:pos="1305"/>
              </w:tabs>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响应文件递交截止时间之日起90天，有效期不足的响应文件将被拒绝。</w:t>
            </w:r>
          </w:p>
        </w:tc>
      </w:tr>
      <w:tr w14:paraId="6FDDF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662" w:type="dxa"/>
            <w:vAlign w:val="center"/>
          </w:tcPr>
          <w:p w14:paraId="024C2EC4">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6</w:t>
            </w:r>
          </w:p>
        </w:tc>
        <w:tc>
          <w:tcPr>
            <w:tcW w:w="942" w:type="dxa"/>
            <w:vAlign w:val="center"/>
          </w:tcPr>
          <w:p w14:paraId="586C1A61">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position w:val="-2"/>
                <w:sz w:val="21"/>
                <w:szCs w:val="21"/>
                <w:highlight w:val="none"/>
              </w:rPr>
            </w:pPr>
            <w:r>
              <w:rPr>
                <w:rFonts w:hint="eastAsia" w:ascii="宋体" w:hAnsi="宋体" w:eastAsia="宋体" w:cs="宋体"/>
                <w:color w:val="auto"/>
                <w:position w:val="-2"/>
                <w:sz w:val="21"/>
                <w:szCs w:val="21"/>
                <w:highlight w:val="none"/>
              </w:rPr>
              <w:t>15</w:t>
            </w:r>
          </w:p>
        </w:tc>
        <w:tc>
          <w:tcPr>
            <w:tcW w:w="1775" w:type="dxa"/>
            <w:vAlign w:val="center"/>
          </w:tcPr>
          <w:p w14:paraId="0F9C8143">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position w:val="-2"/>
                <w:sz w:val="21"/>
                <w:szCs w:val="21"/>
                <w:highlight w:val="none"/>
              </w:rPr>
            </w:pPr>
            <w:r>
              <w:rPr>
                <w:rFonts w:hint="eastAsia" w:ascii="宋体" w:hAnsi="宋体" w:cs="宋体"/>
                <w:color w:val="auto"/>
                <w:position w:val="-2"/>
                <w:sz w:val="21"/>
                <w:szCs w:val="21"/>
                <w:highlight w:val="none"/>
                <w:lang w:eastAsia="zh-CN"/>
              </w:rPr>
              <w:t>磋商</w:t>
            </w:r>
            <w:r>
              <w:rPr>
                <w:rFonts w:hint="eastAsia" w:ascii="宋体" w:hAnsi="宋体" w:eastAsia="宋体" w:cs="宋体"/>
                <w:color w:val="auto"/>
                <w:position w:val="-2"/>
                <w:sz w:val="21"/>
                <w:szCs w:val="21"/>
                <w:highlight w:val="none"/>
              </w:rPr>
              <w:t>保证金</w:t>
            </w:r>
          </w:p>
        </w:tc>
        <w:tc>
          <w:tcPr>
            <w:tcW w:w="6912" w:type="dxa"/>
            <w:vAlign w:val="top"/>
          </w:tcPr>
          <w:p w14:paraId="309A08A6">
            <w:pPr>
              <w:pageBreakBefore w:val="0"/>
              <w:widowControl w:val="0"/>
              <w:tabs>
                <w:tab w:val="left" w:pos="1305"/>
              </w:tabs>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本项目无需缴纳磋商保证金</w:t>
            </w:r>
          </w:p>
        </w:tc>
      </w:tr>
      <w:tr w14:paraId="4A3A6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662" w:type="dxa"/>
            <w:vAlign w:val="center"/>
          </w:tcPr>
          <w:p w14:paraId="5110F798">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7</w:t>
            </w:r>
          </w:p>
        </w:tc>
        <w:tc>
          <w:tcPr>
            <w:tcW w:w="942" w:type="dxa"/>
            <w:vAlign w:val="center"/>
          </w:tcPr>
          <w:p w14:paraId="386FDAB8">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16</w:t>
            </w:r>
          </w:p>
        </w:tc>
        <w:tc>
          <w:tcPr>
            <w:tcW w:w="1775" w:type="dxa"/>
            <w:vAlign w:val="center"/>
          </w:tcPr>
          <w:p w14:paraId="79EBAC65">
            <w:pPr>
              <w:pStyle w:val="4"/>
              <w:pageBreakBefore w:val="0"/>
              <w:widowControl w:val="0"/>
              <w:kinsoku/>
              <w:wordWrap/>
              <w:overflowPunct/>
              <w:topLinePunct w:val="0"/>
              <w:autoSpaceDE/>
              <w:autoSpaceDN/>
              <w:bidi w:val="0"/>
              <w:adjustRightInd/>
              <w:spacing w:before="0" w:after="0" w:line="380" w:lineRule="exact"/>
              <w:ind w:left="0"/>
              <w:jc w:val="center"/>
              <w:textAlignment w:val="auto"/>
              <w:rPr>
                <w:rFonts w:hint="eastAsia" w:ascii="宋体" w:hAnsi="宋体" w:eastAsia="宋体" w:cs="宋体"/>
                <w:b w:val="0"/>
                <w:bCs/>
                <w:color w:val="auto"/>
                <w:sz w:val="21"/>
                <w:szCs w:val="21"/>
                <w:highlight w:val="none"/>
                <w:lang w:eastAsia="zh-CN"/>
              </w:rPr>
            </w:pPr>
            <w:bookmarkStart w:id="45" w:name="_Toc27452"/>
            <w:bookmarkStart w:id="46" w:name="_Toc19911"/>
            <w:bookmarkStart w:id="47" w:name="_Toc19954"/>
            <w:r>
              <w:rPr>
                <w:rFonts w:hint="eastAsia" w:ascii="宋体" w:hAnsi="宋体" w:eastAsia="宋体" w:cs="宋体"/>
                <w:b w:val="0"/>
                <w:bCs/>
                <w:color w:val="auto"/>
                <w:sz w:val="21"/>
                <w:szCs w:val="21"/>
                <w:highlight w:val="none"/>
              </w:rPr>
              <w:t>响应文件的</w:t>
            </w:r>
            <w:r>
              <w:rPr>
                <w:rFonts w:hint="eastAsia" w:ascii="宋体" w:hAnsi="宋体" w:eastAsia="宋体" w:cs="宋体"/>
                <w:b w:val="0"/>
                <w:bCs/>
                <w:color w:val="auto"/>
                <w:sz w:val="21"/>
                <w:szCs w:val="21"/>
                <w:highlight w:val="none"/>
                <w:lang w:eastAsia="zh-CN"/>
              </w:rPr>
              <w:t>制作</w:t>
            </w:r>
            <w:bookmarkEnd w:id="45"/>
            <w:bookmarkEnd w:id="46"/>
            <w:bookmarkEnd w:id="47"/>
          </w:p>
          <w:p w14:paraId="155A6EA8">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lang w:eastAsia="zh-CN"/>
              </w:rPr>
            </w:pPr>
          </w:p>
        </w:tc>
        <w:tc>
          <w:tcPr>
            <w:tcW w:w="6912" w:type="dxa"/>
            <w:vAlign w:val="center"/>
          </w:tcPr>
          <w:p w14:paraId="05E3B7A6">
            <w:pPr>
              <w:pageBreakBefore w:val="0"/>
              <w:widowControl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16.1电子响应文件中须加盖供应商公章部分均采用 CA 签章，并根据“政府采购项目电子交易管理操作指南-供应商”及本磋商文件规定的格式和顺序编制电子响应文件并进行关联定位，以便磋商小组在评审时，点击评分项可直接定位到该评分项内容。如对磋商文件的某项要求，供应商的电子响应文件未能关联定位提供相应的内容与其对应，则磋商小组在评审时如做出对供应商不利的评审由供应商自行承担。电子响应文件如内容不完整、编排混乱导致响应文件被误读、漏读，或者在按采购文件规定的部位查找不到相关内容的，由供应商自行承担。</w:t>
            </w:r>
          </w:p>
          <w:p w14:paraId="55556D56">
            <w:pPr>
              <w:pageBreakBefore w:val="0"/>
              <w:widowControl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16.2供应商法定代表人（负责人）或授权委托人持有广西政府采购云平台个人CA签章的，应在响应文件中涉及到签字的位置使用个人CA签章，没有办理广西政府采购云平台个人CA签章的可在响应文件中涉及到签字的位置手写签字后扫描或者拍照做成 PDF 的格式上传即可。</w:t>
            </w:r>
          </w:p>
          <w:p w14:paraId="1005B068">
            <w:pPr>
              <w:pageBreakBefore w:val="0"/>
              <w:widowControl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16.3响应文件不得涂改，若有修改错漏处，须法定代表人（负责人）或授权委托人签字（或个人CA签章）。响应文件因字迹潦草或表达不清所引起的后果由供应商负责。</w:t>
            </w:r>
          </w:p>
          <w:p w14:paraId="6AA792A1">
            <w:pPr>
              <w:pageBreakBefore w:val="0"/>
              <w:widowControl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16.4磋商前准备 </w:t>
            </w:r>
          </w:p>
          <w:p w14:paraId="197C8291">
            <w:pPr>
              <w:pageBreakBefore w:val="0"/>
              <w:widowControl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16.4.1本项目实行在线磋商，采用电子响应文件。若供应商参与磋商，自行承担磋商一切费用。 </w:t>
            </w:r>
          </w:p>
          <w:p w14:paraId="153A0BB0">
            <w:pPr>
              <w:pageBreakBefore w:val="0"/>
              <w:widowControl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16.4.2各供应商在截标前应确保成为广西政府采购云平台正式注册入库供应商，并完成CA数字证书申领。如因未注册入库、未办理CA数字证书等原因造成无法磋商或磋商失败等后果由供应商自行承担。</w:t>
            </w:r>
          </w:p>
          <w:p w14:paraId="3545DBE7">
            <w:pPr>
              <w:pageBreakBefore w:val="0"/>
              <w:widowControl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16.4.3供应商将广西政府采购云平台电子交易客户端下载、安装完成后，可通过账号密码或CA登录客户端进行响应文件制作。客户端请至网站下载专区查看，如有问题可拨打广西政府采购云平台客户服务热线 95763 进行咨询。</w:t>
            </w:r>
          </w:p>
        </w:tc>
      </w:tr>
      <w:tr w14:paraId="57448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jc w:val="center"/>
        </w:trPr>
        <w:tc>
          <w:tcPr>
            <w:tcW w:w="662" w:type="dxa"/>
            <w:vAlign w:val="center"/>
          </w:tcPr>
          <w:p w14:paraId="4E7A7BDA">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8</w:t>
            </w:r>
          </w:p>
        </w:tc>
        <w:tc>
          <w:tcPr>
            <w:tcW w:w="942" w:type="dxa"/>
            <w:vAlign w:val="center"/>
          </w:tcPr>
          <w:p w14:paraId="060B9CAD">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18.1</w:t>
            </w:r>
          </w:p>
        </w:tc>
        <w:tc>
          <w:tcPr>
            <w:tcW w:w="1775" w:type="dxa"/>
            <w:vAlign w:val="center"/>
          </w:tcPr>
          <w:p w14:paraId="7FB79680">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响应文件递交截止时间</w:t>
            </w:r>
          </w:p>
        </w:tc>
        <w:tc>
          <w:tcPr>
            <w:tcW w:w="6912" w:type="dxa"/>
            <w:vAlign w:val="center"/>
          </w:tcPr>
          <w:p w14:paraId="73CD937F">
            <w:pPr>
              <w:pageBreakBefore w:val="0"/>
              <w:widowControl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u w:val="single"/>
                <w:lang w:eastAsia="zh-CN"/>
              </w:rPr>
              <w:t>于202</w:t>
            </w:r>
            <w:r>
              <w:rPr>
                <w:rFonts w:hint="eastAsia" w:ascii="宋体" w:hAnsi="宋体" w:eastAsia="宋体" w:cs="宋体"/>
                <w:color w:val="auto"/>
                <w:sz w:val="21"/>
                <w:szCs w:val="21"/>
                <w:highlight w:val="none"/>
                <w:u w:val="single"/>
                <w:lang w:val="en-US" w:eastAsia="zh-CN"/>
              </w:rPr>
              <w:t>4</w:t>
            </w:r>
            <w:r>
              <w:rPr>
                <w:rFonts w:hint="eastAsia" w:ascii="宋体" w:hAnsi="宋体" w:eastAsia="宋体" w:cs="宋体"/>
                <w:color w:val="auto"/>
                <w:sz w:val="21"/>
                <w:szCs w:val="21"/>
                <w:highlight w:val="none"/>
                <w:u w:val="single"/>
                <w:lang w:eastAsia="zh-CN"/>
              </w:rPr>
              <w:t>年</w:t>
            </w:r>
            <w:r>
              <w:rPr>
                <w:rFonts w:hint="eastAsia" w:ascii="宋体" w:hAnsi="宋体" w:cs="宋体"/>
                <w:color w:val="auto"/>
                <w:sz w:val="21"/>
                <w:szCs w:val="21"/>
                <w:highlight w:val="none"/>
                <w:u w:val="single"/>
                <w:lang w:val="en-US" w:eastAsia="zh-CN"/>
              </w:rPr>
              <w:t>11</w:t>
            </w:r>
            <w:r>
              <w:rPr>
                <w:rFonts w:hint="eastAsia" w:ascii="宋体" w:hAnsi="宋体" w:eastAsia="宋体" w:cs="宋体"/>
                <w:color w:val="auto"/>
                <w:sz w:val="21"/>
                <w:szCs w:val="21"/>
                <w:highlight w:val="none"/>
                <w:u w:val="single"/>
                <w:lang w:eastAsia="zh-CN"/>
              </w:rPr>
              <w:t>月</w:t>
            </w:r>
            <w:r>
              <w:rPr>
                <w:rFonts w:hint="eastAsia" w:ascii="宋体" w:hAnsi="宋体" w:cs="宋体"/>
                <w:color w:val="auto"/>
                <w:sz w:val="21"/>
                <w:szCs w:val="21"/>
                <w:highlight w:val="none"/>
                <w:u w:val="single"/>
                <w:lang w:val="en-US" w:eastAsia="zh-CN"/>
              </w:rPr>
              <w:t>4</w:t>
            </w:r>
            <w:r>
              <w:rPr>
                <w:rFonts w:hint="eastAsia" w:ascii="宋体" w:hAnsi="宋体" w:eastAsia="宋体" w:cs="宋体"/>
                <w:color w:val="auto"/>
                <w:sz w:val="21"/>
                <w:szCs w:val="21"/>
                <w:highlight w:val="none"/>
                <w:u w:val="single"/>
                <w:lang w:eastAsia="zh-CN"/>
              </w:rPr>
              <w:t>日</w:t>
            </w:r>
            <w:r>
              <w:rPr>
                <w:rFonts w:hint="eastAsia" w:ascii="宋体" w:hAnsi="宋体" w:cs="宋体"/>
                <w:color w:val="auto"/>
                <w:sz w:val="21"/>
                <w:szCs w:val="21"/>
                <w:highlight w:val="none"/>
                <w:u w:val="single"/>
                <w:lang w:val="en-US" w:eastAsia="zh-CN"/>
              </w:rPr>
              <w:t>9</w:t>
            </w:r>
            <w:r>
              <w:rPr>
                <w:rFonts w:hint="eastAsia" w:ascii="宋体" w:hAnsi="宋体" w:eastAsia="宋体" w:cs="宋体"/>
                <w:color w:val="auto"/>
                <w:sz w:val="21"/>
                <w:szCs w:val="21"/>
                <w:highlight w:val="none"/>
                <w:u w:val="single"/>
                <w:lang w:val="en-US" w:eastAsia="zh-CN"/>
              </w:rPr>
              <w:t>时30分</w:t>
            </w:r>
            <w:r>
              <w:rPr>
                <w:rFonts w:hint="eastAsia" w:ascii="宋体" w:hAnsi="宋体" w:eastAsia="宋体" w:cs="宋体"/>
                <w:color w:val="auto"/>
                <w:sz w:val="21"/>
                <w:szCs w:val="21"/>
                <w:highlight w:val="none"/>
                <w:u w:val="none"/>
                <w:lang w:val="en-US" w:eastAsia="zh-CN"/>
              </w:rPr>
              <w:t>之前将电子响应文件上传到广西政府采购云平台。</w:t>
            </w:r>
            <w:r>
              <w:rPr>
                <w:rFonts w:hint="eastAsia" w:ascii="宋体" w:hAnsi="宋体"/>
                <w:color w:val="auto"/>
                <w:szCs w:val="21"/>
                <w:highlight w:val="none"/>
              </w:rPr>
              <w:t>电子响应文件</w:t>
            </w:r>
            <w:r>
              <w:rPr>
                <w:rFonts w:hint="eastAsia" w:ascii="宋体" w:hAnsi="宋体" w:eastAsia="宋体" w:cs="宋体"/>
                <w:color w:val="auto"/>
                <w:sz w:val="21"/>
                <w:szCs w:val="21"/>
                <w:highlight w:val="none"/>
                <w:u w:val="none"/>
                <w:lang w:val="en-US" w:eastAsia="zh-CN"/>
              </w:rPr>
              <w:t>应按照本项目磋商文件和广西政府采购云平台的要求编制、加密传输响应文件。供应商在使用系统进行响应的过程中遇到涉及平台使用的任何问题，可致电广西政府采购云平台技术支持热线咨询，联系方式：95763</w:t>
            </w:r>
            <w:r>
              <w:rPr>
                <w:rFonts w:hint="eastAsia" w:ascii="宋体" w:hAnsi="宋体" w:eastAsia="宋体" w:cs="宋体"/>
                <w:color w:val="auto"/>
                <w:sz w:val="21"/>
                <w:szCs w:val="21"/>
                <w:highlight w:val="none"/>
              </w:rPr>
              <w:t>。</w:t>
            </w:r>
          </w:p>
        </w:tc>
      </w:tr>
      <w:tr w14:paraId="34CD5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662" w:type="dxa"/>
            <w:vAlign w:val="center"/>
          </w:tcPr>
          <w:p w14:paraId="0BE364FC">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position w:val="-2"/>
                <w:sz w:val="21"/>
                <w:szCs w:val="21"/>
                <w:highlight w:val="none"/>
                <w:lang w:eastAsia="zh-CN"/>
              </w:rPr>
            </w:pPr>
            <w:r>
              <w:rPr>
                <w:rFonts w:hint="eastAsia" w:ascii="宋体" w:hAnsi="宋体" w:eastAsia="宋体" w:cs="宋体"/>
                <w:color w:val="auto"/>
                <w:position w:val="-2"/>
                <w:sz w:val="21"/>
                <w:szCs w:val="21"/>
                <w:highlight w:val="none"/>
                <w:lang w:val="en-US" w:eastAsia="zh-CN"/>
              </w:rPr>
              <w:t>9</w:t>
            </w:r>
          </w:p>
        </w:tc>
        <w:tc>
          <w:tcPr>
            <w:tcW w:w="942" w:type="dxa"/>
            <w:vAlign w:val="center"/>
          </w:tcPr>
          <w:p w14:paraId="30F53FE9">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position w:val="-2"/>
                <w:sz w:val="21"/>
                <w:szCs w:val="21"/>
                <w:highlight w:val="none"/>
              </w:rPr>
            </w:pPr>
            <w:r>
              <w:rPr>
                <w:rFonts w:hint="eastAsia" w:ascii="宋体" w:hAnsi="宋体" w:eastAsia="宋体" w:cs="宋体"/>
                <w:color w:val="auto"/>
                <w:position w:val="-2"/>
                <w:sz w:val="21"/>
                <w:szCs w:val="21"/>
                <w:highlight w:val="none"/>
              </w:rPr>
              <w:t>18.2</w:t>
            </w:r>
          </w:p>
        </w:tc>
        <w:tc>
          <w:tcPr>
            <w:tcW w:w="1775" w:type="dxa"/>
            <w:vAlign w:val="center"/>
          </w:tcPr>
          <w:p w14:paraId="3102FEA9">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position w:val="-2"/>
                <w:sz w:val="21"/>
                <w:szCs w:val="21"/>
                <w:highlight w:val="none"/>
              </w:rPr>
            </w:pPr>
            <w:r>
              <w:rPr>
                <w:rFonts w:hint="eastAsia" w:ascii="宋体" w:hAnsi="宋体" w:eastAsia="宋体" w:cs="宋体"/>
                <w:color w:val="auto"/>
                <w:sz w:val="21"/>
                <w:szCs w:val="21"/>
                <w:highlight w:val="none"/>
                <w:lang w:eastAsia="zh-CN"/>
              </w:rPr>
              <w:t>响应文件解密时间</w:t>
            </w:r>
          </w:p>
        </w:tc>
        <w:tc>
          <w:tcPr>
            <w:tcW w:w="6912" w:type="dxa"/>
            <w:vAlign w:val="center"/>
          </w:tcPr>
          <w:p w14:paraId="3E3D6B8B">
            <w:pPr>
              <w:pStyle w:val="7"/>
              <w:keepNext w:val="0"/>
              <w:keepLines w:val="0"/>
              <w:pageBreakBefore w:val="0"/>
              <w:widowControl w:val="0"/>
              <w:kinsoku/>
              <w:wordWrap/>
              <w:overflowPunct/>
              <w:topLinePunct w:val="0"/>
              <w:autoSpaceDE/>
              <w:autoSpaceDN/>
              <w:bidi w:val="0"/>
              <w:adjustRightInd/>
              <w:snapToGri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响应文件解密时间</w:t>
            </w:r>
            <w:r>
              <w:rPr>
                <w:rFonts w:hint="eastAsia" w:ascii="宋体" w:hAnsi="宋体" w:eastAsia="宋体" w:cs="宋体"/>
                <w:b w:val="0"/>
                <w:bCs w:val="0"/>
                <w:color w:val="auto"/>
                <w:kern w:val="2"/>
                <w:sz w:val="21"/>
                <w:szCs w:val="21"/>
                <w:highlight w:val="none"/>
                <w:lang w:eastAsia="zh-CN"/>
              </w:rPr>
              <w:t>：截标时间后</w:t>
            </w:r>
            <w:r>
              <w:rPr>
                <w:rFonts w:hint="eastAsia" w:ascii="宋体" w:hAnsi="宋体" w:eastAsia="宋体" w:cs="宋体"/>
                <w:b w:val="0"/>
                <w:bCs w:val="0"/>
                <w:color w:val="auto"/>
                <w:kern w:val="2"/>
                <w:sz w:val="21"/>
                <w:szCs w:val="21"/>
                <w:highlight w:val="none"/>
                <w:u w:val="none"/>
                <w:lang w:eastAsia="zh-CN"/>
              </w:rPr>
              <w:t>30</w:t>
            </w:r>
            <w:r>
              <w:rPr>
                <w:rFonts w:hint="eastAsia" w:ascii="宋体" w:hAnsi="宋体" w:eastAsia="宋体" w:cs="宋体"/>
                <w:b w:val="0"/>
                <w:bCs w:val="0"/>
                <w:color w:val="auto"/>
                <w:kern w:val="2"/>
                <w:sz w:val="21"/>
                <w:szCs w:val="21"/>
                <w:highlight w:val="none"/>
                <w:lang w:eastAsia="zh-CN"/>
              </w:rPr>
              <w:t>分钟内供应商可以登录广西政府采购云平台，用“项目采购-开标评标”功能进行解密响应文件。若供应商在规定时间内无法解密或解密失败，</w:t>
            </w:r>
            <w:r>
              <w:rPr>
                <w:rFonts w:ascii="宋体" w:hAnsi="宋体"/>
                <w:color w:val="auto"/>
                <w:szCs w:val="21"/>
                <w:highlight w:val="none"/>
              </w:rPr>
              <w:t>可向</w:t>
            </w:r>
            <w:r>
              <w:rPr>
                <w:rFonts w:hint="eastAsia" w:ascii="宋体" w:hAnsi="宋体"/>
                <w:color w:val="auto"/>
                <w:szCs w:val="21"/>
                <w:highlight w:val="none"/>
              </w:rPr>
              <w:t>采购</w:t>
            </w:r>
            <w:r>
              <w:rPr>
                <w:rFonts w:ascii="宋体" w:hAnsi="宋体"/>
                <w:color w:val="auto"/>
                <w:szCs w:val="21"/>
                <w:highlight w:val="none"/>
              </w:rPr>
              <w:t>代理机构提供电子备份响应文件</w:t>
            </w:r>
            <w:r>
              <w:rPr>
                <w:rFonts w:hint="eastAsia" w:ascii="宋体" w:hAnsi="宋体" w:eastAsia="宋体" w:cs="宋体"/>
                <w:b/>
                <w:bCs/>
                <w:color w:val="auto"/>
                <w:kern w:val="2"/>
                <w:sz w:val="21"/>
                <w:szCs w:val="21"/>
                <w:highlight w:val="none"/>
                <w:lang w:eastAsia="zh-CN"/>
              </w:rPr>
              <w:t>【在接到无法解密或解密失败的通知后，供应商可根据自身实际情况按通知时要求的时间到桂林市公共资源交易中心</w:t>
            </w:r>
            <w:r>
              <w:rPr>
                <w:rFonts w:hint="eastAsia" w:ascii="宋体" w:hAnsi="宋体" w:cs="宋体"/>
                <w:b/>
                <w:bCs/>
                <w:color w:val="auto"/>
                <w:kern w:val="2"/>
                <w:sz w:val="21"/>
                <w:szCs w:val="21"/>
                <w:highlight w:val="none"/>
                <w:u w:val="single"/>
                <w:lang w:val="en-US" w:eastAsia="zh-CN"/>
              </w:rPr>
              <w:t xml:space="preserve"> </w:t>
            </w:r>
            <w:r>
              <w:rPr>
                <w:rFonts w:hint="eastAsia" w:ascii="宋体" w:hAnsi="宋体" w:eastAsia="宋体" w:cs="宋体"/>
                <w:b/>
                <w:bCs/>
                <w:color w:val="auto"/>
                <w:kern w:val="2"/>
                <w:sz w:val="21"/>
                <w:szCs w:val="21"/>
                <w:highlight w:val="none"/>
                <w:u w:val="single"/>
                <w:lang w:eastAsia="zh-CN"/>
              </w:rPr>
              <w:t>9</w:t>
            </w:r>
            <w:r>
              <w:rPr>
                <w:rFonts w:hint="eastAsia" w:ascii="宋体" w:hAnsi="宋体" w:cs="宋体"/>
                <w:b/>
                <w:bCs/>
                <w:color w:val="auto"/>
                <w:kern w:val="2"/>
                <w:sz w:val="21"/>
                <w:szCs w:val="21"/>
                <w:highlight w:val="none"/>
                <w:u w:val="single"/>
                <w:lang w:val="en-US" w:eastAsia="zh-CN"/>
              </w:rPr>
              <w:t xml:space="preserve"> </w:t>
            </w:r>
            <w:r>
              <w:rPr>
                <w:rFonts w:hint="eastAsia" w:ascii="宋体" w:hAnsi="宋体" w:eastAsia="宋体" w:cs="宋体"/>
                <w:b/>
                <w:bCs/>
                <w:color w:val="auto"/>
                <w:kern w:val="2"/>
                <w:sz w:val="21"/>
                <w:szCs w:val="21"/>
                <w:highlight w:val="none"/>
                <w:lang w:eastAsia="zh-CN"/>
              </w:rPr>
              <w:t>号政采开标仓现场提交或以电子邮件的形式（以通知时所告知的电子邮箱地址为准）提交电子备份响应文件】</w:t>
            </w:r>
            <w:r>
              <w:rPr>
                <w:rFonts w:hint="eastAsia" w:ascii="宋体" w:hAnsi="宋体" w:eastAsia="宋体" w:cs="宋体"/>
                <w:b w:val="0"/>
                <w:bCs w:val="0"/>
                <w:color w:val="auto"/>
                <w:kern w:val="2"/>
                <w:sz w:val="21"/>
                <w:szCs w:val="21"/>
                <w:highlight w:val="none"/>
                <w:lang w:eastAsia="zh-CN"/>
              </w:rPr>
              <w:t>，若供应商在规定时间内无法解密或解密失败且未提供电子备份响应文件的(包含提供的电子备份文件无效或无法解密的情况)，视为无效响应。</w:t>
            </w:r>
          </w:p>
        </w:tc>
      </w:tr>
      <w:tr w14:paraId="4F469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662" w:type="dxa"/>
            <w:vAlign w:val="center"/>
          </w:tcPr>
          <w:p w14:paraId="7E1CD90D">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10</w:t>
            </w:r>
          </w:p>
        </w:tc>
        <w:tc>
          <w:tcPr>
            <w:tcW w:w="942" w:type="dxa"/>
            <w:vAlign w:val="center"/>
          </w:tcPr>
          <w:p w14:paraId="33F7B432">
            <w:pPr>
              <w:pageBreakBefore w:val="0"/>
              <w:widowControl w:val="0"/>
              <w:kinsoku/>
              <w:wordWrap/>
              <w:overflowPunct/>
              <w:topLinePunct w:val="0"/>
              <w:autoSpaceDE/>
              <w:autoSpaceDN/>
              <w:bidi w:val="0"/>
              <w:adjustRightInd/>
              <w:spacing w:line="380" w:lineRule="exact"/>
              <w:ind w:left="0" w:firstLine="105" w:firstLineChars="50"/>
              <w:jc w:val="center"/>
              <w:textAlignment w:val="auto"/>
              <w:rPr>
                <w:rFonts w:hint="eastAsia" w:ascii="宋体" w:hAnsi="宋体" w:eastAsia="宋体" w:cs="宋体"/>
                <w:color w:val="auto"/>
                <w:position w:val="-2"/>
                <w:sz w:val="21"/>
                <w:szCs w:val="21"/>
                <w:highlight w:val="none"/>
              </w:rPr>
            </w:pPr>
            <w:r>
              <w:rPr>
                <w:rFonts w:hint="eastAsia" w:ascii="宋体" w:hAnsi="宋体" w:eastAsia="宋体" w:cs="宋体"/>
                <w:color w:val="auto"/>
                <w:position w:val="-2"/>
                <w:sz w:val="21"/>
                <w:szCs w:val="21"/>
                <w:highlight w:val="none"/>
              </w:rPr>
              <w:t>19.1</w:t>
            </w:r>
          </w:p>
        </w:tc>
        <w:tc>
          <w:tcPr>
            <w:tcW w:w="1775" w:type="dxa"/>
            <w:vAlign w:val="center"/>
          </w:tcPr>
          <w:p w14:paraId="0A016136">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磋商小组组成</w:t>
            </w:r>
          </w:p>
        </w:tc>
        <w:tc>
          <w:tcPr>
            <w:tcW w:w="6912" w:type="dxa"/>
            <w:vAlign w:val="center"/>
          </w:tcPr>
          <w:p w14:paraId="5BF9FD2B">
            <w:pPr>
              <w:pageBreakBefore w:val="0"/>
              <w:widowControl w:val="0"/>
              <w:kinsoku/>
              <w:wordWrap/>
              <w:overflowPunct/>
              <w:topLinePunct w:val="0"/>
              <w:autoSpaceDE/>
              <w:autoSpaceDN/>
              <w:bidi w:val="0"/>
              <w:adjustRightInd/>
              <w:spacing w:line="380" w:lineRule="exact"/>
              <w:ind w:left="0" w:hanging="14" w:hangingChars="7"/>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磋商及评审工作由采购代理机构负责组织，具体磋商、评审工作由依法组建的磋商小组负责，磋商小组由采购人代表和有关方面的专家组成。磋商小组的构成：</w:t>
            </w:r>
            <w:r>
              <w:rPr>
                <w:rFonts w:hint="eastAsia" w:ascii="宋体" w:hAnsi="宋体" w:eastAsia="宋体" w:cs="宋体"/>
                <w:color w:val="auto"/>
                <w:sz w:val="21"/>
                <w:szCs w:val="21"/>
                <w:highlight w:val="none"/>
                <w:u w:val="single"/>
              </w:rPr>
              <w:t xml:space="preserve">3 </w:t>
            </w:r>
            <w:r>
              <w:rPr>
                <w:rFonts w:hint="eastAsia" w:ascii="宋体" w:hAnsi="宋体" w:eastAsia="宋体" w:cs="宋体"/>
                <w:color w:val="auto"/>
                <w:sz w:val="21"/>
                <w:szCs w:val="21"/>
                <w:highlight w:val="none"/>
              </w:rPr>
              <w:t>人，其中采购人代表</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 xml:space="preserve">1 </w:t>
            </w:r>
            <w:r>
              <w:rPr>
                <w:rFonts w:hint="eastAsia" w:ascii="宋体" w:hAnsi="宋体" w:eastAsia="宋体" w:cs="宋体"/>
                <w:color w:val="auto"/>
                <w:sz w:val="21"/>
                <w:szCs w:val="21"/>
                <w:highlight w:val="none"/>
              </w:rPr>
              <w:t>人，</w:t>
            </w:r>
            <w:r>
              <w:rPr>
                <w:rFonts w:hint="eastAsia" w:ascii="宋体" w:hAnsi="宋体"/>
                <w:color w:val="auto"/>
                <w:szCs w:val="21"/>
                <w:highlight w:val="none"/>
              </w:rPr>
              <w:t>技术、经济等</w:t>
            </w:r>
            <w:r>
              <w:rPr>
                <w:rFonts w:hint="eastAsia" w:ascii="宋体" w:hAnsi="宋体" w:eastAsia="宋体" w:cs="宋体"/>
                <w:color w:val="auto"/>
                <w:sz w:val="21"/>
                <w:szCs w:val="21"/>
                <w:highlight w:val="none"/>
              </w:rPr>
              <w:t>专家</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 xml:space="preserve">2 </w:t>
            </w:r>
            <w:r>
              <w:rPr>
                <w:rFonts w:hint="eastAsia" w:ascii="宋体" w:hAnsi="宋体" w:eastAsia="宋体" w:cs="宋体"/>
                <w:color w:val="auto"/>
                <w:sz w:val="21"/>
                <w:szCs w:val="21"/>
                <w:highlight w:val="none"/>
              </w:rPr>
              <w:t>人。</w:t>
            </w:r>
          </w:p>
        </w:tc>
      </w:tr>
      <w:tr w14:paraId="72D38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5" w:hRule="atLeast"/>
          <w:jc w:val="center"/>
        </w:trPr>
        <w:tc>
          <w:tcPr>
            <w:tcW w:w="662" w:type="dxa"/>
            <w:vAlign w:val="center"/>
          </w:tcPr>
          <w:p w14:paraId="42891C3B">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11</w:t>
            </w:r>
          </w:p>
        </w:tc>
        <w:tc>
          <w:tcPr>
            <w:tcW w:w="942" w:type="dxa"/>
            <w:vAlign w:val="center"/>
          </w:tcPr>
          <w:p w14:paraId="36211359">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19.2</w:t>
            </w:r>
          </w:p>
        </w:tc>
        <w:tc>
          <w:tcPr>
            <w:tcW w:w="1775" w:type="dxa"/>
            <w:vAlign w:val="center"/>
          </w:tcPr>
          <w:p w14:paraId="62A8BB6C">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磋商时间、地点、人员</w:t>
            </w:r>
          </w:p>
        </w:tc>
        <w:tc>
          <w:tcPr>
            <w:tcW w:w="6912" w:type="dxa"/>
            <w:vAlign w:val="top"/>
          </w:tcPr>
          <w:p w14:paraId="5C3648F1">
            <w:pPr>
              <w:pageBreakBefore w:val="0"/>
              <w:widowControl w:val="0"/>
              <w:kinsoku/>
              <w:wordWrap/>
              <w:overflowPunct/>
              <w:topLinePunct w:val="0"/>
              <w:autoSpaceDE/>
              <w:autoSpaceDN/>
              <w:bidi w:val="0"/>
              <w:adjustRightInd/>
              <w:spacing w:line="380" w:lineRule="exact"/>
              <w:ind w:left="0" w:hanging="315" w:hangingChars="15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19.2.1磋商时间：</w:t>
            </w:r>
            <w:r>
              <w:rPr>
                <w:rFonts w:hint="eastAsia" w:ascii="宋体" w:hAnsi="宋体" w:cs="宋体"/>
                <w:color w:val="auto"/>
                <w:sz w:val="21"/>
                <w:szCs w:val="21"/>
                <w:highlight w:val="none"/>
                <w:lang w:eastAsia="zh-CN"/>
              </w:rPr>
              <w:t>首次</w:t>
            </w:r>
            <w:r>
              <w:rPr>
                <w:rFonts w:hint="eastAsia" w:ascii="宋体" w:hAnsi="宋体" w:eastAsia="宋体" w:cs="宋体"/>
                <w:color w:val="auto"/>
                <w:sz w:val="21"/>
                <w:szCs w:val="21"/>
                <w:highlight w:val="none"/>
              </w:rPr>
              <w:t>响应文件递交截止时间后。</w:t>
            </w:r>
          </w:p>
          <w:p w14:paraId="5424C015">
            <w:pPr>
              <w:pageBreakBefore w:val="0"/>
              <w:widowControl w:val="0"/>
              <w:kinsoku/>
              <w:wordWrap/>
              <w:overflowPunct/>
              <w:topLinePunct w:val="0"/>
              <w:autoSpaceDE/>
              <w:autoSpaceDN/>
              <w:bidi w:val="0"/>
              <w:adjustRightInd/>
              <w:spacing w:line="380" w:lineRule="exact"/>
              <w:ind w:left="0"/>
              <w:jc w:val="left"/>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19.2.2磋商地点：</w:t>
            </w:r>
            <w:r>
              <w:rPr>
                <w:rFonts w:hint="eastAsia" w:ascii="宋体" w:hAnsi="宋体" w:eastAsia="宋体" w:cs="宋体"/>
                <w:b/>
                <w:bCs/>
                <w:color w:val="auto"/>
                <w:sz w:val="21"/>
                <w:szCs w:val="21"/>
                <w:highlight w:val="none"/>
              </w:rPr>
              <w:t>供应商代表在响应文件提交当天实时</w:t>
            </w:r>
            <w:r>
              <w:rPr>
                <w:rFonts w:hint="eastAsia" w:ascii="宋体" w:hAnsi="宋体" w:cs="宋体"/>
                <w:b/>
                <w:bCs/>
                <w:color w:val="auto"/>
                <w:sz w:val="21"/>
                <w:szCs w:val="21"/>
                <w:highlight w:val="none"/>
                <w:lang w:eastAsia="zh-CN"/>
              </w:rPr>
              <w:t>登录</w:t>
            </w:r>
            <w:r>
              <w:rPr>
                <w:rFonts w:hint="eastAsia" w:ascii="宋体" w:hAnsi="宋体" w:eastAsia="宋体" w:cs="宋体"/>
                <w:b/>
                <w:bCs/>
                <w:color w:val="auto"/>
                <w:sz w:val="21"/>
                <w:szCs w:val="21"/>
                <w:highlight w:val="none"/>
              </w:rPr>
              <w:t>“广西政府采购云平台”，按磋商小组要求在线等候参与磋商及提交最后报价。因供应商未保持实时在线，导致磋商小组无法及时与其取得联系，从而造成供应商未按规定参与磋商或报价的，其不利后果由供应商自行承担</w:t>
            </w:r>
            <w:r>
              <w:rPr>
                <w:rFonts w:hint="eastAsia" w:ascii="宋体" w:hAnsi="宋体" w:eastAsia="宋体" w:cs="宋体"/>
                <w:color w:val="auto"/>
                <w:sz w:val="21"/>
                <w:szCs w:val="21"/>
                <w:highlight w:val="none"/>
                <w:lang w:eastAsia="zh-CN"/>
              </w:rPr>
              <w:t>。</w:t>
            </w:r>
          </w:p>
          <w:p w14:paraId="4DF5AD47">
            <w:pPr>
              <w:pageBreakBefore w:val="0"/>
              <w:widowControl w:val="0"/>
              <w:kinsoku/>
              <w:wordWrap/>
              <w:overflowPunct/>
              <w:topLinePunct w:val="0"/>
              <w:autoSpaceDE/>
              <w:autoSpaceDN/>
              <w:bidi w:val="0"/>
              <w:adjustRightInd/>
              <w:spacing w:line="380" w:lineRule="exact"/>
              <w:ind w:left="0" w:hanging="14" w:hangingChars="7"/>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19.2.3磋商参加人员：</w:t>
            </w:r>
            <w:r>
              <w:rPr>
                <w:rFonts w:hint="eastAsia" w:ascii="宋体" w:hAnsi="宋体" w:eastAsia="宋体" w:cs="宋体"/>
                <w:b w:val="0"/>
                <w:bCs w:val="0"/>
                <w:color w:val="auto"/>
                <w:sz w:val="21"/>
                <w:szCs w:val="21"/>
                <w:highlight w:val="none"/>
              </w:rPr>
              <w:t>供应商法定代表人、负责人、自然人或相应的委托代理人参加磋商。请供应商实时</w:t>
            </w:r>
            <w:r>
              <w:rPr>
                <w:rFonts w:hint="eastAsia" w:ascii="宋体" w:hAnsi="宋体" w:cs="宋体"/>
                <w:b w:val="0"/>
                <w:bCs w:val="0"/>
                <w:color w:val="auto"/>
                <w:sz w:val="21"/>
                <w:szCs w:val="21"/>
                <w:highlight w:val="none"/>
                <w:lang w:eastAsia="zh-CN"/>
              </w:rPr>
              <w:t>登录</w:t>
            </w:r>
            <w:r>
              <w:rPr>
                <w:rFonts w:hint="eastAsia" w:ascii="宋体" w:hAnsi="宋体" w:eastAsia="宋体" w:cs="宋体"/>
                <w:b w:val="0"/>
                <w:bCs w:val="0"/>
                <w:color w:val="auto"/>
                <w:sz w:val="21"/>
                <w:szCs w:val="21"/>
                <w:highlight w:val="none"/>
              </w:rPr>
              <w:t>“广西政府采购云平台”等候在线磋商</w:t>
            </w:r>
            <w:r>
              <w:rPr>
                <w:rFonts w:hint="eastAsia" w:ascii="宋体" w:hAnsi="宋体" w:eastAsia="宋体" w:cs="宋体"/>
                <w:color w:val="auto"/>
                <w:sz w:val="21"/>
                <w:szCs w:val="21"/>
                <w:highlight w:val="none"/>
              </w:rPr>
              <w:t>。</w:t>
            </w:r>
          </w:p>
          <w:p w14:paraId="6C39F6FD">
            <w:pPr>
              <w:pageBreakBefore w:val="0"/>
              <w:widowControl w:val="0"/>
              <w:tabs>
                <w:tab w:val="left" w:pos="1140"/>
              </w:tabs>
              <w:kinsoku/>
              <w:wordWrap/>
              <w:overflowPunct/>
              <w:topLinePunct w:val="0"/>
              <w:autoSpaceDE/>
              <w:autoSpaceDN/>
              <w:bidi w:val="0"/>
              <w:adjustRightInd/>
              <w:spacing w:line="380" w:lineRule="exact"/>
              <w:ind w:left="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19.2.4</w:t>
            </w:r>
            <w:r>
              <w:rPr>
                <w:rFonts w:hint="eastAsia" w:ascii="宋体" w:hAnsi="宋体"/>
                <w:bCs/>
                <w:color w:val="auto"/>
                <w:szCs w:val="21"/>
                <w:highlight w:val="none"/>
              </w:rPr>
              <w:t>首次响应文件提交截止时间后，登录“</w:t>
            </w:r>
            <w:r>
              <w:rPr>
                <w:rFonts w:hint="eastAsia" w:ascii="宋体" w:hAnsi="宋体"/>
                <w:bCs/>
                <w:color w:val="auto"/>
                <w:szCs w:val="21"/>
                <w:highlight w:val="none"/>
                <w:lang w:eastAsia="zh-CN"/>
              </w:rPr>
              <w:t>广西政府采购云平台</w:t>
            </w:r>
            <w:r>
              <w:rPr>
                <w:rFonts w:hint="eastAsia" w:ascii="宋体" w:hAnsi="宋体"/>
                <w:bCs/>
                <w:color w:val="auto"/>
                <w:szCs w:val="21"/>
                <w:highlight w:val="none"/>
              </w:rPr>
              <w:t>”在线解密开启</w:t>
            </w:r>
            <w:r>
              <w:rPr>
                <w:rFonts w:hint="eastAsia" w:ascii="宋体" w:hAnsi="宋体" w:eastAsia="宋体" w:cs="宋体"/>
                <w:color w:val="auto"/>
                <w:sz w:val="21"/>
                <w:szCs w:val="21"/>
                <w:highlight w:val="none"/>
              </w:rPr>
              <w:t>。</w:t>
            </w:r>
          </w:p>
        </w:tc>
      </w:tr>
      <w:tr w14:paraId="7786E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662" w:type="dxa"/>
            <w:vAlign w:val="center"/>
          </w:tcPr>
          <w:p w14:paraId="0A6476EE">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kern w:val="0"/>
                <w:sz w:val="21"/>
                <w:szCs w:val="21"/>
                <w:highlight w:val="none"/>
                <w:lang w:val="en-US" w:eastAsia="zh-CN"/>
              </w:rPr>
              <w:t>12</w:t>
            </w:r>
          </w:p>
        </w:tc>
        <w:tc>
          <w:tcPr>
            <w:tcW w:w="942" w:type="dxa"/>
            <w:vAlign w:val="center"/>
          </w:tcPr>
          <w:p w14:paraId="6F2DE62C">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20.2</w:t>
            </w:r>
          </w:p>
        </w:tc>
        <w:tc>
          <w:tcPr>
            <w:tcW w:w="1775" w:type="dxa"/>
            <w:vAlign w:val="center"/>
          </w:tcPr>
          <w:p w14:paraId="64ADC881">
            <w:pPr>
              <w:pStyle w:val="11"/>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评审办法</w:t>
            </w:r>
          </w:p>
        </w:tc>
        <w:tc>
          <w:tcPr>
            <w:tcW w:w="6912" w:type="dxa"/>
            <w:vAlign w:val="center"/>
          </w:tcPr>
          <w:p w14:paraId="6A600ED5">
            <w:pPr>
              <w:pageBreakBefore w:val="0"/>
              <w:widowControl w:val="0"/>
              <w:tabs>
                <w:tab w:val="left" w:pos="1140"/>
              </w:tabs>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具体详见第四章评审办法。</w:t>
            </w:r>
          </w:p>
        </w:tc>
      </w:tr>
      <w:tr w14:paraId="176DC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662" w:type="dxa"/>
            <w:vAlign w:val="center"/>
          </w:tcPr>
          <w:p w14:paraId="56920B65">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13</w:t>
            </w:r>
          </w:p>
        </w:tc>
        <w:tc>
          <w:tcPr>
            <w:tcW w:w="942" w:type="dxa"/>
            <w:vAlign w:val="center"/>
          </w:tcPr>
          <w:p w14:paraId="60EA8567">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26</w:t>
            </w:r>
          </w:p>
        </w:tc>
        <w:tc>
          <w:tcPr>
            <w:tcW w:w="1775" w:type="dxa"/>
            <w:vAlign w:val="center"/>
          </w:tcPr>
          <w:p w14:paraId="0FA9C44A">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信用查询</w:t>
            </w:r>
          </w:p>
        </w:tc>
        <w:tc>
          <w:tcPr>
            <w:tcW w:w="6912" w:type="dxa"/>
            <w:vAlign w:val="center"/>
          </w:tcPr>
          <w:p w14:paraId="39DF37B5">
            <w:pPr>
              <w:pageBreakBefore w:val="0"/>
              <w:widowControl w:val="0"/>
              <w:kinsoku/>
              <w:wordWrap/>
              <w:overflowPunct/>
              <w:topLinePunct w:val="0"/>
              <w:autoSpaceDE/>
              <w:autoSpaceDN/>
              <w:bidi w:val="0"/>
              <w:adjustRightInd/>
              <w:spacing w:line="380" w:lineRule="exact"/>
              <w:ind w:left="0" w:hanging="14" w:hangingChars="7"/>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根据《关于做好政府采购有关信用主体标识码登记及在政府采购活动中查询使用信用记录有关问题的通知》（桂财采〔2016〕37），由采购代理机构对第一成交候选人进行信用查询：</w:t>
            </w:r>
          </w:p>
          <w:p w14:paraId="68B15E55">
            <w:pPr>
              <w:pageBreakBefore w:val="0"/>
              <w:widowControl w:val="0"/>
              <w:kinsoku/>
              <w:wordWrap/>
              <w:overflowPunct/>
              <w:topLinePunct w:val="0"/>
              <w:autoSpaceDE/>
              <w:autoSpaceDN/>
              <w:bidi w:val="0"/>
              <w:adjustRightInd/>
              <w:spacing w:line="380" w:lineRule="exact"/>
              <w:ind w:left="0" w:hanging="14" w:hangingChars="7"/>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⑴查询渠道：“信用中国”网站(www.creditchina.gov.cn)、中国政府采购网(www.ccgp.gov.cn)等；</w:t>
            </w:r>
          </w:p>
          <w:p w14:paraId="5D4D4F3C">
            <w:pPr>
              <w:pageBreakBefore w:val="0"/>
              <w:widowControl w:val="0"/>
              <w:kinsoku/>
              <w:wordWrap/>
              <w:overflowPunct/>
              <w:topLinePunct w:val="0"/>
              <w:autoSpaceDE/>
              <w:autoSpaceDN/>
              <w:bidi w:val="0"/>
              <w:adjustRightInd/>
              <w:spacing w:line="380" w:lineRule="exact"/>
              <w:ind w:left="0" w:hanging="315" w:hangingChars="15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⑵查询时间：成交通知书发出前；</w:t>
            </w:r>
          </w:p>
          <w:p w14:paraId="2EFE656B">
            <w:pPr>
              <w:pageBreakBefore w:val="0"/>
              <w:widowControl w:val="0"/>
              <w:kinsoku/>
              <w:wordWrap/>
              <w:overflowPunct/>
              <w:topLinePunct w:val="0"/>
              <w:autoSpaceDE/>
              <w:autoSpaceDN/>
              <w:bidi w:val="0"/>
              <w:adjustRightInd/>
              <w:spacing w:line="380" w:lineRule="exact"/>
              <w:ind w:left="0" w:hanging="14" w:hangingChars="7"/>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⑶信用信息查询记录和证据留存方式：在查询网站中直接打印查询记录，打印材料作为采购活动资料保存；</w:t>
            </w:r>
          </w:p>
          <w:p w14:paraId="1502D4B0">
            <w:pPr>
              <w:pageBreakBefore w:val="0"/>
              <w:widowControl w:val="0"/>
              <w:kinsoku/>
              <w:wordWrap/>
              <w:overflowPunct/>
              <w:topLinePunct w:val="0"/>
              <w:autoSpaceDE/>
              <w:autoSpaceDN/>
              <w:bidi w:val="0"/>
              <w:adjustRightInd/>
              <w:spacing w:line="380" w:lineRule="exact"/>
              <w:ind w:left="0" w:hanging="14" w:hangingChars="7"/>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⑷信用信息使用规则：对在“信用中国”网站(www.creditchina.gov.cn)、中国政府采购网(www.ccgp.gov.cn)等渠道列入失信被执行人、重大税收违法案件当事人名单、政府采购严重违法失信行为记录名单及其他不符合《中华人民共和国政府采购法》第二十二条规定条件的供应商，取消其成交候选人资格。采购人依法按照评审报告中磋商小组推荐成交候选人排序表确定排名第二的成交候选人为成交供应商或者重新组织采购。</w:t>
            </w:r>
          </w:p>
        </w:tc>
      </w:tr>
      <w:tr w14:paraId="398B5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662" w:type="dxa"/>
            <w:vAlign w:val="center"/>
          </w:tcPr>
          <w:p w14:paraId="3E95285E">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14</w:t>
            </w:r>
          </w:p>
        </w:tc>
        <w:tc>
          <w:tcPr>
            <w:tcW w:w="942" w:type="dxa"/>
            <w:vAlign w:val="center"/>
          </w:tcPr>
          <w:p w14:paraId="0B012667">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27</w:t>
            </w:r>
          </w:p>
        </w:tc>
        <w:tc>
          <w:tcPr>
            <w:tcW w:w="1775" w:type="dxa"/>
            <w:vAlign w:val="center"/>
          </w:tcPr>
          <w:p w14:paraId="5814C036">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成交结果公告</w:t>
            </w:r>
          </w:p>
          <w:p w14:paraId="7F5A7780">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及成交通知书</w:t>
            </w:r>
          </w:p>
        </w:tc>
        <w:tc>
          <w:tcPr>
            <w:tcW w:w="6912" w:type="dxa"/>
            <w:vAlign w:val="top"/>
          </w:tcPr>
          <w:p w14:paraId="0B3A1F6C">
            <w:pPr>
              <w:pageBreakBefore w:val="0"/>
              <w:widowControl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27.1采购代理机构于</w:t>
            </w:r>
            <w:r>
              <w:rPr>
                <w:rFonts w:hint="eastAsia" w:ascii="宋体" w:hAnsi="宋体" w:cs="宋体"/>
                <w:color w:val="auto"/>
                <w:sz w:val="21"/>
                <w:szCs w:val="21"/>
                <w:highlight w:val="none"/>
                <w:lang w:eastAsia="zh-CN"/>
              </w:rPr>
              <w:t>评审</w:t>
            </w:r>
            <w:r>
              <w:rPr>
                <w:rFonts w:hint="eastAsia" w:ascii="宋体" w:hAnsi="宋体" w:eastAsia="宋体" w:cs="宋体"/>
                <w:color w:val="auto"/>
                <w:sz w:val="21"/>
                <w:szCs w:val="21"/>
                <w:highlight w:val="none"/>
              </w:rPr>
              <w:t>结束后两个工作日内将评审报告送交采购人，采购人应当自收到评审报告五个工作日内在评审报告推荐的成交候选</w:t>
            </w:r>
            <w:r>
              <w:rPr>
                <w:rFonts w:hint="eastAsia" w:ascii="宋体" w:hAnsi="宋体" w:cs="宋体"/>
                <w:color w:val="auto"/>
                <w:sz w:val="21"/>
                <w:szCs w:val="21"/>
                <w:highlight w:val="none"/>
                <w:lang w:eastAsia="zh-CN"/>
              </w:rPr>
              <w:t>供应商</w:t>
            </w:r>
            <w:r>
              <w:rPr>
                <w:rFonts w:hint="eastAsia" w:ascii="宋体" w:hAnsi="宋体" w:eastAsia="宋体" w:cs="宋体"/>
                <w:color w:val="auto"/>
                <w:sz w:val="21"/>
                <w:szCs w:val="21"/>
                <w:highlight w:val="none"/>
              </w:rPr>
              <w:t>中按顺序确定成交供应商，采购代理机构在成交供应商确定之日起两个工作日内发出成交通知书，并在指定媒体上公告成交信息。</w:t>
            </w:r>
          </w:p>
          <w:p w14:paraId="6729D645">
            <w:pPr>
              <w:pageBreakBefore w:val="0"/>
              <w:widowControl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27.2在发布成交公告的同时，采购代理机构向成交供应商发出成交通知书。成交供应商自接到通知之日起七个工作日内，办理成交通知书领取手续。</w:t>
            </w:r>
          </w:p>
        </w:tc>
      </w:tr>
      <w:tr w14:paraId="2D61D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662" w:type="dxa"/>
            <w:vAlign w:val="center"/>
          </w:tcPr>
          <w:p w14:paraId="56306617">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15</w:t>
            </w:r>
          </w:p>
        </w:tc>
        <w:tc>
          <w:tcPr>
            <w:tcW w:w="942" w:type="dxa"/>
            <w:vAlign w:val="center"/>
          </w:tcPr>
          <w:p w14:paraId="3B83C37F">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28</w:t>
            </w:r>
          </w:p>
        </w:tc>
        <w:tc>
          <w:tcPr>
            <w:tcW w:w="1775" w:type="dxa"/>
            <w:vAlign w:val="center"/>
          </w:tcPr>
          <w:p w14:paraId="60772DF9">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履约保证金</w:t>
            </w:r>
          </w:p>
        </w:tc>
        <w:tc>
          <w:tcPr>
            <w:tcW w:w="6912" w:type="dxa"/>
            <w:vAlign w:val="center"/>
          </w:tcPr>
          <w:p w14:paraId="2457204B">
            <w:pPr>
              <w:pageBreakBefore w:val="0"/>
              <w:widowControl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根据《桂林市财政局关于贯彻落实政府采购优化营商环境百日攻坚行动方案的通知》（市财采〔2020〕24号）第四条的规定，本项目免收履约保证金。</w:t>
            </w:r>
          </w:p>
        </w:tc>
      </w:tr>
      <w:tr w14:paraId="0DE2D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662" w:type="dxa"/>
            <w:vAlign w:val="center"/>
          </w:tcPr>
          <w:p w14:paraId="7FFCBF1C">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16</w:t>
            </w:r>
          </w:p>
        </w:tc>
        <w:tc>
          <w:tcPr>
            <w:tcW w:w="942" w:type="dxa"/>
            <w:vAlign w:val="center"/>
          </w:tcPr>
          <w:p w14:paraId="12CBB0E0">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29.1</w:t>
            </w:r>
          </w:p>
        </w:tc>
        <w:tc>
          <w:tcPr>
            <w:tcW w:w="1775" w:type="dxa"/>
            <w:vAlign w:val="center"/>
          </w:tcPr>
          <w:p w14:paraId="33E2C923">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签订合同时间</w:t>
            </w:r>
          </w:p>
        </w:tc>
        <w:tc>
          <w:tcPr>
            <w:tcW w:w="6912" w:type="dxa"/>
            <w:vAlign w:val="top"/>
          </w:tcPr>
          <w:p w14:paraId="781075CF">
            <w:pPr>
              <w:pageBreakBefore w:val="0"/>
              <w:widowControl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bCs/>
                <w:color w:val="auto"/>
                <w:kern w:val="0"/>
                <w:sz w:val="21"/>
                <w:szCs w:val="21"/>
                <w:highlight w:val="none"/>
                <w:lang w:eastAsia="zh-CN"/>
              </w:rPr>
              <w:t>成交通知书</w:t>
            </w:r>
            <w:r>
              <w:rPr>
                <w:rFonts w:hint="eastAsia" w:ascii="宋体" w:hAnsi="宋体" w:eastAsia="宋体" w:cs="宋体"/>
                <w:bCs/>
                <w:color w:val="auto"/>
                <w:kern w:val="0"/>
                <w:sz w:val="21"/>
                <w:szCs w:val="21"/>
                <w:highlight w:val="none"/>
              </w:rPr>
              <w:t>发出之日起</w:t>
            </w:r>
            <w:r>
              <w:rPr>
                <w:rFonts w:hint="eastAsia" w:ascii="宋体" w:hAnsi="宋体" w:eastAsia="宋体" w:cs="宋体"/>
                <w:b/>
                <w:bCs w:val="0"/>
                <w:color w:val="auto"/>
                <w:kern w:val="0"/>
                <w:sz w:val="21"/>
                <w:szCs w:val="21"/>
                <w:highlight w:val="none"/>
                <w:lang w:val="en-US" w:eastAsia="zh-CN"/>
              </w:rPr>
              <w:t>8个工作日</w:t>
            </w:r>
            <w:r>
              <w:rPr>
                <w:rFonts w:hint="eastAsia" w:ascii="宋体" w:hAnsi="宋体" w:eastAsia="宋体" w:cs="宋体"/>
                <w:b/>
                <w:bCs w:val="0"/>
                <w:color w:val="auto"/>
                <w:kern w:val="0"/>
                <w:sz w:val="21"/>
                <w:szCs w:val="21"/>
                <w:highlight w:val="none"/>
              </w:rPr>
              <w:t>内</w:t>
            </w:r>
            <w:r>
              <w:rPr>
                <w:rFonts w:hint="eastAsia" w:ascii="宋体" w:hAnsi="宋体" w:eastAsia="宋体" w:cs="宋体"/>
                <w:bCs/>
                <w:color w:val="auto"/>
                <w:kern w:val="0"/>
                <w:sz w:val="21"/>
                <w:szCs w:val="21"/>
                <w:highlight w:val="none"/>
              </w:rPr>
              <w:t>签订合同</w:t>
            </w:r>
            <w:r>
              <w:rPr>
                <w:rFonts w:hint="eastAsia" w:ascii="宋体" w:hAnsi="宋体" w:eastAsia="宋体" w:cs="宋体"/>
                <w:color w:val="auto"/>
                <w:sz w:val="21"/>
                <w:szCs w:val="21"/>
                <w:highlight w:val="none"/>
              </w:rPr>
              <w:t>。成交供应商领取成交通知书后，应按规定与采购人签订合同。</w:t>
            </w:r>
          </w:p>
        </w:tc>
      </w:tr>
      <w:tr w14:paraId="04BFE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662" w:type="dxa"/>
            <w:vAlign w:val="center"/>
          </w:tcPr>
          <w:p w14:paraId="0C7DC574">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17</w:t>
            </w:r>
          </w:p>
        </w:tc>
        <w:tc>
          <w:tcPr>
            <w:tcW w:w="942" w:type="dxa"/>
            <w:vAlign w:val="center"/>
          </w:tcPr>
          <w:p w14:paraId="6C99087F">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29.3</w:t>
            </w:r>
          </w:p>
        </w:tc>
        <w:tc>
          <w:tcPr>
            <w:tcW w:w="1775" w:type="dxa"/>
            <w:vAlign w:val="center"/>
          </w:tcPr>
          <w:p w14:paraId="24BABADD">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合同备案存档</w:t>
            </w:r>
          </w:p>
        </w:tc>
        <w:tc>
          <w:tcPr>
            <w:tcW w:w="6912" w:type="dxa"/>
            <w:vAlign w:val="center"/>
          </w:tcPr>
          <w:p w14:paraId="073E6B59">
            <w:pPr>
              <w:pageBreakBefore w:val="0"/>
              <w:widowControl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政府采购合同双方自签订之日起一个工作日内将合同原件</w:t>
            </w:r>
            <w:r>
              <w:rPr>
                <w:rFonts w:hint="eastAsia" w:ascii="宋体" w:hAnsi="宋体" w:cs="宋体"/>
                <w:color w:val="auto"/>
                <w:sz w:val="21"/>
                <w:szCs w:val="21"/>
                <w:highlight w:val="none"/>
                <w:lang w:eastAsia="zh-CN"/>
              </w:rPr>
              <w:t>两</w:t>
            </w:r>
            <w:r>
              <w:rPr>
                <w:rFonts w:hint="eastAsia" w:ascii="宋体" w:hAnsi="宋体" w:eastAsia="宋体" w:cs="宋体"/>
                <w:color w:val="auto"/>
                <w:sz w:val="21"/>
                <w:szCs w:val="21"/>
                <w:highlight w:val="none"/>
              </w:rPr>
              <w:t>份交采购代理机构，采购代理机构将政府采购合同在省级以上人民政府财政部门指定媒体上公告。采购人于合同签订之日起七个工作日内将一份合同原件送本级财政部门备案，一份由</w:t>
            </w:r>
            <w:r>
              <w:rPr>
                <w:rFonts w:hint="eastAsia" w:ascii="宋体" w:hAnsi="宋体" w:cs="宋体"/>
                <w:color w:val="auto"/>
                <w:sz w:val="21"/>
                <w:szCs w:val="21"/>
                <w:highlight w:val="none"/>
                <w:lang w:eastAsia="zh-CN"/>
              </w:rPr>
              <w:t>广西高质建设管理咨询有限公司</w:t>
            </w:r>
            <w:r>
              <w:rPr>
                <w:rFonts w:hint="eastAsia" w:ascii="宋体" w:hAnsi="宋体" w:eastAsia="宋体" w:cs="宋体"/>
                <w:color w:val="auto"/>
                <w:sz w:val="21"/>
                <w:szCs w:val="21"/>
                <w:highlight w:val="none"/>
              </w:rPr>
              <w:t>存档。</w:t>
            </w:r>
          </w:p>
        </w:tc>
      </w:tr>
      <w:tr w14:paraId="58B6B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662" w:type="dxa"/>
            <w:vAlign w:val="center"/>
          </w:tcPr>
          <w:p w14:paraId="52CBD629">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18</w:t>
            </w:r>
          </w:p>
        </w:tc>
        <w:tc>
          <w:tcPr>
            <w:tcW w:w="942" w:type="dxa"/>
            <w:vAlign w:val="center"/>
          </w:tcPr>
          <w:p w14:paraId="54C61AA4">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30</w:t>
            </w:r>
          </w:p>
        </w:tc>
        <w:tc>
          <w:tcPr>
            <w:tcW w:w="1775" w:type="dxa"/>
            <w:vAlign w:val="center"/>
          </w:tcPr>
          <w:p w14:paraId="4AA447D2">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采购代理服务费</w:t>
            </w:r>
          </w:p>
        </w:tc>
        <w:tc>
          <w:tcPr>
            <w:tcW w:w="6912" w:type="dxa"/>
            <w:vAlign w:val="top"/>
          </w:tcPr>
          <w:p w14:paraId="018A571E">
            <w:pPr>
              <w:pageBreakBefore w:val="0"/>
              <w:widowControl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eastAsia="zh-CN"/>
              </w:rPr>
              <w:t>成交</w:t>
            </w:r>
            <w:r>
              <w:rPr>
                <w:rFonts w:hint="eastAsia" w:ascii="宋体" w:hAnsi="宋体" w:eastAsia="宋体" w:cs="宋体"/>
                <w:color w:val="auto"/>
                <w:sz w:val="21"/>
                <w:szCs w:val="21"/>
                <w:highlight w:val="none"/>
              </w:rPr>
              <w:t>人领取</w:t>
            </w:r>
            <w:r>
              <w:rPr>
                <w:rFonts w:hint="eastAsia" w:ascii="宋体" w:hAnsi="宋体" w:eastAsia="宋体" w:cs="宋体"/>
                <w:color w:val="auto"/>
                <w:sz w:val="21"/>
                <w:szCs w:val="21"/>
                <w:highlight w:val="none"/>
                <w:lang w:eastAsia="zh-CN"/>
              </w:rPr>
              <w:t>成交</w:t>
            </w:r>
            <w:r>
              <w:rPr>
                <w:rFonts w:hint="eastAsia" w:ascii="宋体" w:hAnsi="宋体" w:eastAsia="宋体" w:cs="宋体"/>
                <w:color w:val="auto"/>
                <w:sz w:val="21"/>
                <w:szCs w:val="21"/>
                <w:highlight w:val="none"/>
              </w:rPr>
              <w:t>通知书前，向</w:t>
            </w:r>
            <w:r>
              <w:rPr>
                <w:rFonts w:hint="eastAsia" w:ascii="宋体" w:hAnsi="宋体" w:eastAsia="宋体" w:cs="宋体"/>
                <w:color w:val="auto"/>
                <w:sz w:val="21"/>
                <w:szCs w:val="21"/>
                <w:highlight w:val="none"/>
                <w:lang w:eastAsia="zh-CN"/>
              </w:rPr>
              <w:t>采购</w:t>
            </w:r>
            <w:r>
              <w:rPr>
                <w:rFonts w:hint="eastAsia" w:ascii="宋体" w:hAnsi="宋体" w:eastAsia="宋体" w:cs="宋体"/>
                <w:color w:val="auto"/>
                <w:sz w:val="21"/>
                <w:szCs w:val="21"/>
                <w:highlight w:val="none"/>
              </w:rPr>
              <w:t>代理机构一次性付清</w:t>
            </w:r>
            <w:r>
              <w:rPr>
                <w:rFonts w:hint="eastAsia" w:ascii="宋体" w:hAnsi="宋体" w:eastAsia="宋体" w:cs="宋体"/>
                <w:color w:val="auto"/>
                <w:sz w:val="21"/>
                <w:szCs w:val="21"/>
                <w:highlight w:val="none"/>
                <w:lang w:eastAsia="zh-CN"/>
              </w:rPr>
              <w:t>采购</w:t>
            </w:r>
            <w:r>
              <w:rPr>
                <w:rFonts w:hint="eastAsia" w:ascii="宋体" w:hAnsi="宋体" w:eastAsia="宋体" w:cs="宋体"/>
                <w:color w:val="auto"/>
                <w:sz w:val="21"/>
                <w:szCs w:val="21"/>
                <w:highlight w:val="none"/>
              </w:rPr>
              <w:t>代理服务费，本项目</w:t>
            </w:r>
            <w:r>
              <w:rPr>
                <w:rFonts w:hint="eastAsia" w:ascii="宋体" w:hAnsi="宋体" w:eastAsia="宋体" w:cs="宋体"/>
                <w:color w:val="auto"/>
                <w:sz w:val="21"/>
                <w:szCs w:val="21"/>
                <w:highlight w:val="none"/>
                <w:lang w:eastAsia="zh-CN"/>
              </w:rPr>
              <w:t>采购</w:t>
            </w:r>
            <w:r>
              <w:rPr>
                <w:rFonts w:hint="eastAsia" w:ascii="宋体" w:hAnsi="宋体" w:eastAsia="宋体" w:cs="宋体"/>
                <w:color w:val="auto"/>
                <w:sz w:val="21"/>
                <w:szCs w:val="21"/>
                <w:highlight w:val="none"/>
              </w:rPr>
              <w:t>代理服务收费标准参照计价格</w:t>
            </w:r>
            <w:r>
              <w:rPr>
                <w:rFonts w:hint="eastAsia" w:ascii="宋体" w:hAnsi="宋体" w:cs="宋体"/>
                <w:color w:val="auto"/>
                <w:sz w:val="21"/>
                <w:szCs w:val="21"/>
                <w:highlight w:val="none"/>
                <w:lang w:eastAsia="zh-CN"/>
              </w:rPr>
              <w:t>〔2002〕1980号</w:t>
            </w:r>
            <w:r>
              <w:rPr>
                <w:rFonts w:hint="eastAsia" w:ascii="宋体" w:hAnsi="宋体" w:eastAsia="宋体" w:cs="宋体"/>
                <w:color w:val="auto"/>
                <w:sz w:val="21"/>
                <w:szCs w:val="21"/>
                <w:highlight w:val="none"/>
              </w:rPr>
              <w:t>《招标代理服务收费管理暂行办法》</w:t>
            </w:r>
            <w:r>
              <w:rPr>
                <w:rFonts w:hint="eastAsia" w:ascii="宋体" w:hAnsi="宋体" w:eastAsia="宋体" w:cs="宋体"/>
                <w:color w:val="auto"/>
                <w:sz w:val="21"/>
                <w:szCs w:val="21"/>
                <w:highlight w:val="none"/>
                <w:lang w:eastAsia="zh-CN"/>
              </w:rPr>
              <w:t>工程类</w:t>
            </w:r>
            <w:r>
              <w:rPr>
                <w:rFonts w:hint="eastAsia" w:ascii="宋体" w:hAnsi="宋体" w:eastAsia="宋体" w:cs="宋体"/>
                <w:color w:val="auto"/>
                <w:sz w:val="21"/>
                <w:szCs w:val="21"/>
                <w:highlight w:val="none"/>
              </w:rPr>
              <w:t>收费标准向</w:t>
            </w:r>
            <w:r>
              <w:rPr>
                <w:rFonts w:hint="eastAsia" w:ascii="宋体" w:hAnsi="宋体" w:eastAsia="宋体" w:cs="宋体"/>
                <w:color w:val="auto"/>
                <w:sz w:val="21"/>
                <w:szCs w:val="21"/>
                <w:highlight w:val="none"/>
                <w:lang w:eastAsia="zh-CN"/>
              </w:rPr>
              <w:t>成交</w:t>
            </w:r>
            <w:r>
              <w:rPr>
                <w:rFonts w:hint="eastAsia" w:ascii="宋体" w:hAnsi="宋体" w:eastAsia="宋体" w:cs="宋体"/>
                <w:color w:val="auto"/>
                <w:sz w:val="21"/>
                <w:szCs w:val="21"/>
                <w:highlight w:val="none"/>
              </w:rPr>
              <w:t>人收取（不足人民币</w:t>
            </w:r>
            <w:r>
              <w:rPr>
                <w:rFonts w:hint="eastAsia" w:ascii="宋体" w:hAnsi="宋体" w:eastAsia="宋体" w:cs="宋体"/>
                <w:color w:val="auto"/>
                <w:sz w:val="21"/>
                <w:szCs w:val="21"/>
                <w:highlight w:val="none"/>
                <w:lang w:val="en-US" w:eastAsia="zh-CN"/>
              </w:rPr>
              <w:t>5</w:t>
            </w:r>
            <w:r>
              <w:rPr>
                <w:rFonts w:hint="eastAsia" w:ascii="宋体" w:hAnsi="宋体" w:eastAsia="宋体" w:cs="宋体"/>
                <w:color w:val="auto"/>
                <w:sz w:val="21"/>
                <w:szCs w:val="21"/>
                <w:highlight w:val="none"/>
              </w:rPr>
              <w:t>000元的，按</w:t>
            </w:r>
            <w:r>
              <w:rPr>
                <w:rFonts w:hint="eastAsia" w:ascii="宋体" w:hAnsi="宋体" w:eastAsia="宋体" w:cs="宋体"/>
                <w:color w:val="auto"/>
                <w:sz w:val="21"/>
                <w:szCs w:val="21"/>
                <w:highlight w:val="none"/>
                <w:lang w:val="en-US" w:eastAsia="zh-CN"/>
              </w:rPr>
              <w:t>5</w:t>
            </w:r>
            <w:r>
              <w:rPr>
                <w:rFonts w:hint="eastAsia" w:ascii="宋体" w:hAnsi="宋体" w:eastAsia="宋体" w:cs="宋体"/>
                <w:color w:val="auto"/>
                <w:sz w:val="21"/>
                <w:szCs w:val="21"/>
                <w:highlight w:val="none"/>
              </w:rPr>
              <w:t>000元支付）。</w:t>
            </w:r>
          </w:p>
        </w:tc>
      </w:tr>
      <w:tr w14:paraId="3F7D4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662" w:type="dxa"/>
            <w:vAlign w:val="center"/>
          </w:tcPr>
          <w:p w14:paraId="304810C1">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19</w:t>
            </w:r>
          </w:p>
        </w:tc>
        <w:tc>
          <w:tcPr>
            <w:tcW w:w="942" w:type="dxa"/>
            <w:vAlign w:val="center"/>
          </w:tcPr>
          <w:p w14:paraId="30B93BA4">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31</w:t>
            </w:r>
          </w:p>
        </w:tc>
        <w:tc>
          <w:tcPr>
            <w:tcW w:w="1775" w:type="dxa"/>
            <w:vAlign w:val="center"/>
          </w:tcPr>
          <w:p w14:paraId="2ABC15BB">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解释权</w:t>
            </w:r>
          </w:p>
        </w:tc>
        <w:tc>
          <w:tcPr>
            <w:tcW w:w="6912" w:type="dxa"/>
            <w:vAlign w:val="top"/>
          </w:tcPr>
          <w:p w14:paraId="7B112C74">
            <w:pPr>
              <w:pageBreakBefore w:val="0"/>
              <w:widowControl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本竞争性磋商文件是根据《中华人民共和国政府采购法》《中华人民共和国政府采购法实施条例》《政府采购竞争性磋商采购方式管理暂行办法》和政府采购管理有关规定编制，本竞争性磋商文件的解释权属于采购代理机构。</w:t>
            </w:r>
          </w:p>
        </w:tc>
      </w:tr>
      <w:tr w14:paraId="1100D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662" w:type="dxa"/>
            <w:vAlign w:val="center"/>
          </w:tcPr>
          <w:p w14:paraId="3A2872F5">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20</w:t>
            </w:r>
          </w:p>
        </w:tc>
        <w:tc>
          <w:tcPr>
            <w:tcW w:w="942" w:type="dxa"/>
            <w:vAlign w:val="center"/>
          </w:tcPr>
          <w:p w14:paraId="77FFF3A4">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32</w:t>
            </w:r>
          </w:p>
        </w:tc>
        <w:tc>
          <w:tcPr>
            <w:tcW w:w="1775" w:type="dxa"/>
            <w:vAlign w:val="center"/>
          </w:tcPr>
          <w:p w14:paraId="5FE3CE57">
            <w:pPr>
              <w:pageBreakBefore w:val="0"/>
              <w:widowControl w:val="0"/>
              <w:kinsoku/>
              <w:wordWrap/>
              <w:overflowPunct/>
              <w:topLinePunct w:val="0"/>
              <w:autoSpaceDE/>
              <w:autoSpaceDN/>
              <w:bidi w:val="0"/>
              <w:adjustRightInd/>
              <w:spacing w:line="380" w:lineRule="exact"/>
              <w:ind w:left="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监督管理机构</w:t>
            </w:r>
          </w:p>
        </w:tc>
        <w:tc>
          <w:tcPr>
            <w:tcW w:w="6912" w:type="dxa"/>
            <w:vAlign w:val="center"/>
          </w:tcPr>
          <w:p w14:paraId="02E26411">
            <w:pPr>
              <w:pageBreakBefore w:val="0"/>
              <w:kinsoku/>
              <w:wordWrap/>
              <w:overflowPunct/>
              <w:topLinePunct w:val="0"/>
              <w:autoSpaceDE/>
              <w:autoSpaceDN/>
              <w:bidi w:val="0"/>
              <w:adjustRightInd/>
              <w:spacing w:line="380" w:lineRule="exact"/>
              <w:ind w:left="0"/>
              <w:textAlignment w:val="auto"/>
              <w:rPr>
                <w:rFonts w:hint="eastAsia" w:ascii="宋体" w:hAnsi="宋体" w:eastAsia="宋体" w:cs="宋体"/>
                <w:color w:val="auto"/>
                <w:sz w:val="21"/>
                <w:szCs w:val="21"/>
                <w:highlight w:val="none"/>
              </w:rPr>
            </w:pPr>
            <w:r>
              <w:rPr>
                <w:rFonts w:hint="eastAsia" w:ascii="宋体" w:hAnsi="宋体" w:eastAsia="宋体" w:cs="宋体"/>
                <w:color w:val="auto"/>
                <w:szCs w:val="21"/>
                <w:highlight w:val="none"/>
                <w:lang w:val="en-US" w:eastAsia="zh-CN"/>
              </w:rPr>
              <w:t>资源县政府采购管理办公室</w:t>
            </w:r>
            <w:r>
              <w:rPr>
                <w:rFonts w:hint="eastAsia" w:ascii="宋体" w:hAnsi="宋体" w:eastAsia="宋体" w:cs="宋体"/>
                <w:color w:val="auto"/>
                <w:szCs w:val="21"/>
                <w:highlight w:val="none"/>
              </w:rPr>
              <w:t xml:space="preserve"> </w:t>
            </w:r>
            <w:r>
              <w:rPr>
                <w:rFonts w:hint="eastAsia" w:ascii="宋体" w:hAnsi="宋体" w:eastAsia="宋体" w:cs="宋体"/>
                <w:color w:val="auto"/>
                <w:szCs w:val="21"/>
                <w:highlight w:val="none"/>
                <w:lang w:val="en-US" w:eastAsia="zh-CN"/>
              </w:rPr>
              <w:t xml:space="preserve">             </w:t>
            </w:r>
            <w:r>
              <w:rPr>
                <w:rFonts w:hint="eastAsia" w:ascii="宋体" w:hAnsi="宋体" w:eastAsia="宋体" w:cs="宋体"/>
                <w:color w:val="auto"/>
                <w:szCs w:val="21"/>
                <w:highlight w:val="none"/>
              </w:rPr>
              <w:t>电话：</w:t>
            </w:r>
            <w:r>
              <w:rPr>
                <w:rFonts w:hint="eastAsia" w:ascii="宋体" w:hAnsi="宋体" w:eastAsia="宋体" w:cs="宋体"/>
                <w:color w:val="auto"/>
                <w:szCs w:val="21"/>
                <w:highlight w:val="none"/>
                <w:lang w:val="en-US" w:eastAsia="zh-CN"/>
              </w:rPr>
              <w:t>0773-4315648</w:t>
            </w:r>
          </w:p>
        </w:tc>
      </w:tr>
    </w:tbl>
    <w:p w14:paraId="79FD2E08">
      <w:pPr>
        <w:pStyle w:val="17"/>
        <w:ind w:left="0" w:leftChars="0" w:firstLine="0" w:firstLineChars="0"/>
        <w:rPr>
          <w:rFonts w:hint="eastAsia" w:ascii="宋体" w:hAnsi="宋体" w:eastAsia="宋体" w:cs="宋体"/>
          <w:b/>
          <w:color w:val="auto"/>
          <w:sz w:val="21"/>
          <w:szCs w:val="21"/>
          <w:highlight w:val="none"/>
        </w:rPr>
      </w:pPr>
    </w:p>
    <w:p w14:paraId="567A1E10">
      <w:pPr>
        <w:pStyle w:val="3"/>
        <w:pageBreakBefore w:val="0"/>
        <w:widowControl w:val="0"/>
        <w:tabs>
          <w:tab w:val="left" w:pos="567"/>
        </w:tabs>
        <w:kinsoku/>
        <w:wordWrap/>
        <w:overflowPunct/>
        <w:topLinePunct w:val="0"/>
        <w:bidi w:val="0"/>
        <w:spacing w:line="440" w:lineRule="exact"/>
        <w:jc w:val="both"/>
        <w:textAlignment w:val="auto"/>
        <w:rPr>
          <w:rFonts w:hint="eastAsia" w:ascii="宋体" w:hAnsi="宋体" w:eastAsia="宋体" w:cs="宋体"/>
          <w:b/>
          <w:bCs w:val="0"/>
          <w:color w:val="auto"/>
          <w:sz w:val="21"/>
          <w:szCs w:val="21"/>
          <w:highlight w:val="none"/>
        </w:rPr>
        <w:sectPr>
          <w:footerReference r:id="rId8" w:type="first"/>
          <w:footerReference r:id="rId7" w:type="default"/>
          <w:pgSz w:w="11906" w:h="16838"/>
          <w:pgMar w:top="1077" w:right="1115" w:bottom="1191" w:left="1131" w:header="851" w:footer="992" w:gutter="0"/>
          <w:pgNumType w:fmt="decimal"/>
          <w:cols w:space="720" w:num="1"/>
          <w:titlePg/>
          <w:docGrid w:type="lines" w:linePitch="312" w:charSpace="0"/>
        </w:sectPr>
      </w:pPr>
      <w:bookmarkStart w:id="48" w:name="_Toc22792"/>
      <w:bookmarkStart w:id="49" w:name="_Toc27120"/>
    </w:p>
    <w:p w14:paraId="5FEC01C3">
      <w:pPr>
        <w:pStyle w:val="3"/>
        <w:keepNext/>
        <w:keepLines/>
        <w:pageBreakBefore w:val="0"/>
        <w:widowControl w:val="0"/>
        <w:tabs>
          <w:tab w:val="left" w:pos="567"/>
        </w:tabs>
        <w:kinsoku/>
        <w:wordWrap/>
        <w:overflowPunct/>
        <w:topLinePunct w:val="0"/>
        <w:autoSpaceDE/>
        <w:autoSpaceDN/>
        <w:bidi w:val="0"/>
        <w:adjustRightInd/>
        <w:snapToGrid/>
        <w:spacing w:before="0" w:after="0" w:line="380" w:lineRule="exact"/>
        <w:ind w:left="0" w:leftChars="0"/>
        <w:jc w:val="center"/>
        <w:textAlignment w:val="auto"/>
        <w:rPr>
          <w:rFonts w:hint="eastAsia" w:ascii="宋体" w:hAnsi="宋体" w:eastAsia="宋体" w:cs="宋体"/>
          <w:b/>
          <w:bCs w:val="0"/>
          <w:color w:val="auto"/>
          <w:sz w:val="21"/>
          <w:szCs w:val="21"/>
          <w:highlight w:val="none"/>
        </w:rPr>
      </w:pPr>
      <w:bookmarkStart w:id="50" w:name="_Toc19520"/>
      <w:r>
        <w:rPr>
          <w:rFonts w:hint="eastAsia" w:ascii="宋体" w:hAnsi="宋体" w:eastAsia="宋体" w:cs="宋体"/>
          <w:b/>
          <w:bCs w:val="0"/>
          <w:color w:val="auto"/>
          <w:sz w:val="21"/>
          <w:szCs w:val="21"/>
          <w:highlight w:val="none"/>
        </w:rPr>
        <w:t>一、总则</w:t>
      </w:r>
      <w:bookmarkEnd w:id="48"/>
      <w:bookmarkEnd w:id="49"/>
      <w:bookmarkEnd w:id="50"/>
    </w:p>
    <w:p w14:paraId="1651BBA4">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51" w:name="_Toc3367"/>
      <w:bookmarkStart w:id="52" w:name="_Toc6626"/>
      <w:r>
        <w:rPr>
          <w:rFonts w:hint="eastAsia" w:ascii="宋体" w:hAnsi="宋体" w:eastAsia="宋体" w:cs="宋体"/>
          <w:color w:val="auto"/>
          <w:sz w:val="21"/>
          <w:szCs w:val="21"/>
          <w:highlight w:val="none"/>
        </w:rPr>
        <w:t>1. 适应范围</w:t>
      </w:r>
      <w:bookmarkEnd w:id="51"/>
      <w:bookmarkEnd w:id="52"/>
    </w:p>
    <w:p w14:paraId="2EE4B7C9">
      <w:pPr>
        <w:pageBreakBefore w:val="0"/>
        <w:widowControl w:val="0"/>
        <w:kinsoku/>
        <w:wordWrap/>
        <w:overflowPunct/>
        <w:topLinePunct w:val="0"/>
        <w:bidi w:val="0"/>
        <w:snapToGrid/>
        <w:spacing w:line="380" w:lineRule="exact"/>
        <w:ind w:left="0" w:leftChars="0" w:firstLine="435"/>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1.1  项目名称及项目编号</w:t>
      </w:r>
    </w:p>
    <w:p w14:paraId="7177D591">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项目名称：</w:t>
      </w:r>
      <w:r>
        <w:rPr>
          <w:rFonts w:hint="eastAsia" w:ascii="宋体" w:hAnsi="宋体" w:cs="宋体"/>
          <w:color w:val="auto"/>
          <w:sz w:val="21"/>
          <w:szCs w:val="21"/>
          <w:highlight w:val="none"/>
          <w:lang w:val="en-US" w:eastAsia="zh-CN"/>
        </w:rPr>
        <w:t>中峰村油榨坪街村民议事中心</w:t>
      </w:r>
      <w:r>
        <w:rPr>
          <w:rFonts w:hint="eastAsia" w:ascii="宋体" w:hAnsi="宋体" w:eastAsia="宋体" w:cs="宋体"/>
          <w:color w:val="auto"/>
          <w:sz w:val="21"/>
          <w:szCs w:val="21"/>
          <w:highlight w:val="none"/>
        </w:rPr>
        <w:t xml:space="preserve">  </w:t>
      </w:r>
    </w:p>
    <w:p w14:paraId="10310EF8">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rPr>
        <w:t>项目编号：</w:t>
      </w:r>
      <w:r>
        <w:rPr>
          <w:rFonts w:hint="eastAsia" w:ascii="宋体" w:hAnsi="宋体" w:cs="宋体"/>
          <w:color w:val="auto"/>
          <w:sz w:val="21"/>
          <w:szCs w:val="21"/>
          <w:highlight w:val="none"/>
          <w:lang w:eastAsia="zh-CN"/>
        </w:rPr>
        <w:t>GLZC2024-C2-290265-GXGZ</w:t>
      </w:r>
    </w:p>
    <w:p w14:paraId="2D0078D7">
      <w:pPr>
        <w:pageBreakBefore w:val="0"/>
        <w:widowControl w:val="0"/>
        <w:kinsoku/>
        <w:wordWrap/>
        <w:overflowPunct/>
        <w:topLinePunct w:val="0"/>
        <w:bidi w:val="0"/>
        <w:snapToGrid/>
        <w:spacing w:line="380" w:lineRule="exact"/>
        <w:ind w:left="0" w:leftChars="0" w:firstLine="411" w:firstLineChars="196"/>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1.2本竞争性磋商文件（以下简称磋商文件）适用于本磋商项目的磋商、评审、合同履约、验收、付款等行为（</w:t>
      </w:r>
      <w:r>
        <w:rPr>
          <w:rFonts w:hint="eastAsia" w:ascii="宋体" w:hAnsi="宋体" w:cs="宋体"/>
          <w:color w:val="auto"/>
          <w:sz w:val="21"/>
          <w:szCs w:val="21"/>
          <w:highlight w:val="none"/>
          <w:lang w:eastAsia="zh-CN"/>
        </w:rPr>
        <w:t>法律法规</w:t>
      </w:r>
      <w:r>
        <w:rPr>
          <w:rFonts w:hint="eastAsia" w:ascii="宋体" w:hAnsi="宋体" w:eastAsia="宋体" w:cs="宋体"/>
          <w:color w:val="auto"/>
          <w:sz w:val="21"/>
          <w:szCs w:val="21"/>
          <w:highlight w:val="none"/>
        </w:rPr>
        <w:t>另有规定的，从其规定）。</w:t>
      </w:r>
    </w:p>
    <w:p w14:paraId="75D1E0FE">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53" w:name="_Toc2845"/>
      <w:bookmarkStart w:id="54" w:name="_Toc28336"/>
      <w:r>
        <w:rPr>
          <w:rFonts w:hint="eastAsia" w:ascii="宋体" w:hAnsi="宋体" w:eastAsia="宋体" w:cs="宋体"/>
          <w:color w:val="auto"/>
          <w:sz w:val="21"/>
          <w:szCs w:val="21"/>
          <w:highlight w:val="none"/>
        </w:rPr>
        <w:t>2. 定义</w:t>
      </w:r>
      <w:bookmarkEnd w:id="53"/>
      <w:bookmarkEnd w:id="54"/>
    </w:p>
    <w:p w14:paraId="41F34689">
      <w:pPr>
        <w:keepNext w:val="0"/>
        <w:keepLines w:val="0"/>
        <w:pageBreakBefore w:val="0"/>
        <w:widowControl w:val="0"/>
        <w:kinsoku/>
        <w:wordWrap/>
        <w:overflowPunct/>
        <w:topLinePunct w:val="0"/>
        <w:autoSpaceDE/>
        <w:autoSpaceDN/>
        <w:bidi w:val="0"/>
        <w:adjustRightInd/>
        <w:snapToGrid/>
        <w:spacing w:line="380" w:lineRule="exact"/>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2.1“供应商”是指符合本次采购项目的供应商资格并提交响应文件、参加磋商的供应商。如果该供应商在本次磋商中成交，即成为“成交供应商”。</w:t>
      </w:r>
    </w:p>
    <w:p w14:paraId="2273F8BF">
      <w:pPr>
        <w:keepNext w:val="0"/>
        <w:keepLines w:val="0"/>
        <w:pageBreakBefore w:val="0"/>
        <w:widowControl w:val="0"/>
        <w:kinsoku/>
        <w:wordWrap/>
        <w:overflowPunct/>
        <w:topLinePunct w:val="0"/>
        <w:autoSpaceDE/>
        <w:autoSpaceDN/>
        <w:bidi w:val="0"/>
        <w:adjustRightInd/>
        <w:snapToGrid/>
        <w:spacing w:line="380" w:lineRule="exact"/>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2.2“货物”系指按磋商文件规定，供应商须向采购人提供的一切设备、保险、税金、备品备件、工具、手册</w:t>
      </w:r>
      <w:r>
        <w:rPr>
          <w:rFonts w:hint="eastAsia" w:ascii="宋体" w:hAnsi="宋体" w:cs="宋体"/>
          <w:color w:val="auto"/>
          <w:sz w:val="21"/>
          <w:szCs w:val="21"/>
          <w:highlight w:val="none"/>
          <w:lang w:eastAsia="zh-CN"/>
        </w:rPr>
        <w:t>及其他有关</w:t>
      </w:r>
      <w:r>
        <w:rPr>
          <w:rFonts w:hint="eastAsia" w:ascii="宋体" w:hAnsi="宋体" w:eastAsia="宋体" w:cs="宋体"/>
          <w:color w:val="auto"/>
          <w:sz w:val="21"/>
          <w:szCs w:val="21"/>
          <w:highlight w:val="none"/>
        </w:rPr>
        <w:t>技术资料和材料。</w:t>
      </w:r>
    </w:p>
    <w:p w14:paraId="400ED480">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2.3“服务”系指按磋商文件规定，供应商须承担的安装、调试、技术协助、校准、培训、技术指导以及其他类似的义务。</w:t>
      </w:r>
    </w:p>
    <w:p w14:paraId="47769C85">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2.4“项目”系指供应商按磋商文件规定向采购人提供的货物和服务。</w:t>
      </w:r>
    </w:p>
    <w:p w14:paraId="6E737700">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2.5“书面形式”包括信函、传真、电报等。</w:t>
      </w:r>
    </w:p>
    <w:p w14:paraId="7C01FBE5">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55" w:name="_Toc25441"/>
      <w:bookmarkStart w:id="56" w:name="_Toc13017"/>
      <w:r>
        <w:rPr>
          <w:rFonts w:hint="eastAsia" w:ascii="宋体" w:hAnsi="宋体" w:eastAsia="宋体" w:cs="宋体"/>
          <w:color w:val="auto"/>
          <w:sz w:val="21"/>
          <w:szCs w:val="21"/>
          <w:highlight w:val="none"/>
        </w:rPr>
        <w:t>3. 供应商资格</w:t>
      </w:r>
      <w:bookmarkEnd w:id="55"/>
      <w:bookmarkEnd w:id="56"/>
    </w:p>
    <w:p w14:paraId="2F3231A8">
      <w:pPr>
        <w:pageBreakBefore w:val="0"/>
        <w:widowControl w:val="0"/>
        <w:kinsoku/>
        <w:wordWrap/>
        <w:overflowPunct/>
        <w:topLinePunct w:val="0"/>
        <w:bidi w:val="0"/>
        <w:snapToGrid/>
        <w:spacing w:line="380" w:lineRule="exact"/>
        <w:ind w:left="0" w:leftChars="0" w:firstLine="435"/>
        <w:textAlignment w:val="auto"/>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3.1</w:t>
      </w:r>
      <w:r>
        <w:rPr>
          <w:rFonts w:hint="eastAsia" w:ascii="宋体" w:hAnsi="宋体" w:eastAsia="宋体" w:cs="宋体"/>
          <w:color w:val="auto"/>
          <w:sz w:val="21"/>
          <w:szCs w:val="21"/>
          <w:highlight w:val="none"/>
        </w:rPr>
        <w:t>满足《中华人民共和国政府采购法》第二十二条规定</w:t>
      </w:r>
      <w:r>
        <w:rPr>
          <w:rFonts w:hint="eastAsia" w:ascii="宋体" w:hAnsi="宋体" w:eastAsia="宋体" w:cs="宋体"/>
          <w:bCs/>
          <w:color w:val="auto"/>
          <w:sz w:val="21"/>
          <w:szCs w:val="21"/>
          <w:highlight w:val="none"/>
        </w:rPr>
        <w:t>；</w:t>
      </w:r>
    </w:p>
    <w:p w14:paraId="75EDA5EE">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bCs/>
          <w:color w:val="auto"/>
          <w:sz w:val="21"/>
          <w:szCs w:val="21"/>
          <w:highlight w:val="none"/>
          <w:lang w:val="en-US" w:eastAsia="zh-CN"/>
        </w:rPr>
      </w:pPr>
      <w:bookmarkStart w:id="57" w:name="_Toc16496"/>
      <w:r>
        <w:rPr>
          <w:rFonts w:hint="eastAsia" w:ascii="宋体" w:hAnsi="宋体" w:eastAsia="宋体" w:cs="宋体"/>
          <w:color w:val="auto"/>
          <w:sz w:val="21"/>
          <w:szCs w:val="21"/>
          <w:highlight w:val="none"/>
        </w:rPr>
        <w:t>3.</w:t>
      </w: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落实政府采购政策需满足的资格要求：专门面向中小企业采购的项目（供应商应为中小微企业、监狱企业、残疾人福利性单位)</w:t>
      </w:r>
      <w:r>
        <w:rPr>
          <w:rFonts w:hint="eastAsia" w:ascii="宋体" w:hAnsi="宋体" w:eastAsia="宋体" w:cs="宋体"/>
          <w:color w:val="auto"/>
          <w:sz w:val="21"/>
          <w:szCs w:val="21"/>
          <w:highlight w:val="none"/>
          <w:lang w:eastAsia="zh-CN"/>
        </w:rPr>
        <w:t>；</w:t>
      </w:r>
    </w:p>
    <w:p w14:paraId="5EC0A2EB">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val="0"/>
          <w:color w:val="auto"/>
          <w:sz w:val="21"/>
          <w:szCs w:val="21"/>
          <w:highlight w:val="none"/>
          <w:lang w:val="en-US" w:eastAsia="zh-CN"/>
        </w:rPr>
      </w:pPr>
      <w:bookmarkStart w:id="58" w:name="_Toc5736"/>
      <w:bookmarkStart w:id="59" w:name="_Toc3452"/>
      <w:bookmarkStart w:id="60" w:name="_Toc4527"/>
      <w:r>
        <w:rPr>
          <w:rFonts w:hint="eastAsia" w:ascii="宋体" w:hAnsi="宋体" w:eastAsia="宋体" w:cs="宋体"/>
          <w:b w:val="0"/>
          <w:bCs w:val="0"/>
          <w:color w:val="auto"/>
          <w:sz w:val="21"/>
          <w:szCs w:val="21"/>
          <w:highlight w:val="none"/>
          <w:lang w:val="en-US" w:eastAsia="zh-CN"/>
        </w:rPr>
        <w:t>3.3</w:t>
      </w:r>
      <w:r>
        <w:rPr>
          <w:rFonts w:hint="eastAsia" w:ascii="宋体" w:hAnsi="宋体" w:eastAsia="宋体" w:cs="宋体"/>
          <w:b w:val="0"/>
          <w:bCs w:val="0"/>
          <w:color w:val="auto"/>
          <w:sz w:val="21"/>
          <w:szCs w:val="21"/>
          <w:highlight w:val="none"/>
        </w:rPr>
        <w:t>本项目的特定资格要求：</w:t>
      </w:r>
      <w:bookmarkEnd w:id="58"/>
      <w:bookmarkEnd w:id="59"/>
      <w:bookmarkEnd w:id="60"/>
      <w:bookmarkStart w:id="61" w:name="_Toc9216"/>
      <w:r>
        <w:rPr>
          <w:rFonts w:hint="eastAsia" w:ascii="宋体" w:hAnsi="宋体" w:eastAsia="宋体" w:cs="宋体"/>
          <w:b w:val="0"/>
          <w:bCs w:val="0"/>
          <w:color w:val="auto"/>
          <w:sz w:val="21"/>
          <w:szCs w:val="21"/>
          <w:highlight w:val="none"/>
        </w:rPr>
        <w:t>供应商须具备建筑工程施工总承包</w:t>
      </w:r>
      <w:r>
        <w:rPr>
          <w:rFonts w:hint="eastAsia" w:ascii="宋体" w:hAnsi="宋体" w:cs="宋体"/>
          <w:b w:val="0"/>
          <w:bCs w:val="0"/>
          <w:color w:val="auto"/>
          <w:sz w:val="21"/>
          <w:szCs w:val="21"/>
          <w:highlight w:val="none"/>
          <w:lang w:eastAsia="zh-CN"/>
        </w:rPr>
        <w:t>三</w:t>
      </w:r>
      <w:r>
        <w:rPr>
          <w:rFonts w:hint="eastAsia" w:ascii="宋体" w:hAnsi="宋体" w:eastAsia="宋体" w:cs="宋体"/>
          <w:b w:val="0"/>
          <w:bCs w:val="0"/>
          <w:color w:val="auto"/>
          <w:sz w:val="21"/>
          <w:szCs w:val="21"/>
          <w:highlight w:val="none"/>
        </w:rPr>
        <w:t>级（含</w:t>
      </w:r>
      <w:r>
        <w:rPr>
          <w:rFonts w:hint="eastAsia" w:ascii="宋体" w:hAnsi="宋体" w:cs="宋体"/>
          <w:b w:val="0"/>
          <w:bCs w:val="0"/>
          <w:color w:val="auto"/>
          <w:sz w:val="21"/>
          <w:szCs w:val="21"/>
          <w:highlight w:val="none"/>
          <w:lang w:eastAsia="zh-CN"/>
        </w:rPr>
        <w:t>三</w:t>
      </w:r>
      <w:r>
        <w:rPr>
          <w:rFonts w:hint="eastAsia" w:ascii="宋体" w:hAnsi="宋体" w:eastAsia="宋体" w:cs="宋体"/>
          <w:b w:val="0"/>
          <w:bCs w:val="0"/>
          <w:color w:val="auto"/>
          <w:sz w:val="21"/>
          <w:szCs w:val="21"/>
          <w:highlight w:val="none"/>
        </w:rPr>
        <w:t>级）以上资质，并具有省级或以上建设行政主管部门颁发的建筑施工企业安全生产许可证，并在人员、设备、资金等方面具有相应的施工能力；拟派项目经理须具备建筑工程专业</w:t>
      </w:r>
      <w:r>
        <w:rPr>
          <w:rFonts w:hint="eastAsia" w:ascii="宋体" w:hAnsi="宋体" w:cs="宋体"/>
          <w:b w:val="0"/>
          <w:bCs w:val="0"/>
          <w:color w:val="auto"/>
          <w:sz w:val="21"/>
          <w:szCs w:val="21"/>
          <w:highlight w:val="none"/>
          <w:lang w:eastAsia="zh-CN"/>
        </w:rPr>
        <w:t>二</w:t>
      </w:r>
      <w:r>
        <w:rPr>
          <w:rFonts w:hint="eastAsia" w:ascii="宋体" w:hAnsi="宋体" w:eastAsia="宋体" w:cs="宋体"/>
          <w:b w:val="0"/>
          <w:bCs w:val="0"/>
          <w:color w:val="auto"/>
          <w:sz w:val="21"/>
          <w:szCs w:val="21"/>
          <w:highlight w:val="none"/>
        </w:rPr>
        <w:t>级以上（含</w:t>
      </w:r>
      <w:r>
        <w:rPr>
          <w:rFonts w:hint="eastAsia" w:ascii="宋体" w:hAnsi="宋体" w:cs="宋体"/>
          <w:b w:val="0"/>
          <w:bCs w:val="0"/>
          <w:color w:val="auto"/>
          <w:sz w:val="21"/>
          <w:szCs w:val="21"/>
          <w:highlight w:val="none"/>
          <w:lang w:eastAsia="zh-CN"/>
        </w:rPr>
        <w:t>二</w:t>
      </w:r>
      <w:r>
        <w:rPr>
          <w:rFonts w:hint="eastAsia" w:ascii="宋体" w:hAnsi="宋体" w:eastAsia="宋体" w:cs="宋体"/>
          <w:b w:val="0"/>
          <w:bCs w:val="0"/>
          <w:color w:val="auto"/>
          <w:sz w:val="21"/>
          <w:szCs w:val="21"/>
          <w:highlight w:val="none"/>
        </w:rPr>
        <w:t>级）注册建造师执业资格，具备安全生产考核合格证书（B类）</w:t>
      </w:r>
      <w:r>
        <w:rPr>
          <w:rFonts w:hint="eastAsia" w:ascii="宋体" w:hAnsi="宋体" w:eastAsia="宋体" w:cs="宋体"/>
          <w:color w:val="auto"/>
          <w:kern w:val="0"/>
          <w:sz w:val="21"/>
          <w:szCs w:val="21"/>
          <w:highlight w:val="none"/>
          <w:lang w:eastAsia="zh-CN"/>
        </w:rPr>
        <w:t>。</w:t>
      </w:r>
    </w:p>
    <w:p w14:paraId="56673C95">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 磋商费用</w:t>
      </w:r>
      <w:bookmarkEnd w:id="57"/>
      <w:bookmarkEnd w:id="61"/>
    </w:p>
    <w:p w14:paraId="7DDF6BE9">
      <w:pPr>
        <w:pageBreakBefore w:val="0"/>
        <w:widowControl w:val="0"/>
        <w:tabs>
          <w:tab w:val="left" w:pos="1635"/>
        </w:tabs>
        <w:kinsoku/>
        <w:wordWrap/>
        <w:overflowPunct/>
        <w:topLinePunct w:val="0"/>
        <w:bidi w:val="0"/>
        <w:snapToGrid/>
        <w:spacing w:line="380" w:lineRule="exact"/>
        <w:ind w:left="0" w:leftChars="0" w:firstLine="435"/>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不论磋商结果如何，供应商均应自行承担所有与磋商有关的全部费用。</w:t>
      </w:r>
    </w:p>
    <w:p w14:paraId="0BADB9CD">
      <w:pPr>
        <w:pStyle w:val="4"/>
        <w:pageBreakBefore w:val="0"/>
        <w:widowControl w:val="0"/>
        <w:numPr>
          <w:ilvl w:val="0"/>
          <w:numId w:val="2"/>
        </w:numPr>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62" w:name="_Toc22877"/>
      <w:bookmarkStart w:id="63" w:name="_Toc31376"/>
      <w:r>
        <w:rPr>
          <w:rFonts w:hint="eastAsia" w:ascii="宋体" w:hAnsi="宋体" w:eastAsia="宋体" w:cs="宋体"/>
          <w:color w:val="auto"/>
          <w:sz w:val="21"/>
          <w:szCs w:val="21"/>
          <w:highlight w:val="none"/>
        </w:rPr>
        <w:t>联合体要求</w:t>
      </w:r>
      <w:bookmarkEnd w:id="62"/>
      <w:bookmarkEnd w:id="63"/>
    </w:p>
    <w:p w14:paraId="0B3BF4AD">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本项目不接受联合体参与磋商</w:t>
      </w:r>
    </w:p>
    <w:p w14:paraId="3119BB19">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64" w:name="_Toc18940"/>
      <w:bookmarkStart w:id="65" w:name="_Toc4152"/>
      <w:r>
        <w:rPr>
          <w:rFonts w:hint="eastAsia" w:ascii="宋体" w:hAnsi="宋体" w:eastAsia="宋体" w:cs="宋体"/>
          <w:color w:val="auto"/>
          <w:sz w:val="21"/>
          <w:szCs w:val="21"/>
          <w:highlight w:val="none"/>
        </w:rPr>
        <w:t>6. 质疑和投诉</w:t>
      </w:r>
      <w:bookmarkEnd w:id="64"/>
      <w:bookmarkEnd w:id="65"/>
      <w:r>
        <w:rPr>
          <w:rFonts w:hint="eastAsia" w:ascii="宋体" w:hAnsi="宋体" w:eastAsia="宋体" w:cs="宋体"/>
          <w:color w:val="auto"/>
          <w:sz w:val="21"/>
          <w:szCs w:val="21"/>
          <w:highlight w:val="none"/>
        </w:rPr>
        <w:tab/>
      </w:r>
    </w:p>
    <w:p w14:paraId="6E9FEC2C">
      <w:pPr>
        <w:pageBreakBefore w:val="0"/>
        <w:widowControl w:val="0"/>
        <w:tabs>
          <w:tab w:val="left" w:pos="2190"/>
        </w:tabs>
        <w:kinsoku/>
        <w:wordWrap/>
        <w:overflowPunct/>
        <w:topLinePunct w:val="0"/>
        <w:bidi w:val="0"/>
        <w:snapToGrid/>
        <w:spacing w:line="380" w:lineRule="exact"/>
        <w:ind w:left="0" w:leftChars="0" w:firstLine="435"/>
        <w:textAlignment w:val="auto"/>
        <w:rPr>
          <w:rFonts w:hint="eastAsia" w:ascii="宋体" w:hAnsi="宋体" w:eastAsia="宋体" w:cs="宋体"/>
          <w:color w:val="auto"/>
          <w:sz w:val="21"/>
          <w:szCs w:val="21"/>
          <w:highlight w:val="none"/>
          <w:u w:val="none"/>
        </w:rPr>
      </w:pPr>
      <w:bookmarkStart w:id="66" w:name="_Toc8195"/>
      <w:bookmarkStart w:id="67" w:name="_Toc26087"/>
      <w:r>
        <w:rPr>
          <w:rFonts w:hint="eastAsia" w:ascii="宋体" w:hAnsi="宋体" w:eastAsia="宋体" w:cs="宋体"/>
          <w:color w:val="auto"/>
          <w:sz w:val="21"/>
          <w:szCs w:val="21"/>
          <w:highlight w:val="none"/>
          <w:u w:val="none"/>
        </w:rPr>
        <w:t>6.1</w:t>
      </w:r>
      <w:r>
        <w:rPr>
          <w:rFonts w:hint="eastAsia" w:hAnsi="宋体"/>
          <w:color w:val="auto"/>
          <w:highlight w:val="none"/>
        </w:rPr>
        <w:t>供应商对政府采购活动事项有疑问的，可以向采购人、采购代理机构提出询问</w:t>
      </w:r>
      <w:r>
        <w:rPr>
          <w:rFonts w:hint="eastAsia" w:ascii="宋体" w:hAnsi="宋体" w:eastAsia="宋体" w:cs="宋体"/>
          <w:color w:val="auto"/>
          <w:sz w:val="21"/>
          <w:szCs w:val="21"/>
          <w:highlight w:val="none"/>
          <w:u w:val="none"/>
        </w:rPr>
        <w:t>。</w:t>
      </w:r>
    </w:p>
    <w:p w14:paraId="19F6955B">
      <w:pPr>
        <w:tabs>
          <w:tab w:val="left" w:pos="2190"/>
        </w:tabs>
        <w:wordWrap w:val="0"/>
        <w:spacing w:line="360" w:lineRule="exact"/>
        <w:ind w:firstLine="420" w:firstLineChars="200"/>
        <w:rPr>
          <w:rFonts w:hint="eastAsia" w:ascii="宋体" w:hAnsi="宋体" w:cs="宋体"/>
          <w:color w:val="auto"/>
          <w:szCs w:val="21"/>
          <w:highlight w:val="none"/>
        </w:rPr>
      </w:pPr>
      <w:r>
        <w:rPr>
          <w:rFonts w:hint="eastAsia" w:ascii="宋体" w:hAnsi="宋体"/>
          <w:color w:val="auto"/>
          <w:szCs w:val="21"/>
          <w:highlight w:val="none"/>
        </w:rPr>
        <w:t>6.</w:t>
      </w:r>
      <w:r>
        <w:rPr>
          <w:rFonts w:hint="eastAsia" w:ascii="宋体" w:hAnsi="宋体"/>
          <w:color w:val="auto"/>
          <w:szCs w:val="21"/>
          <w:highlight w:val="none"/>
          <w:lang w:val="en-US" w:eastAsia="zh-CN"/>
        </w:rPr>
        <w:t>2</w:t>
      </w:r>
      <w:r>
        <w:rPr>
          <w:rFonts w:ascii="宋体" w:hAnsi="宋体"/>
          <w:color w:val="auto"/>
          <w:szCs w:val="21"/>
          <w:highlight w:val="none"/>
        </w:rPr>
        <w:t>供应商认为磋商文件使自己的合法权益受到损害的，应当</w:t>
      </w:r>
      <w:r>
        <w:rPr>
          <w:rFonts w:hint="eastAsia" w:ascii="宋体" w:hAnsi="宋体"/>
          <w:color w:val="auto"/>
          <w:szCs w:val="21"/>
          <w:highlight w:val="none"/>
        </w:rPr>
        <w:t>在公告期限届满之日起</w:t>
      </w:r>
      <w:r>
        <w:rPr>
          <w:rFonts w:ascii="宋体" w:hAnsi="宋体"/>
          <w:color w:val="auto"/>
          <w:szCs w:val="21"/>
          <w:highlight w:val="none"/>
        </w:rPr>
        <w:t>七个工作日内，以书面形式向采购代理机构提出质疑。供应商认为采购过程或成交结果使自己的合法权益受到损害的，应当在</w:t>
      </w:r>
      <w:r>
        <w:rPr>
          <w:rFonts w:hint="eastAsia" w:ascii="宋体" w:hAnsi="宋体"/>
          <w:color w:val="auto"/>
          <w:szCs w:val="21"/>
          <w:highlight w:val="none"/>
        </w:rPr>
        <w:t>各</w:t>
      </w:r>
      <w:r>
        <w:rPr>
          <w:rFonts w:ascii="宋体" w:hAnsi="宋体"/>
          <w:color w:val="auto"/>
          <w:szCs w:val="21"/>
          <w:highlight w:val="none"/>
        </w:rPr>
        <w:t>采购程序环节结束之日或成交公告期限届满之日起七个工作日内，以书面形式</w:t>
      </w:r>
      <w:r>
        <w:rPr>
          <w:rFonts w:hint="eastAsia" w:ascii="宋体" w:hAnsi="宋体"/>
          <w:color w:val="auto"/>
          <w:szCs w:val="21"/>
          <w:highlight w:val="none"/>
        </w:rPr>
        <w:t>向</w:t>
      </w:r>
      <w:r>
        <w:rPr>
          <w:rFonts w:ascii="宋体" w:hAnsi="宋体"/>
          <w:color w:val="auto"/>
          <w:szCs w:val="21"/>
          <w:highlight w:val="none"/>
        </w:rPr>
        <w:t>采购代理机构提出质疑</w:t>
      </w:r>
      <w:r>
        <w:rPr>
          <w:rFonts w:hint="eastAsia" w:ascii="宋体" w:hAnsi="宋体" w:cs="宋体"/>
          <w:b/>
          <w:color w:val="auto"/>
          <w:szCs w:val="21"/>
          <w:highlight w:val="none"/>
        </w:rPr>
        <w:t>（“质疑函”格式见附表1）</w:t>
      </w:r>
      <w:r>
        <w:rPr>
          <w:rFonts w:ascii="宋体" w:hAnsi="宋体"/>
          <w:color w:val="auto"/>
          <w:szCs w:val="21"/>
          <w:highlight w:val="none"/>
        </w:rPr>
        <w:t>。</w:t>
      </w:r>
      <w:r>
        <w:rPr>
          <w:rFonts w:hint="eastAsia" w:ascii="宋体" w:hAnsi="宋体" w:cs="宋体"/>
          <w:color w:val="auto"/>
          <w:szCs w:val="21"/>
          <w:highlight w:val="none"/>
        </w:rPr>
        <w:t>否则，采购代理机构有权拒收。</w:t>
      </w:r>
    </w:p>
    <w:p w14:paraId="4D163437">
      <w:pPr>
        <w:tabs>
          <w:tab w:val="left" w:pos="2190"/>
        </w:tabs>
        <w:wordWrap w:val="0"/>
        <w:spacing w:line="36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采购代理机构应认真做好质疑处理工作，对于质疑供应商在法定质疑期内提出的质疑函，应当在收到质疑函后7个工作日内作出答复，并以书面形式通知质疑供应商和其他有关供应商。</w:t>
      </w:r>
    </w:p>
    <w:p w14:paraId="0D5667F4">
      <w:pPr>
        <w:tabs>
          <w:tab w:val="left" w:pos="2190"/>
        </w:tabs>
        <w:wordWrap w:val="0"/>
        <w:spacing w:line="36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供应商在法定质疑期内应一次性提出与项目相关的质疑，供应商在提出与项目相关的质疑前应当做好全面且详细的工作，采购代理机构不再受理供应商针对同一采购程序环节的再次质疑。</w:t>
      </w:r>
    </w:p>
    <w:p w14:paraId="7DD9C80D">
      <w:pPr>
        <w:tabs>
          <w:tab w:val="left" w:pos="2190"/>
        </w:tabs>
        <w:wordWrap w:val="0"/>
        <w:spacing w:line="360" w:lineRule="exact"/>
        <w:ind w:firstLine="420" w:firstLineChars="200"/>
        <w:rPr>
          <w:rFonts w:hint="eastAsia" w:ascii="宋体" w:hAnsi="宋体"/>
          <w:color w:val="auto"/>
          <w:szCs w:val="21"/>
          <w:highlight w:val="none"/>
        </w:rPr>
      </w:pPr>
      <w:r>
        <w:rPr>
          <w:rFonts w:hint="eastAsia" w:ascii="宋体" w:hAnsi="宋体"/>
          <w:color w:val="auto"/>
          <w:szCs w:val="21"/>
          <w:highlight w:val="none"/>
        </w:rPr>
        <w:t>6.</w:t>
      </w:r>
      <w:r>
        <w:rPr>
          <w:rFonts w:hint="eastAsia" w:ascii="宋体" w:hAnsi="宋体"/>
          <w:color w:val="auto"/>
          <w:szCs w:val="21"/>
          <w:highlight w:val="none"/>
          <w:lang w:val="en-US" w:eastAsia="zh-CN"/>
        </w:rPr>
        <w:t>3</w:t>
      </w:r>
      <w:r>
        <w:rPr>
          <w:rFonts w:hint="eastAsia" w:ascii="宋体" w:hAnsi="宋体"/>
          <w:color w:val="auto"/>
          <w:szCs w:val="21"/>
          <w:highlight w:val="none"/>
        </w:rPr>
        <w:t>供应商对采购代理机构的质疑答复不满意或者采购代理机构未在规定的时间内作出答复的，可以在答复期满后十五个工作日内向本级财政部门投诉</w:t>
      </w:r>
      <w:r>
        <w:rPr>
          <w:rFonts w:hint="eastAsia" w:ascii="宋体" w:hAnsi="宋体" w:cs="宋体"/>
          <w:b/>
          <w:color w:val="auto"/>
          <w:szCs w:val="21"/>
          <w:highlight w:val="none"/>
        </w:rPr>
        <w:t>（“投诉书”格式见附表2）</w:t>
      </w:r>
      <w:r>
        <w:rPr>
          <w:rFonts w:hint="eastAsia" w:ascii="宋体" w:hAnsi="宋体"/>
          <w:color w:val="auto"/>
          <w:szCs w:val="21"/>
          <w:highlight w:val="none"/>
        </w:rPr>
        <w:t>。</w:t>
      </w:r>
    </w:p>
    <w:p w14:paraId="266B5972">
      <w:pPr>
        <w:tabs>
          <w:tab w:val="left" w:pos="2190"/>
        </w:tabs>
        <w:wordWrap w:val="0"/>
        <w:spacing w:line="360" w:lineRule="exact"/>
        <w:ind w:firstLine="420" w:firstLineChars="200"/>
        <w:rPr>
          <w:rFonts w:hint="eastAsia" w:ascii="宋体" w:hAnsi="宋体"/>
          <w:color w:val="auto"/>
          <w:szCs w:val="21"/>
          <w:highlight w:val="none"/>
        </w:rPr>
      </w:pPr>
      <w:r>
        <w:rPr>
          <w:rFonts w:hint="eastAsia" w:ascii="宋体" w:hAnsi="宋体"/>
          <w:color w:val="auto"/>
          <w:szCs w:val="21"/>
          <w:highlight w:val="none"/>
        </w:rPr>
        <w:t>6.</w:t>
      </w:r>
      <w:r>
        <w:rPr>
          <w:rFonts w:hint="eastAsia" w:ascii="宋体" w:hAnsi="宋体"/>
          <w:color w:val="auto"/>
          <w:szCs w:val="21"/>
          <w:highlight w:val="none"/>
          <w:lang w:val="en-US" w:eastAsia="zh-CN"/>
        </w:rPr>
        <w:t>4</w:t>
      </w:r>
      <w:r>
        <w:rPr>
          <w:rFonts w:hint="eastAsia" w:ascii="宋体" w:hAnsi="宋体"/>
          <w:color w:val="auto"/>
          <w:szCs w:val="21"/>
          <w:highlight w:val="none"/>
        </w:rPr>
        <w:t>供应商提出质疑、投诉，应当遵守中华人民共和国财政部令第</w:t>
      </w:r>
      <w:r>
        <w:rPr>
          <w:rFonts w:ascii="宋体" w:hAnsi="宋体"/>
          <w:color w:val="auto"/>
          <w:szCs w:val="21"/>
          <w:highlight w:val="none"/>
        </w:rPr>
        <w:t>94</w:t>
      </w:r>
      <w:r>
        <w:rPr>
          <w:rFonts w:hint="eastAsia" w:ascii="宋体" w:hAnsi="宋体"/>
          <w:color w:val="auto"/>
          <w:szCs w:val="21"/>
          <w:highlight w:val="none"/>
        </w:rPr>
        <w:t>号《政府采购质疑和投诉办法》的相关规定，且采用书面形式。质疑函、投诉书均应明确阐述磋商文件、采购过程或成交结果中使自己合法权益受到损害的实质性内容，并提供相关事实、依据和证据及其来源。</w:t>
      </w:r>
    </w:p>
    <w:p w14:paraId="2E914063">
      <w:pPr>
        <w:tabs>
          <w:tab w:val="left" w:pos="2190"/>
        </w:tabs>
        <w:wordWrap w:val="0"/>
        <w:spacing w:line="360" w:lineRule="exact"/>
        <w:ind w:firstLine="420" w:firstLineChars="200"/>
        <w:rPr>
          <w:rFonts w:hint="eastAsia" w:ascii="宋体" w:hAnsi="宋体"/>
          <w:color w:val="auto"/>
          <w:szCs w:val="21"/>
          <w:highlight w:val="none"/>
        </w:rPr>
      </w:pPr>
      <w:r>
        <w:rPr>
          <w:rFonts w:hint="eastAsia" w:ascii="宋体" w:hAnsi="宋体"/>
          <w:color w:val="auto"/>
          <w:szCs w:val="21"/>
          <w:highlight w:val="none"/>
        </w:rPr>
        <w:t>供应商提出质疑应当提交质疑函和必要的证明材料，针对同一采购程序环节的质疑必须在法定质疑期内一次性提出。质疑函应当包括下列内容：</w:t>
      </w:r>
    </w:p>
    <w:p w14:paraId="2A6DEF10">
      <w:pPr>
        <w:tabs>
          <w:tab w:val="left" w:pos="2190"/>
        </w:tabs>
        <w:wordWrap w:val="0"/>
        <w:spacing w:line="360" w:lineRule="exact"/>
        <w:ind w:firstLine="420" w:firstLineChars="200"/>
        <w:rPr>
          <w:rFonts w:hint="eastAsia" w:ascii="宋体" w:hAnsi="宋体"/>
          <w:color w:val="auto"/>
          <w:szCs w:val="21"/>
          <w:highlight w:val="none"/>
        </w:rPr>
      </w:pPr>
      <w:r>
        <w:rPr>
          <w:rFonts w:hint="eastAsia" w:ascii="宋体" w:hAnsi="宋体"/>
          <w:color w:val="auto"/>
          <w:szCs w:val="21"/>
          <w:highlight w:val="none"/>
        </w:rPr>
        <w:t>（1）供应商的姓名或者名称、地址、邮编、联系人及联系电话；</w:t>
      </w:r>
    </w:p>
    <w:p w14:paraId="43BF2504">
      <w:pPr>
        <w:tabs>
          <w:tab w:val="left" w:pos="2190"/>
        </w:tabs>
        <w:wordWrap w:val="0"/>
        <w:spacing w:line="36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（2）质疑项目的名称、编号；</w:t>
      </w:r>
    </w:p>
    <w:p w14:paraId="2A0AD3A3">
      <w:pPr>
        <w:tabs>
          <w:tab w:val="left" w:pos="2190"/>
        </w:tabs>
        <w:wordWrap w:val="0"/>
        <w:spacing w:line="360" w:lineRule="exact"/>
        <w:ind w:firstLine="420" w:firstLineChars="200"/>
        <w:rPr>
          <w:rFonts w:hint="eastAsia" w:ascii="宋体" w:hAnsi="宋体"/>
          <w:color w:val="auto"/>
          <w:szCs w:val="21"/>
          <w:highlight w:val="none"/>
        </w:rPr>
      </w:pPr>
      <w:r>
        <w:rPr>
          <w:rFonts w:hint="eastAsia" w:ascii="宋体" w:hAnsi="宋体"/>
          <w:color w:val="auto"/>
          <w:szCs w:val="21"/>
          <w:highlight w:val="none"/>
        </w:rPr>
        <w:t>（3）具体、明确的质疑事项和与质疑事项相关的请求；</w:t>
      </w:r>
    </w:p>
    <w:p w14:paraId="479272A7">
      <w:pPr>
        <w:tabs>
          <w:tab w:val="left" w:pos="2190"/>
        </w:tabs>
        <w:wordWrap w:val="0"/>
        <w:spacing w:line="360" w:lineRule="exact"/>
        <w:ind w:firstLine="420" w:firstLineChars="200"/>
        <w:rPr>
          <w:rFonts w:hint="eastAsia" w:ascii="宋体" w:hAnsi="宋体"/>
          <w:color w:val="auto"/>
          <w:szCs w:val="21"/>
          <w:highlight w:val="none"/>
        </w:rPr>
      </w:pPr>
      <w:r>
        <w:rPr>
          <w:rFonts w:hint="eastAsia" w:ascii="宋体" w:hAnsi="宋体"/>
          <w:color w:val="auto"/>
          <w:szCs w:val="21"/>
          <w:highlight w:val="none"/>
        </w:rPr>
        <w:t>（4）事实依据；</w:t>
      </w:r>
    </w:p>
    <w:p w14:paraId="5C297D42">
      <w:pPr>
        <w:tabs>
          <w:tab w:val="left" w:pos="2190"/>
        </w:tabs>
        <w:wordWrap w:val="0"/>
        <w:spacing w:line="360" w:lineRule="exact"/>
        <w:ind w:firstLine="420" w:firstLineChars="200"/>
        <w:rPr>
          <w:rFonts w:hint="eastAsia" w:ascii="宋体" w:hAnsi="宋体"/>
          <w:color w:val="auto"/>
          <w:szCs w:val="21"/>
          <w:highlight w:val="none"/>
        </w:rPr>
      </w:pPr>
      <w:r>
        <w:rPr>
          <w:rFonts w:hint="eastAsia" w:ascii="宋体" w:hAnsi="宋体"/>
          <w:color w:val="auto"/>
          <w:szCs w:val="21"/>
          <w:highlight w:val="none"/>
        </w:rPr>
        <w:t>（5）必要的法律依据；</w:t>
      </w:r>
    </w:p>
    <w:p w14:paraId="55CD598E">
      <w:pPr>
        <w:tabs>
          <w:tab w:val="left" w:pos="2190"/>
        </w:tabs>
        <w:wordWrap w:val="0"/>
        <w:spacing w:line="360" w:lineRule="exact"/>
        <w:ind w:firstLine="420" w:firstLineChars="200"/>
        <w:rPr>
          <w:rFonts w:hint="eastAsia" w:ascii="宋体" w:hAnsi="宋体"/>
          <w:color w:val="auto"/>
          <w:szCs w:val="21"/>
          <w:highlight w:val="none"/>
        </w:rPr>
      </w:pPr>
      <w:r>
        <w:rPr>
          <w:rFonts w:hint="eastAsia" w:ascii="宋体" w:hAnsi="宋体"/>
          <w:color w:val="auto"/>
          <w:szCs w:val="21"/>
          <w:highlight w:val="none"/>
        </w:rPr>
        <w:t>（6）提出质疑的日期。</w:t>
      </w:r>
    </w:p>
    <w:p w14:paraId="35B8B8C5">
      <w:pPr>
        <w:tabs>
          <w:tab w:val="left" w:pos="2190"/>
        </w:tabs>
        <w:wordWrap w:val="0"/>
        <w:spacing w:line="360" w:lineRule="exact"/>
        <w:ind w:firstLine="420" w:firstLineChars="200"/>
        <w:rPr>
          <w:rFonts w:hint="eastAsia" w:ascii="宋体" w:hAnsi="宋体"/>
          <w:color w:val="auto"/>
          <w:szCs w:val="21"/>
          <w:highlight w:val="none"/>
        </w:rPr>
      </w:pPr>
      <w:r>
        <w:rPr>
          <w:rFonts w:hint="eastAsia" w:ascii="宋体" w:hAnsi="宋体"/>
          <w:color w:val="auto"/>
          <w:szCs w:val="21"/>
          <w:highlight w:val="none"/>
        </w:rPr>
        <w:t>供应商为自然人的，应当由本人签字；供应商为法人或者其他组织的，应当由法定代表人、主要负责人，或者其授权代表签字或者盖章，并加盖公章。</w:t>
      </w:r>
    </w:p>
    <w:p w14:paraId="6D37D707">
      <w:pPr>
        <w:tabs>
          <w:tab w:val="left" w:pos="2190"/>
        </w:tabs>
        <w:wordWrap w:val="0"/>
        <w:spacing w:line="360" w:lineRule="exact"/>
        <w:ind w:firstLine="420" w:firstLineChars="200"/>
        <w:rPr>
          <w:rFonts w:hint="eastAsia" w:ascii="宋体" w:hAnsi="宋体"/>
          <w:color w:val="auto"/>
          <w:szCs w:val="21"/>
          <w:highlight w:val="none"/>
        </w:rPr>
      </w:pPr>
      <w:r>
        <w:rPr>
          <w:rFonts w:hint="eastAsia" w:ascii="宋体" w:hAnsi="宋体"/>
          <w:color w:val="auto"/>
          <w:szCs w:val="21"/>
          <w:highlight w:val="none"/>
        </w:rPr>
        <w:t>接收质疑函方式：以书面形式</w:t>
      </w:r>
    </w:p>
    <w:p w14:paraId="09AAABFF">
      <w:pPr>
        <w:tabs>
          <w:tab w:val="left" w:pos="2190"/>
        </w:tabs>
        <w:wordWrap w:val="0"/>
        <w:spacing w:line="360" w:lineRule="exact"/>
        <w:ind w:firstLine="420" w:firstLineChars="200"/>
        <w:rPr>
          <w:rFonts w:hint="default" w:ascii="宋体" w:hAnsi="宋体"/>
          <w:color w:val="auto"/>
          <w:szCs w:val="21"/>
          <w:highlight w:val="none"/>
          <w:lang w:val="en-US" w:eastAsia="zh-CN"/>
        </w:rPr>
      </w:pPr>
      <w:r>
        <w:rPr>
          <w:rFonts w:hint="eastAsia" w:ascii="宋体" w:hAnsi="宋体"/>
          <w:color w:val="auto"/>
          <w:szCs w:val="21"/>
          <w:highlight w:val="none"/>
        </w:rPr>
        <w:t>质疑联系部门及联系方式：</w:t>
      </w:r>
      <w:r>
        <w:rPr>
          <w:rFonts w:hint="eastAsia" w:ascii="宋体" w:hAnsi="宋体" w:cs="宋体"/>
          <w:color w:val="auto"/>
          <w:sz w:val="21"/>
          <w:szCs w:val="21"/>
          <w:highlight w:val="none"/>
          <w:u w:val="none"/>
          <w:lang w:val="en-US" w:eastAsia="zh-CN"/>
        </w:rPr>
        <w:t>广西高质建设管理咨询有限公司</w:t>
      </w: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联系电话：</w:t>
      </w:r>
      <w:r>
        <w:rPr>
          <w:rFonts w:hint="eastAsia" w:ascii="宋体" w:hAnsi="宋体" w:cs="宋体"/>
          <w:color w:val="auto"/>
          <w:sz w:val="21"/>
          <w:szCs w:val="21"/>
          <w:highlight w:val="none"/>
          <w:u w:val="none"/>
          <w:lang w:val="en-US" w:eastAsia="zh-CN"/>
        </w:rPr>
        <w:t>0773-5875190</w:t>
      </w:r>
    </w:p>
    <w:bookmarkEnd w:id="66"/>
    <w:bookmarkEnd w:id="67"/>
    <w:p w14:paraId="23BC720A">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68" w:name="_Toc5032"/>
      <w:bookmarkStart w:id="69" w:name="_Toc6998"/>
      <w:r>
        <w:rPr>
          <w:rFonts w:hint="eastAsia" w:ascii="宋体" w:hAnsi="宋体" w:eastAsia="宋体" w:cs="宋体"/>
          <w:color w:val="auto"/>
          <w:sz w:val="21"/>
          <w:szCs w:val="21"/>
          <w:highlight w:val="none"/>
        </w:rPr>
        <w:t>7. 转包与分包</w:t>
      </w:r>
      <w:bookmarkEnd w:id="68"/>
      <w:bookmarkEnd w:id="69"/>
    </w:p>
    <w:p w14:paraId="0769854A">
      <w:pPr>
        <w:pageBreakBefore w:val="0"/>
        <w:widowControl w:val="0"/>
        <w:tabs>
          <w:tab w:val="left" w:pos="2190"/>
        </w:tabs>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kern w:val="0"/>
          <w:sz w:val="21"/>
          <w:szCs w:val="21"/>
          <w:highlight w:val="none"/>
          <w:shd w:val="clear" w:color="auto" w:fill="FFFFFF"/>
        </w:rPr>
      </w:pPr>
      <w:r>
        <w:rPr>
          <w:rFonts w:hint="eastAsia" w:ascii="宋体" w:hAnsi="宋体" w:eastAsia="宋体" w:cs="宋体"/>
          <w:color w:val="auto"/>
          <w:sz w:val="21"/>
          <w:szCs w:val="21"/>
          <w:highlight w:val="none"/>
        </w:rPr>
        <w:t>7</w:t>
      </w:r>
      <w:r>
        <w:rPr>
          <w:rFonts w:hint="eastAsia" w:ascii="宋体" w:hAnsi="宋体" w:eastAsia="宋体" w:cs="宋体"/>
          <w:color w:val="auto"/>
          <w:kern w:val="0"/>
          <w:sz w:val="21"/>
          <w:szCs w:val="21"/>
          <w:highlight w:val="none"/>
          <w:shd w:val="clear" w:color="auto" w:fill="FFFFFF"/>
        </w:rPr>
        <w:t>.1本项目不允许转包。</w:t>
      </w:r>
    </w:p>
    <w:p w14:paraId="66B01DCB">
      <w:pPr>
        <w:pageBreakBefore w:val="0"/>
        <w:widowControl w:val="0"/>
        <w:tabs>
          <w:tab w:val="left" w:pos="2190"/>
        </w:tabs>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kern w:val="0"/>
          <w:sz w:val="21"/>
          <w:szCs w:val="21"/>
          <w:highlight w:val="none"/>
          <w:shd w:val="clear" w:color="auto" w:fill="FFFFFF"/>
        </w:rPr>
      </w:pPr>
      <w:r>
        <w:rPr>
          <w:rFonts w:hint="eastAsia" w:ascii="宋体" w:hAnsi="宋体" w:eastAsia="宋体" w:cs="宋体"/>
          <w:color w:val="auto"/>
          <w:kern w:val="0"/>
          <w:sz w:val="21"/>
          <w:szCs w:val="21"/>
          <w:highlight w:val="none"/>
          <w:shd w:val="clear" w:color="auto" w:fill="FFFFFF"/>
        </w:rPr>
        <w:t>7.2本项目不可以分包。</w:t>
      </w:r>
    </w:p>
    <w:p w14:paraId="5091AB2D">
      <w:pPr>
        <w:pageBreakBefore w:val="0"/>
        <w:widowControl w:val="0"/>
        <w:tabs>
          <w:tab w:val="left" w:pos="2190"/>
        </w:tabs>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kern w:val="0"/>
          <w:sz w:val="21"/>
          <w:szCs w:val="21"/>
          <w:highlight w:val="none"/>
          <w:shd w:val="clear" w:color="auto" w:fill="FFFFFF"/>
          <w:lang w:val="en-US" w:eastAsia="zh-CN"/>
        </w:rPr>
      </w:pPr>
      <w:r>
        <w:rPr>
          <w:rFonts w:hint="eastAsia" w:ascii="宋体" w:hAnsi="宋体" w:eastAsia="宋体" w:cs="宋体"/>
          <w:color w:val="auto"/>
          <w:kern w:val="0"/>
          <w:sz w:val="21"/>
          <w:szCs w:val="21"/>
          <w:highlight w:val="none"/>
          <w:shd w:val="clear" w:color="auto" w:fill="FFFFFF"/>
          <w:lang w:val="en-US" w:eastAsia="zh-CN"/>
        </w:rPr>
        <w:t>7.3本项目不允许挂靠。</w:t>
      </w:r>
    </w:p>
    <w:p w14:paraId="724F2CE9">
      <w:pPr>
        <w:pageBreakBefore w:val="0"/>
        <w:widowControl w:val="0"/>
        <w:tabs>
          <w:tab w:val="left" w:pos="2190"/>
        </w:tabs>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kern w:val="0"/>
          <w:sz w:val="21"/>
          <w:szCs w:val="21"/>
          <w:highlight w:val="none"/>
          <w:shd w:val="clear" w:color="auto" w:fill="FFFFFF"/>
          <w:lang w:val="en-US" w:eastAsia="zh-CN"/>
        </w:rPr>
      </w:pPr>
      <w:r>
        <w:rPr>
          <w:rFonts w:hint="eastAsia" w:ascii="宋体" w:hAnsi="宋体" w:eastAsia="宋体" w:cs="宋体"/>
          <w:color w:val="auto"/>
          <w:kern w:val="0"/>
          <w:sz w:val="21"/>
          <w:szCs w:val="21"/>
          <w:highlight w:val="none"/>
          <w:shd w:val="clear" w:color="auto" w:fill="FFFFFF"/>
          <w:lang w:val="en-US" w:eastAsia="zh-CN"/>
        </w:rPr>
        <w:t>7.4如发现有以上行为，采购人有权终止合同，所有损失由成交供应商承担。</w:t>
      </w:r>
    </w:p>
    <w:p w14:paraId="15001217">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70" w:name="_Toc15097"/>
      <w:bookmarkStart w:id="71" w:name="_Toc3368"/>
      <w:r>
        <w:rPr>
          <w:rFonts w:hint="eastAsia" w:ascii="宋体" w:hAnsi="宋体" w:eastAsia="宋体" w:cs="宋体"/>
          <w:color w:val="auto"/>
          <w:sz w:val="21"/>
          <w:szCs w:val="21"/>
          <w:highlight w:val="none"/>
        </w:rPr>
        <w:t>8. 特别说明</w:t>
      </w:r>
      <w:bookmarkEnd w:id="70"/>
      <w:bookmarkEnd w:id="71"/>
    </w:p>
    <w:p w14:paraId="253B1DB4">
      <w:pPr>
        <w:pageBreakBefore w:val="0"/>
        <w:widowControl w:val="0"/>
        <w:tabs>
          <w:tab w:val="left" w:pos="1635"/>
        </w:tabs>
        <w:kinsoku/>
        <w:wordWrap/>
        <w:overflowPunct/>
        <w:topLinePunct w:val="0"/>
        <w:bidi w:val="0"/>
        <w:snapToGrid/>
        <w:spacing w:line="380" w:lineRule="exact"/>
        <w:ind w:left="0" w:leftChars="0" w:firstLine="422" w:firstLineChars="200"/>
        <w:textAlignment w:val="auto"/>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8.1关联供应商不得参加同一合同项下政府采购活动，否则响应文件将被视为无效：</w:t>
      </w:r>
    </w:p>
    <w:p w14:paraId="342DF702">
      <w:pPr>
        <w:pageBreakBefore w:val="0"/>
        <w:widowControl w:val="0"/>
        <w:tabs>
          <w:tab w:val="left" w:pos="1635"/>
        </w:tabs>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（1）单位负责人为同一人或者存在直接控股、管理关系的，不得参加同一合同项下的政府采购活动。</w:t>
      </w:r>
    </w:p>
    <w:p w14:paraId="5AF1B218">
      <w:pPr>
        <w:pageBreakBefore w:val="0"/>
        <w:widowControl w:val="0"/>
        <w:tabs>
          <w:tab w:val="left" w:pos="1635"/>
        </w:tabs>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）为本采购项目提供整体设计、规范编制或者项目管理、监理、检测等服务的供应商，不得再参加本次采购活动。</w:t>
      </w:r>
    </w:p>
    <w:p w14:paraId="3A434C6B">
      <w:pPr>
        <w:tabs>
          <w:tab w:val="left" w:pos="1635"/>
        </w:tabs>
        <w:wordWrap w:val="0"/>
        <w:spacing w:line="360" w:lineRule="exact"/>
        <w:ind w:firstLine="420" w:firstLineChars="200"/>
        <w:rPr>
          <w:rFonts w:ascii="宋体" w:hAnsi="宋体"/>
          <w:color w:val="auto"/>
          <w:szCs w:val="21"/>
          <w:highlight w:val="none"/>
        </w:rPr>
      </w:pPr>
      <w:bookmarkStart w:id="72" w:name="_Toc5168"/>
      <w:bookmarkStart w:id="73" w:name="_Toc29496"/>
      <w:bookmarkStart w:id="74" w:name="_Toc22498"/>
      <w:r>
        <w:rPr>
          <w:rFonts w:hint="eastAsia" w:ascii="宋体" w:hAnsi="宋体"/>
          <w:color w:val="auto"/>
          <w:szCs w:val="21"/>
          <w:highlight w:val="none"/>
        </w:rPr>
        <w:t>8.2供应商磋商所使用的资格、信誉、荣誉、业绩与企业认证必须为本法人所拥有，供应商磋商所使用的采购项目实施人员必须为供应商员工。</w:t>
      </w:r>
    </w:p>
    <w:p w14:paraId="28F20D75">
      <w:pPr>
        <w:tabs>
          <w:tab w:val="left" w:pos="1635"/>
        </w:tabs>
        <w:wordWrap w:val="0"/>
        <w:spacing w:line="360" w:lineRule="exact"/>
        <w:ind w:firstLine="420" w:firstLineChars="200"/>
        <w:rPr>
          <w:rFonts w:hint="eastAsia" w:ascii="宋体" w:hAnsi="宋体"/>
          <w:color w:val="auto"/>
          <w:szCs w:val="21"/>
          <w:highlight w:val="none"/>
        </w:rPr>
      </w:pPr>
      <w:r>
        <w:rPr>
          <w:rFonts w:hint="eastAsia" w:ascii="宋体" w:hAnsi="宋体"/>
          <w:color w:val="auto"/>
          <w:szCs w:val="21"/>
          <w:highlight w:val="none"/>
        </w:rPr>
        <w:t>8.3供应商应仔细阅读竞争性磋商文件的所有内容，按照竞争性磋商文件的要求提交响应文件，并对所提供的全部资料的真实性承担法律责任。</w:t>
      </w:r>
    </w:p>
    <w:p w14:paraId="65BCACF8">
      <w:pPr>
        <w:tabs>
          <w:tab w:val="left" w:pos="2190"/>
        </w:tabs>
        <w:wordWrap w:val="0"/>
        <w:spacing w:line="360" w:lineRule="exact"/>
        <w:ind w:firstLine="420" w:firstLineChars="200"/>
        <w:rPr>
          <w:rFonts w:hint="eastAsia" w:ascii="宋体" w:hAnsi="宋体"/>
          <w:color w:val="auto"/>
          <w:szCs w:val="21"/>
          <w:highlight w:val="none"/>
        </w:rPr>
      </w:pPr>
      <w:r>
        <w:rPr>
          <w:rFonts w:hint="eastAsia" w:ascii="宋体" w:hAnsi="宋体"/>
          <w:color w:val="auto"/>
          <w:szCs w:val="21"/>
          <w:highlight w:val="none"/>
        </w:rPr>
        <w:t>8.4供应商在采购活动中提供任何虚假材料，其响应文件作无效处理，并报监管部门查处；成交后发现的，成交供应商须依照《中华人民共和国消费者权益保护法》规定赔偿采购人，且民事赔偿并不免除违法供应商的行政与刑事责任。</w:t>
      </w:r>
    </w:p>
    <w:p w14:paraId="2C7DEE29">
      <w:pPr>
        <w:pStyle w:val="3"/>
        <w:keepNext/>
        <w:keepLines/>
        <w:pageBreakBefore w:val="0"/>
        <w:widowControl w:val="0"/>
        <w:tabs>
          <w:tab w:val="left" w:pos="567"/>
        </w:tabs>
        <w:kinsoku/>
        <w:wordWrap/>
        <w:overflowPunct/>
        <w:topLinePunct w:val="0"/>
        <w:autoSpaceDE/>
        <w:autoSpaceDN/>
        <w:bidi w:val="0"/>
        <w:adjustRightInd/>
        <w:snapToGrid/>
        <w:spacing w:before="0" w:after="0" w:line="380" w:lineRule="exact"/>
        <w:ind w:left="0" w:leftChars="0"/>
        <w:jc w:val="center"/>
        <w:textAlignment w:val="auto"/>
        <w:rPr>
          <w:rFonts w:hint="eastAsia" w:ascii="宋体" w:hAnsi="宋体" w:eastAsia="宋体" w:cs="宋体"/>
          <w:b/>
          <w:bCs w:val="0"/>
          <w:color w:val="auto"/>
          <w:sz w:val="21"/>
          <w:szCs w:val="21"/>
          <w:highlight w:val="none"/>
        </w:rPr>
      </w:pPr>
      <w:r>
        <w:rPr>
          <w:rFonts w:hint="eastAsia" w:ascii="宋体" w:hAnsi="宋体" w:eastAsia="宋体" w:cs="宋体"/>
          <w:b/>
          <w:bCs w:val="0"/>
          <w:color w:val="auto"/>
          <w:sz w:val="21"/>
          <w:szCs w:val="21"/>
          <w:highlight w:val="none"/>
        </w:rPr>
        <w:t>二、磋商文件</w:t>
      </w:r>
      <w:bookmarkEnd w:id="72"/>
      <w:bookmarkEnd w:id="73"/>
      <w:bookmarkEnd w:id="74"/>
    </w:p>
    <w:p w14:paraId="25632417">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lang w:val="pt-BR"/>
        </w:rPr>
      </w:pPr>
      <w:bookmarkStart w:id="75" w:name="_Toc20057"/>
      <w:bookmarkStart w:id="76" w:name="_Toc18964"/>
      <w:r>
        <w:rPr>
          <w:rFonts w:hint="eastAsia" w:ascii="宋体" w:hAnsi="宋体" w:eastAsia="宋体" w:cs="宋体"/>
          <w:color w:val="auto"/>
          <w:sz w:val="21"/>
          <w:szCs w:val="21"/>
          <w:highlight w:val="none"/>
          <w:lang w:val="pt-BR"/>
        </w:rPr>
        <w:t xml:space="preserve">9. </w:t>
      </w:r>
      <w:r>
        <w:rPr>
          <w:rFonts w:hint="eastAsia" w:ascii="宋体" w:hAnsi="宋体" w:eastAsia="宋体" w:cs="宋体"/>
          <w:color w:val="auto"/>
          <w:sz w:val="21"/>
          <w:szCs w:val="21"/>
          <w:highlight w:val="none"/>
        </w:rPr>
        <w:t>磋商文件的构成</w:t>
      </w:r>
      <w:bookmarkEnd w:id="75"/>
      <w:bookmarkEnd w:id="76"/>
    </w:p>
    <w:p w14:paraId="770EB26A">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（1）竞争性磋商公告；</w:t>
      </w:r>
    </w:p>
    <w:p w14:paraId="7485E527">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（2）供应商须知；</w:t>
      </w:r>
    </w:p>
    <w:p w14:paraId="1CA36C9F">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b/>
          <w:color w:val="auto"/>
          <w:sz w:val="21"/>
          <w:szCs w:val="21"/>
          <w:highlight w:val="none"/>
        </w:rPr>
      </w:pPr>
      <w:r>
        <w:rPr>
          <w:rFonts w:hint="eastAsia" w:ascii="宋体" w:hAnsi="宋体" w:eastAsia="宋体" w:cs="宋体"/>
          <w:color w:val="auto"/>
          <w:sz w:val="21"/>
          <w:szCs w:val="21"/>
          <w:highlight w:val="none"/>
        </w:rPr>
        <w:t>（3）工程量清单</w:t>
      </w:r>
      <w:r>
        <w:rPr>
          <w:rFonts w:hint="eastAsia" w:ascii="宋体" w:hAnsi="宋体" w:eastAsia="宋体" w:cs="宋体"/>
          <w:bCs/>
          <w:color w:val="auto"/>
          <w:sz w:val="21"/>
          <w:szCs w:val="21"/>
          <w:highlight w:val="none"/>
        </w:rPr>
        <w:t>；</w:t>
      </w:r>
    </w:p>
    <w:p w14:paraId="147BA9D4">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（4）评审办法；</w:t>
      </w:r>
    </w:p>
    <w:p w14:paraId="5F81C2CE">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（5）采购合同（合同主要条款及格式）；</w:t>
      </w:r>
    </w:p>
    <w:p w14:paraId="144426D8">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（6）响应文件（格式）</w:t>
      </w:r>
      <w:r>
        <w:rPr>
          <w:rFonts w:hint="eastAsia" w:ascii="宋体" w:hAnsi="宋体" w:eastAsia="宋体" w:cs="宋体"/>
          <w:color w:val="auto"/>
          <w:sz w:val="21"/>
          <w:szCs w:val="21"/>
          <w:highlight w:val="none"/>
          <w:lang w:eastAsia="zh-CN"/>
        </w:rPr>
        <w:t>；</w:t>
      </w:r>
    </w:p>
    <w:p w14:paraId="18128A0F">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lang w:eastAsia="zh-CN"/>
        </w:rPr>
      </w:pPr>
      <w:bookmarkStart w:id="77" w:name="_Toc9103"/>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7</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eastAsia="zh-CN"/>
        </w:rPr>
        <w:t>图纸。</w:t>
      </w:r>
    </w:p>
    <w:p w14:paraId="2412BF3E">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78" w:name="_Toc17932"/>
      <w:r>
        <w:rPr>
          <w:rFonts w:hint="eastAsia" w:ascii="宋体" w:hAnsi="宋体" w:eastAsia="宋体" w:cs="宋体"/>
          <w:color w:val="auto"/>
          <w:sz w:val="21"/>
          <w:szCs w:val="21"/>
          <w:highlight w:val="none"/>
        </w:rPr>
        <w:t>10. 磋商文件的澄清与修改</w:t>
      </w:r>
      <w:bookmarkEnd w:id="77"/>
      <w:bookmarkEnd w:id="78"/>
    </w:p>
    <w:p w14:paraId="68213A83">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10.1 提交首次响应文件截止之日前，采购代理机构可以对已发出的磋商文件进行必要澄清、答复、修改或补充，澄清或者修改的内容可能影响响应文件编制的，澄清或者修改的内容作为磋商文件的组成部分。采购代理机构应当在提交首次响应文件递交截止时间</w:t>
      </w:r>
      <w:r>
        <w:rPr>
          <w:rFonts w:hint="eastAsia" w:ascii="宋体" w:hAnsi="宋体" w:eastAsia="宋体" w:cs="宋体"/>
          <w:b/>
          <w:bCs/>
          <w:color w:val="auto"/>
          <w:sz w:val="21"/>
          <w:szCs w:val="21"/>
          <w:highlight w:val="none"/>
        </w:rPr>
        <w:t>五日</w:t>
      </w:r>
      <w:r>
        <w:rPr>
          <w:rFonts w:hint="eastAsia" w:ascii="宋体" w:hAnsi="宋体" w:eastAsia="宋体" w:cs="宋体"/>
          <w:color w:val="auto"/>
          <w:sz w:val="21"/>
          <w:szCs w:val="21"/>
          <w:highlight w:val="none"/>
        </w:rPr>
        <w:t>前在本项目竞争性磋商公告发布的同一媒体上发布更正公告，不足</w:t>
      </w:r>
      <w:r>
        <w:rPr>
          <w:rFonts w:hint="eastAsia" w:ascii="宋体" w:hAnsi="宋体" w:eastAsia="宋体" w:cs="宋体"/>
          <w:b/>
          <w:bCs/>
          <w:color w:val="auto"/>
          <w:sz w:val="21"/>
          <w:szCs w:val="21"/>
          <w:highlight w:val="none"/>
        </w:rPr>
        <w:t>五日</w:t>
      </w:r>
      <w:r>
        <w:rPr>
          <w:rFonts w:hint="eastAsia" w:ascii="宋体" w:hAnsi="宋体" w:eastAsia="宋体" w:cs="宋体"/>
          <w:color w:val="auto"/>
          <w:sz w:val="21"/>
          <w:szCs w:val="21"/>
          <w:highlight w:val="none"/>
        </w:rPr>
        <w:t>的，应当顺延首次响应文件递交截止时间。</w:t>
      </w:r>
    </w:p>
    <w:p w14:paraId="4CD52EF0">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jc w:val="left"/>
        <w:textAlignment w:val="auto"/>
        <w:rPr>
          <w:rFonts w:hint="eastAsia" w:ascii="宋体" w:hAnsi="宋体" w:eastAsia="宋体" w:cs="宋体"/>
          <w:b/>
          <w:bCs/>
          <w:color w:val="auto"/>
          <w:sz w:val="21"/>
          <w:szCs w:val="21"/>
          <w:highlight w:val="none"/>
        </w:rPr>
      </w:pPr>
      <w:r>
        <w:rPr>
          <w:rFonts w:hint="eastAsia" w:ascii="宋体" w:hAnsi="宋体" w:eastAsia="宋体" w:cs="宋体"/>
          <w:color w:val="auto"/>
          <w:sz w:val="21"/>
          <w:szCs w:val="21"/>
          <w:highlight w:val="none"/>
        </w:rPr>
        <w:t>10.2</w:t>
      </w:r>
      <w:r>
        <w:rPr>
          <w:rFonts w:hint="eastAsia" w:ascii="宋体" w:hAnsi="宋体" w:eastAsia="宋体" w:cs="宋体"/>
          <w:b/>
          <w:bCs/>
          <w:color w:val="auto"/>
          <w:sz w:val="21"/>
          <w:szCs w:val="21"/>
          <w:highlight w:val="none"/>
        </w:rPr>
        <w:t>供应商应实时关注本项目信息公告发布媒体相关网站了解澄清、修改等与项目有关的内容，如因供应商未及时登录相关网站了解澄清、修改等与项目有关的内容，从而导致响应文件无效的，由供应商自行承担责任。</w:t>
      </w:r>
    </w:p>
    <w:p w14:paraId="0087853A">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10.3澄清或者修改的内容为磋商文件的组成部分。当澄清或者修改通知就同一内容的表述不一致时，以最后发出的文件为准。</w:t>
      </w:r>
    </w:p>
    <w:p w14:paraId="55B6AC3E">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10.4 磋商文件的澄清或者修改都应该通过本项目采购代理机构以法定形式发布，采购人非通过本机构，不得擅自澄清或者修改磋商文件。</w:t>
      </w:r>
    </w:p>
    <w:p w14:paraId="18FE678D">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10.5采购单位可以视采购具体情况，延长响应文件截止时间和磋商时间，在本项目竞争性磋商公告发布的同一媒体上发布变更公告。</w:t>
      </w:r>
    </w:p>
    <w:p w14:paraId="682EA191">
      <w:pPr>
        <w:pStyle w:val="3"/>
        <w:keepNext/>
        <w:keepLines/>
        <w:pageBreakBefore w:val="0"/>
        <w:widowControl w:val="0"/>
        <w:tabs>
          <w:tab w:val="left" w:pos="567"/>
        </w:tabs>
        <w:kinsoku/>
        <w:wordWrap/>
        <w:overflowPunct/>
        <w:topLinePunct w:val="0"/>
        <w:autoSpaceDE/>
        <w:autoSpaceDN/>
        <w:bidi w:val="0"/>
        <w:adjustRightInd/>
        <w:snapToGrid/>
        <w:spacing w:before="0" w:after="0" w:line="380" w:lineRule="exact"/>
        <w:ind w:left="0" w:leftChars="0"/>
        <w:jc w:val="center"/>
        <w:textAlignment w:val="auto"/>
        <w:rPr>
          <w:rFonts w:hint="eastAsia" w:ascii="宋体" w:hAnsi="宋体" w:eastAsia="宋体" w:cs="宋体"/>
          <w:b/>
          <w:bCs w:val="0"/>
          <w:color w:val="auto"/>
          <w:sz w:val="21"/>
          <w:szCs w:val="21"/>
          <w:highlight w:val="none"/>
        </w:rPr>
      </w:pPr>
      <w:bookmarkStart w:id="79" w:name="_Toc17820"/>
      <w:bookmarkStart w:id="80" w:name="_Toc20830"/>
      <w:bookmarkStart w:id="81" w:name="_Toc26857"/>
    </w:p>
    <w:p w14:paraId="3BDFFBE2">
      <w:pPr>
        <w:pStyle w:val="3"/>
        <w:keepNext/>
        <w:keepLines/>
        <w:pageBreakBefore w:val="0"/>
        <w:widowControl w:val="0"/>
        <w:tabs>
          <w:tab w:val="left" w:pos="567"/>
        </w:tabs>
        <w:kinsoku/>
        <w:wordWrap/>
        <w:overflowPunct/>
        <w:topLinePunct w:val="0"/>
        <w:autoSpaceDE/>
        <w:autoSpaceDN/>
        <w:bidi w:val="0"/>
        <w:adjustRightInd/>
        <w:snapToGrid/>
        <w:spacing w:before="0" w:after="0" w:line="380" w:lineRule="exact"/>
        <w:ind w:left="0" w:leftChars="0"/>
        <w:jc w:val="center"/>
        <w:textAlignment w:val="auto"/>
        <w:rPr>
          <w:rFonts w:hint="eastAsia" w:ascii="宋体" w:hAnsi="宋体" w:eastAsia="宋体" w:cs="宋体"/>
          <w:b/>
          <w:bCs w:val="0"/>
          <w:color w:val="auto"/>
          <w:sz w:val="21"/>
          <w:szCs w:val="21"/>
          <w:highlight w:val="none"/>
        </w:rPr>
      </w:pPr>
      <w:r>
        <w:rPr>
          <w:rFonts w:hint="eastAsia" w:ascii="宋体" w:hAnsi="宋体" w:eastAsia="宋体" w:cs="宋体"/>
          <w:b/>
          <w:bCs w:val="0"/>
          <w:color w:val="auto"/>
          <w:sz w:val="21"/>
          <w:szCs w:val="21"/>
          <w:highlight w:val="none"/>
        </w:rPr>
        <w:t>三、竞争性磋商响应文件的编制</w:t>
      </w:r>
      <w:bookmarkEnd w:id="79"/>
      <w:bookmarkEnd w:id="80"/>
      <w:bookmarkEnd w:id="81"/>
    </w:p>
    <w:p w14:paraId="68991C1C">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b/>
          <w:color w:val="auto"/>
          <w:sz w:val="21"/>
          <w:szCs w:val="21"/>
          <w:highlight w:val="none"/>
          <w:lang w:val="en-US" w:eastAsia="zh-CN"/>
        </w:rPr>
      </w:pPr>
      <w:bookmarkStart w:id="82" w:name="_Toc19747"/>
      <w:r>
        <w:rPr>
          <w:rFonts w:hint="eastAsia" w:ascii="宋体" w:hAnsi="宋体" w:eastAsia="宋体" w:cs="宋体"/>
          <w:b/>
          <w:color w:val="auto"/>
          <w:sz w:val="21"/>
          <w:szCs w:val="21"/>
          <w:highlight w:val="none"/>
          <w:lang w:val="en-US" w:eastAsia="zh-CN"/>
        </w:rPr>
        <w:t>11.竞争性磋商响应文件编制基本要求</w:t>
      </w:r>
      <w:bookmarkEnd w:id="82"/>
    </w:p>
    <w:p w14:paraId="129EF40E">
      <w:pPr>
        <w:pageBreakBefore w:val="0"/>
        <w:widowControl w:val="0"/>
        <w:kinsoku/>
        <w:wordWrap/>
        <w:overflowPunct/>
        <w:topLinePunct w:val="0"/>
        <w:bidi w:val="0"/>
        <w:snapToGrid/>
        <w:spacing w:line="380" w:lineRule="exact"/>
        <w:ind w:left="0" w:leftChars="0" w:firstLine="422" w:firstLineChars="200"/>
        <w:textAlignment w:val="auto"/>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11.1 本项目实行电子响应，供应商应准备电子响应文件：</w:t>
      </w:r>
    </w:p>
    <w:p w14:paraId="64B78B5A">
      <w:pPr>
        <w:pageBreakBefore w:val="0"/>
        <w:widowControl w:val="0"/>
        <w:kinsoku/>
        <w:wordWrap/>
        <w:overflowPunct/>
        <w:topLinePunct w:val="0"/>
        <w:bidi w:val="0"/>
        <w:snapToGrid/>
        <w:spacing w:line="380" w:lineRule="exact"/>
        <w:ind w:left="0" w:leftChars="0" w:firstLine="422" w:firstLineChars="200"/>
        <w:textAlignment w:val="auto"/>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 xml:space="preserve">11.1.1 电子响应文件按广西政府采购云平台要求及本磋商文件要求制作、加密并递交。具体操作流程可参考《政府采购项目电子交易管理操作指南-供应商》，指南可在广西政府采购网（访问地址http://zfcg.gxzf.gov.cn/）—办事服务—下载专区下载。  </w:t>
      </w:r>
    </w:p>
    <w:p w14:paraId="0C3D4611">
      <w:pPr>
        <w:pageBreakBefore w:val="0"/>
        <w:widowControl w:val="0"/>
        <w:kinsoku/>
        <w:wordWrap/>
        <w:overflowPunct/>
        <w:topLinePunct w:val="0"/>
        <w:bidi w:val="0"/>
        <w:snapToGrid/>
        <w:spacing w:line="380" w:lineRule="exact"/>
        <w:ind w:left="0" w:leftChars="0" w:firstLine="422" w:firstLineChars="200"/>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11.</w:t>
      </w:r>
      <w:r>
        <w:rPr>
          <w:rFonts w:hint="eastAsia" w:ascii="宋体" w:hAnsi="宋体" w:eastAsia="宋体" w:cs="宋体"/>
          <w:b/>
          <w:bCs/>
          <w:color w:val="auto"/>
          <w:sz w:val="21"/>
          <w:szCs w:val="21"/>
          <w:highlight w:val="none"/>
          <w:lang w:val="en-US" w:eastAsia="zh-CN"/>
        </w:rPr>
        <w:t>2</w:t>
      </w:r>
      <w:r>
        <w:rPr>
          <w:rFonts w:hint="eastAsia" w:ascii="宋体" w:hAnsi="宋体" w:eastAsia="宋体" w:cs="宋体"/>
          <w:b/>
          <w:bCs/>
          <w:color w:val="auto"/>
          <w:sz w:val="21"/>
          <w:szCs w:val="21"/>
          <w:highlight w:val="none"/>
        </w:rPr>
        <w:t>竞争性磋商响应文件（以下简称响应文件）的组成及要求</w:t>
      </w:r>
    </w:p>
    <w:p w14:paraId="62624536">
      <w:pPr>
        <w:pageBreakBefore w:val="0"/>
        <w:widowControl w:val="0"/>
        <w:kinsoku/>
        <w:wordWrap/>
        <w:overflowPunct/>
        <w:topLinePunct w:val="0"/>
        <w:bidi w:val="0"/>
        <w:snapToGrid/>
        <w:spacing w:line="380" w:lineRule="exact"/>
        <w:ind w:left="0" w:leftChars="0" w:firstLine="422" w:firstLineChars="200"/>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11.</w:t>
      </w:r>
      <w:r>
        <w:rPr>
          <w:rFonts w:hint="eastAsia" w:ascii="宋体" w:hAnsi="宋体" w:eastAsia="宋体" w:cs="宋体"/>
          <w:b/>
          <w:bCs/>
          <w:color w:val="auto"/>
          <w:sz w:val="21"/>
          <w:szCs w:val="21"/>
          <w:highlight w:val="none"/>
          <w:lang w:val="en-US" w:eastAsia="zh-CN"/>
        </w:rPr>
        <w:t>2.1</w:t>
      </w:r>
      <w:r>
        <w:rPr>
          <w:rFonts w:hint="eastAsia" w:ascii="宋体" w:hAnsi="宋体" w:eastAsia="宋体" w:cs="宋体"/>
          <w:b/>
          <w:bCs/>
          <w:color w:val="auto"/>
          <w:sz w:val="21"/>
          <w:szCs w:val="21"/>
          <w:highlight w:val="none"/>
        </w:rPr>
        <w:t>响应文件组成【格式见第六章“响应文件（格式）”】</w:t>
      </w:r>
    </w:p>
    <w:p w14:paraId="63DFE048">
      <w:pPr>
        <w:pageBreakBefore w:val="0"/>
        <w:widowControl w:val="0"/>
        <w:kinsoku/>
        <w:wordWrap/>
        <w:overflowPunct/>
        <w:topLinePunct w:val="0"/>
        <w:bidi w:val="0"/>
        <w:snapToGrid/>
        <w:spacing w:line="380" w:lineRule="exact"/>
        <w:ind w:left="0" w:leftChars="0" w:firstLine="422" w:firstLineChars="200"/>
        <w:textAlignment w:val="auto"/>
        <w:rPr>
          <w:rFonts w:hint="eastAsia" w:ascii="宋体" w:hAnsi="宋体" w:eastAsia="宋体" w:cs="宋体"/>
          <w:color w:val="auto"/>
          <w:sz w:val="21"/>
          <w:szCs w:val="21"/>
          <w:highlight w:val="none"/>
        </w:rPr>
      </w:pPr>
      <w:r>
        <w:rPr>
          <w:rFonts w:hint="eastAsia" w:ascii="宋体" w:hAnsi="宋体" w:eastAsia="宋体" w:cs="宋体"/>
          <w:b/>
          <w:bCs/>
          <w:color w:val="auto"/>
          <w:sz w:val="21"/>
          <w:szCs w:val="21"/>
          <w:highlight w:val="none"/>
        </w:rPr>
        <w:t>11.</w:t>
      </w:r>
      <w:r>
        <w:rPr>
          <w:rFonts w:hint="eastAsia" w:ascii="宋体" w:hAnsi="宋体" w:eastAsia="宋体" w:cs="宋体"/>
          <w:b/>
          <w:bCs/>
          <w:color w:val="auto"/>
          <w:sz w:val="21"/>
          <w:szCs w:val="21"/>
          <w:highlight w:val="none"/>
          <w:lang w:val="en-US" w:eastAsia="zh-CN"/>
        </w:rPr>
        <w:t>2</w:t>
      </w:r>
      <w:r>
        <w:rPr>
          <w:rFonts w:hint="eastAsia" w:ascii="宋体" w:hAnsi="宋体" w:eastAsia="宋体" w:cs="宋体"/>
          <w:b/>
          <w:bCs/>
          <w:color w:val="auto"/>
          <w:sz w:val="21"/>
          <w:szCs w:val="21"/>
          <w:highlight w:val="none"/>
        </w:rPr>
        <w:t>.</w:t>
      </w:r>
      <w:r>
        <w:rPr>
          <w:rFonts w:hint="eastAsia" w:ascii="宋体" w:hAnsi="宋体" w:eastAsia="宋体" w:cs="宋体"/>
          <w:b/>
          <w:bCs/>
          <w:color w:val="auto"/>
          <w:sz w:val="21"/>
          <w:szCs w:val="21"/>
          <w:highlight w:val="none"/>
          <w:lang w:val="en-US" w:eastAsia="zh-CN"/>
        </w:rPr>
        <w:t>1.1</w:t>
      </w:r>
      <w:r>
        <w:rPr>
          <w:rFonts w:hint="eastAsia" w:ascii="宋体" w:hAnsi="宋体" w:eastAsia="宋体" w:cs="宋体"/>
          <w:b/>
          <w:bCs/>
          <w:color w:val="auto"/>
          <w:sz w:val="21"/>
          <w:szCs w:val="21"/>
          <w:highlight w:val="none"/>
        </w:rPr>
        <w:t>资格性响应证明材料：</w:t>
      </w:r>
    </w:p>
    <w:p w14:paraId="064380A8">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（1）供应商相应的法定代表人、负责人、自然人身份证正反两面复印件</w:t>
      </w:r>
      <w:r>
        <w:rPr>
          <w:rFonts w:hint="eastAsia" w:ascii="宋体" w:hAnsi="宋体" w:eastAsia="宋体" w:cs="宋体"/>
          <w:b/>
          <w:bCs/>
          <w:color w:val="auto"/>
          <w:sz w:val="21"/>
          <w:szCs w:val="21"/>
          <w:highlight w:val="none"/>
        </w:rPr>
        <w:t>（必须提供）</w:t>
      </w:r>
      <w:r>
        <w:rPr>
          <w:rFonts w:hint="eastAsia" w:ascii="宋体" w:hAnsi="宋体" w:eastAsia="宋体" w:cs="宋体"/>
          <w:color w:val="auto"/>
          <w:sz w:val="21"/>
          <w:szCs w:val="21"/>
          <w:highlight w:val="none"/>
        </w:rPr>
        <w:t>；</w:t>
      </w:r>
    </w:p>
    <w:p w14:paraId="6F0169FD">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供应商的授权委托书原件、委托代理人身份证正反面复印件以及由县级以上（含县级）社会养老保险经办机构出具的供应商为委托代理人交纳的响应文件递交截止时间前半年内任意连续三个月社保证明复印件</w:t>
      </w:r>
      <w:r>
        <w:rPr>
          <w:rFonts w:hint="eastAsia" w:ascii="宋体" w:hAnsi="宋体" w:eastAsia="宋体" w:cs="宋体"/>
          <w:color w:val="auto"/>
          <w:sz w:val="21"/>
          <w:szCs w:val="21"/>
          <w:highlight w:val="none"/>
          <w:lang w:eastAsia="zh-CN"/>
        </w:rPr>
        <w:t>；</w:t>
      </w:r>
      <w:r>
        <w:rPr>
          <w:rFonts w:hint="eastAsia" w:ascii="宋体" w:hAnsi="宋体" w:eastAsia="宋体" w:cs="宋体"/>
          <w:b/>
          <w:bCs/>
          <w:color w:val="auto"/>
          <w:sz w:val="21"/>
          <w:szCs w:val="21"/>
          <w:highlight w:val="none"/>
        </w:rPr>
        <w:t>（委托代理时必须提供）</w:t>
      </w:r>
      <w:r>
        <w:rPr>
          <w:rFonts w:hint="eastAsia" w:ascii="宋体" w:hAnsi="宋体" w:eastAsia="宋体" w:cs="宋体"/>
          <w:b/>
          <w:bCs/>
          <w:color w:val="auto"/>
          <w:sz w:val="21"/>
          <w:szCs w:val="21"/>
          <w:highlight w:val="none"/>
          <w:lang w:eastAsia="zh-CN"/>
        </w:rPr>
        <w:t>。</w:t>
      </w:r>
      <w:r>
        <w:rPr>
          <w:rFonts w:hint="eastAsia" w:ascii="宋体" w:hAnsi="宋体" w:eastAsia="宋体" w:cs="宋体"/>
          <w:color w:val="auto"/>
          <w:sz w:val="21"/>
          <w:szCs w:val="21"/>
          <w:highlight w:val="none"/>
        </w:rPr>
        <w:t>除供应商为以下三种情形的：</w:t>
      </w:r>
    </w:p>
    <w:p w14:paraId="0BE7170A">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①如供应商为截标时间前60日以内成立的公司，可以提供供应商与委托代理人签订的劳动合同复印件代替社保证明复印件；</w:t>
      </w:r>
    </w:p>
    <w:p w14:paraId="08360155">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②如供应商为事业单位，可以提供事业单位机构编制管理证复印件或事业单位机构为其发放工资的工资条复印件代替社保证明复印件；</w:t>
      </w:r>
    </w:p>
    <w:p w14:paraId="1C1D3EE4">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③如委托代理人为免缴纳社保人员，提供免缴纳社保的证明材料复印件及供应商与委托代理人签订的劳动合同复印件代替社保证明复印件。</w:t>
      </w:r>
    </w:p>
    <w:p w14:paraId="39B9B922">
      <w:pPr>
        <w:pageBreakBefore w:val="0"/>
        <w:widowControl w:val="0"/>
        <w:kinsoku/>
        <w:wordWrap/>
        <w:overflowPunct/>
        <w:topLinePunct w:val="0"/>
        <w:bidi w:val="0"/>
        <w:snapToGrid/>
        <w:spacing w:line="380" w:lineRule="exact"/>
        <w:ind w:left="0" w:leftChars="0" w:firstLine="422" w:firstLineChars="200"/>
        <w:textAlignment w:val="auto"/>
        <w:rPr>
          <w:rFonts w:hint="eastAsia" w:ascii="宋体" w:hAnsi="宋体" w:eastAsia="宋体" w:cs="宋体"/>
          <w:b/>
          <w:bCs/>
          <w:color w:val="auto"/>
          <w:sz w:val="21"/>
          <w:szCs w:val="21"/>
          <w:highlight w:val="none"/>
          <w:lang w:eastAsia="zh-CN"/>
        </w:rPr>
      </w:pPr>
      <w:r>
        <w:rPr>
          <w:rFonts w:hint="eastAsia" w:ascii="宋体" w:hAnsi="宋体" w:eastAsia="宋体" w:cs="宋体"/>
          <w:b/>
          <w:bCs/>
          <w:color w:val="auto"/>
          <w:sz w:val="21"/>
          <w:szCs w:val="21"/>
          <w:highlight w:val="none"/>
        </w:rPr>
        <w:t>【属自然人的应提供由县级以上（含县级）社会养老保险经办机构出具的自然人本人及委托代理人所交纳的响应文件递交截止时间前半年内任意连续三个月社保证明复印件</w:t>
      </w:r>
      <w:r>
        <w:rPr>
          <w:rFonts w:hint="eastAsia" w:ascii="宋体" w:hAnsi="宋体" w:eastAsia="宋体" w:cs="宋体"/>
          <w:color w:val="auto"/>
          <w:sz w:val="21"/>
          <w:szCs w:val="21"/>
          <w:highlight w:val="none"/>
        </w:rPr>
        <w:t>】</w:t>
      </w:r>
      <w:r>
        <w:rPr>
          <w:rFonts w:hint="eastAsia" w:ascii="宋体" w:hAnsi="宋体" w:eastAsia="宋体" w:cs="宋体"/>
          <w:b/>
          <w:bCs/>
          <w:color w:val="auto"/>
          <w:sz w:val="21"/>
          <w:szCs w:val="21"/>
          <w:highlight w:val="none"/>
        </w:rPr>
        <w:t>（委托代理时必须提供）</w:t>
      </w:r>
      <w:r>
        <w:rPr>
          <w:rFonts w:hint="eastAsia" w:ascii="宋体" w:hAnsi="宋体" w:cs="宋体"/>
          <w:b/>
          <w:bCs/>
          <w:color w:val="auto"/>
          <w:sz w:val="21"/>
          <w:szCs w:val="21"/>
          <w:highlight w:val="none"/>
          <w:lang w:eastAsia="zh-CN"/>
        </w:rPr>
        <w:t>；</w:t>
      </w:r>
    </w:p>
    <w:p w14:paraId="4C40ED31">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（3）供应商参加政府采购活动前3年内在经营活动中没有重大违法记录及有关信用信息的书面声明</w:t>
      </w:r>
      <w:r>
        <w:rPr>
          <w:rFonts w:hint="eastAsia" w:ascii="宋体" w:hAnsi="宋体" w:eastAsia="宋体" w:cs="宋体"/>
          <w:b/>
          <w:bCs/>
          <w:color w:val="auto"/>
          <w:sz w:val="21"/>
          <w:szCs w:val="21"/>
          <w:highlight w:val="none"/>
        </w:rPr>
        <w:t>（必须提供）；</w:t>
      </w:r>
    </w:p>
    <w:p w14:paraId="32982B0B">
      <w:pPr>
        <w:pageBreakBefore w:val="0"/>
        <w:widowControl w:val="0"/>
        <w:numPr>
          <w:ilvl w:val="0"/>
          <w:numId w:val="0"/>
        </w:numPr>
        <w:kinsoku/>
        <w:wordWrap/>
        <w:overflowPunct/>
        <w:topLinePunct w:val="0"/>
        <w:bidi w:val="0"/>
        <w:snapToGrid/>
        <w:spacing w:line="380" w:lineRule="exact"/>
        <w:ind w:left="0" w:leftChars="0" w:firstLine="420" w:firstLineChars="0"/>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2"/>
          <w:sz w:val="21"/>
          <w:szCs w:val="21"/>
          <w:highlight w:val="none"/>
          <w:lang w:val="en-US" w:eastAsia="zh-CN" w:bidi="ar-SA"/>
        </w:rPr>
        <w:t>（4）</w:t>
      </w:r>
      <w:r>
        <w:rPr>
          <w:rFonts w:hint="eastAsia" w:ascii="宋体" w:hAnsi="宋体" w:eastAsia="宋体" w:cs="宋体"/>
          <w:color w:val="auto"/>
          <w:sz w:val="21"/>
          <w:szCs w:val="21"/>
          <w:highlight w:val="none"/>
        </w:rPr>
        <w:t>供应商的法人或者其他组织营业执照等证明文件复印件</w:t>
      </w:r>
      <w:r>
        <w:rPr>
          <w:rFonts w:hint="eastAsia" w:ascii="宋体" w:hAnsi="宋体" w:eastAsia="宋体" w:cs="宋体"/>
          <w:b/>
          <w:bCs/>
          <w:color w:val="auto"/>
          <w:sz w:val="21"/>
          <w:szCs w:val="21"/>
          <w:highlight w:val="none"/>
        </w:rPr>
        <w:t>（必须提供，自然人除外）；</w:t>
      </w:r>
    </w:p>
    <w:p w14:paraId="24E71253">
      <w:pPr>
        <w:pageBreakBefore w:val="0"/>
        <w:widowControl w:val="0"/>
        <w:kinsoku/>
        <w:wordWrap/>
        <w:overflowPunct/>
        <w:topLinePunct w:val="0"/>
        <w:bidi w:val="0"/>
        <w:snapToGrid/>
        <w:spacing w:line="380" w:lineRule="exact"/>
        <w:ind w:left="0" w:leftChars="0" w:firstLine="422" w:firstLineChars="200"/>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注：①法人包括企业法人、机关法人、事业单位法人和社会团体法人；其他组织主要包括合伙企业、非企业专业服务机构、个体工商户、农村承包经营户。②如供应商为企业（包括合伙企业），应提供工商部门注册的有效“企业法人营业执照”或“营业执照”；供应商为事业单位，应提供有效的“事业单位法人证书”；供应商为非企业专业服务机构的，应提供执业许可证等证明文件；供应商为个体工商户，应提供有效的“个体工商户营业执照”。</w:t>
      </w:r>
    </w:p>
    <w:p w14:paraId="74616365">
      <w:pPr>
        <w:pageBreakBefore w:val="0"/>
        <w:widowControl w:val="0"/>
        <w:numPr>
          <w:ilvl w:val="0"/>
          <w:numId w:val="0"/>
        </w:numPr>
        <w:kinsoku/>
        <w:wordWrap/>
        <w:overflowPunct/>
        <w:topLinePunct w:val="0"/>
        <w:bidi w:val="0"/>
        <w:snapToGrid/>
        <w:spacing w:line="380" w:lineRule="exact"/>
        <w:ind w:left="0" w:leftChars="0" w:firstLine="420" w:firstLineChars="0"/>
        <w:textAlignment w:val="auto"/>
        <w:rPr>
          <w:rFonts w:hint="eastAsia" w:ascii="宋体" w:hAnsi="宋体" w:eastAsia="宋体" w:cs="宋体"/>
          <w:bCs/>
          <w:color w:val="auto"/>
          <w:kern w:val="0"/>
          <w:sz w:val="21"/>
          <w:szCs w:val="21"/>
          <w:highlight w:val="none"/>
          <w:lang w:val="en-US" w:eastAsia="zh-CN"/>
        </w:rPr>
      </w:pPr>
      <w:r>
        <w:rPr>
          <w:rFonts w:hint="eastAsia" w:ascii="宋体" w:hAnsi="宋体" w:eastAsia="宋体" w:cs="宋体"/>
          <w:bCs/>
          <w:color w:val="auto"/>
          <w:kern w:val="0"/>
          <w:sz w:val="21"/>
          <w:szCs w:val="21"/>
          <w:highlight w:val="none"/>
          <w:lang w:val="en-US" w:eastAsia="zh-CN" w:bidi="ar-SA"/>
        </w:rPr>
        <w:t>（5）供应商相应有效的企业资质证书副本及安全生产许可证副本</w:t>
      </w:r>
      <w:r>
        <w:rPr>
          <w:rFonts w:hint="eastAsia" w:ascii="宋体" w:hAnsi="宋体" w:cs="宋体"/>
          <w:bCs/>
          <w:color w:val="auto"/>
          <w:kern w:val="0"/>
          <w:sz w:val="21"/>
          <w:szCs w:val="21"/>
          <w:highlight w:val="none"/>
          <w:lang w:val="en-US" w:eastAsia="zh-CN" w:bidi="ar-SA"/>
        </w:rPr>
        <w:t>复印件</w:t>
      </w:r>
      <w:r>
        <w:rPr>
          <w:rFonts w:hint="eastAsia" w:ascii="宋体" w:hAnsi="宋体" w:eastAsia="宋体" w:cs="宋体"/>
          <w:bCs/>
          <w:color w:val="auto"/>
          <w:kern w:val="0"/>
          <w:sz w:val="21"/>
          <w:szCs w:val="21"/>
          <w:highlight w:val="none"/>
          <w:lang w:val="en-US" w:eastAsia="zh-CN" w:bidi="ar-SA"/>
        </w:rPr>
        <w:t>、拟投入项目经理的注册建造师执业资格证书及安全生产考核合格证书（B类）</w:t>
      </w:r>
      <w:r>
        <w:rPr>
          <w:rFonts w:hint="eastAsia" w:ascii="宋体" w:hAnsi="宋体" w:cs="宋体"/>
          <w:bCs/>
          <w:color w:val="auto"/>
          <w:kern w:val="0"/>
          <w:sz w:val="21"/>
          <w:szCs w:val="21"/>
          <w:highlight w:val="none"/>
          <w:lang w:val="en-US" w:eastAsia="zh-CN" w:bidi="ar-SA"/>
        </w:rPr>
        <w:t>复印件</w:t>
      </w:r>
      <w:r>
        <w:rPr>
          <w:rFonts w:hint="eastAsia" w:ascii="宋体" w:hAnsi="宋体" w:eastAsia="宋体" w:cs="宋体"/>
          <w:b/>
          <w:bCs w:val="0"/>
          <w:color w:val="auto"/>
          <w:kern w:val="0"/>
          <w:sz w:val="21"/>
          <w:szCs w:val="21"/>
          <w:highlight w:val="none"/>
          <w:lang w:val="en-US" w:eastAsia="zh-CN" w:bidi="ar-SA"/>
        </w:rPr>
        <w:t>（必须提供）</w:t>
      </w:r>
      <w:r>
        <w:rPr>
          <w:rFonts w:hint="eastAsia" w:ascii="宋体" w:hAnsi="宋体" w:eastAsia="宋体" w:cs="宋体"/>
          <w:bCs/>
          <w:color w:val="auto"/>
          <w:kern w:val="0"/>
          <w:sz w:val="21"/>
          <w:szCs w:val="21"/>
          <w:highlight w:val="none"/>
          <w:lang w:val="en-US" w:eastAsia="zh-CN"/>
        </w:rPr>
        <w:t>；</w:t>
      </w:r>
    </w:p>
    <w:p w14:paraId="0FEA9A5E">
      <w:pPr>
        <w:keepNext w:val="0"/>
        <w:keepLines w:val="0"/>
        <w:pageBreakBefore w:val="0"/>
        <w:widowControl w:val="0"/>
        <w:numPr>
          <w:ilvl w:val="0"/>
          <w:numId w:val="0"/>
        </w:numPr>
        <w:kinsoku/>
        <w:wordWrap/>
        <w:overflowPunct/>
        <w:topLinePunct w:val="0"/>
        <w:autoSpaceDE/>
        <w:autoSpaceDN/>
        <w:bidi w:val="0"/>
        <w:adjustRightInd/>
        <w:snapToGrid/>
        <w:spacing w:line="380" w:lineRule="exact"/>
        <w:ind w:left="0" w:leftChars="0" w:firstLine="420" w:firstLineChars="0"/>
        <w:textAlignment w:val="auto"/>
        <w:rPr>
          <w:rFonts w:hint="eastAsia" w:ascii="宋体" w:hAnsi="宋体" w:eastAsia="宋体" w:cs="宋体"/>
          <w:bCs/>
          <w:color w:val="auto"/>
          <w:kern w:val="0"/>
          <w:sz w:val="21"/>
          <w:szCs w:val="21"/>
          <w:highlight w:val="none"/>
          <w:lang w:val="en-US" w:eastAsia="zh-CN"/>
        </w:rPr>
      </w:pPr>
      <w:r>
        <w:rPr>
          <w:rFonts w:hint="eastAsia" w:ascii="宋体" w:hAnsi="宋体" w:eastAsia="宋体" w:cs="宋体"/>
          <w:bCs/>
          <w:color w:val="auto"/>
          <w:kern w:val="0"/>
          <w:sz w:val="21"/>
          <w:szCs w:val="21"/>
          <w:highlight w:val="none"/>
          <w:lang w:val="en-US" w:eastAsia="zh-CN" w:bidi="ar-SA"/>
        </w:rPr>
        <w:t>（</w:t>
      </w:r>
      <w:r>
        <w:rPr>
          <w:rFonts w:hint="eastAsia" w:ascii="宋体" w:hAnsi="宋体" w:cs="宋体"/>
          <w:bCs/>
          <w:color w:val="auto"/>
          <w:kern w:val="0"/>
          <w:sz w:val="21"/>
          <w:szCs w:val="21"/>
          <w:highlight w:val="none"/>
          <w:lang w:val="en-US" w:eastAsia="zh-CN" w:bidi="ar-SA"/>
        </w:rPr>
        <w:t>6</w:t>
      </w:r>
      <w:r>
        <w:rPr>
          <w:rFonts w:hint="eastAsia" w:ascii="宋体" w:hAnsi="宋体" w:eastAsia="宋体" w:cs="宋体"/>
          <w:bCs/>
          <w:color w:val="auto"/>
          <w:kern w:val="0"/>
          <w:sz w:val="21"/>
          <w:szCs w:val="21"/>
          <w:highlight w:val="none"/>
          <w:lang w:val="en-US" w:eastAsia="zh-CN" w:bidi="ar-SA"/>
        </w:rPr>
        <w:t>）</w:t>
      </w:r>
      <w:r>
        <w:rPr>
          <w:rFonts w:hint="eastAsia" w:ascii="宋体" w:hAnsi="宋体" w:cs="Arial"/>
          <w:color w:val="auto"/>
          <w:kern w:val="0"/>
          <w:szCs w:val="21"/>
          <w:highlight w:val="none"/>
        </w:rPr>
        <w:t>项目经理无在建工程承诺书</w:t>
      </w:r>
      <w:r>
        <w:rPr>
          <w:rFonts w:hint="eastAsia" w:ascii="宋体" w:hAnsi="宋体"/>
          <w:b/>
          <w:color w:val="auto"/>
          <w:highlight w:val="none"/>
        </w:rPr>
        <w:t>（</w:t>
      </w:r>
      <w:r>
        <w:rPr>
          <w:rFonts w:hint="eastAsia" w:ascii="宋体" w:hAnsi="宋体" w:cs="宋体"/>
          <w:b/>
          <w:bCs/>
          <w:color w:val="auto"/>
          <w:highlight w:val="none"/>
        </w:rPr>
        <w:t>格式自拟，</w:t>
      </w:r>
      <w:r>
        <w:rPr>
          <w:rFonts w:hint="eastAsia" w:ascii="宋体" w:hAnsi="宋体"/>
          <w:b/>
          <w:color w:val="auto"/>
          <w:highlight w:val="none"/>
        </w:rPr>
        <w:t>必须提供）</w:t>
      </w:r>
      <w:r>
        <w:rPr>
          <w:rFonts w:hint="eastAsia" w:ascii="宋体" w:hAnsi="宋体" w:eastAsia="宋体" w:cs="宋体"/>
          <w:b/>
          <w:bCs w:val="0"/>
          <w:color w:val="auto"/>
          <w:kern w:val="0"/>
          <w:sz w:val="21"/>
          <w:szCs w:val="21"/>
          <w:highlight w:val="none"/>
          <w:lang w:val="en-US" w:eastAsia="zh-CN"/>
        </w:rPr>
        <w:t>；</w:t>
      </w:r>
    </w:p>
    <w:p w14:paraId="14FE728F">
      <w:pPr>
        <w:keepNext w:val="0"/>
        <w:keepLines w:val="0"/>
        <w:pageBreakBefore w:val="0"/>
        <w:widowControl w:val="0"/>
        <w:numPr>
          <w:ilvl w:val="0"/>
          <w:numId w:val="0"/>
        </w:numPr>
        <w:kinsoku/>
        <w:wordWrap/>
        <w:overflowPunct/>
        <w:topLinePunct w:val="0"/>
        <w:autoSpaceDE/>
        <w:autoSpaceDN/>
        <w:bidi w:val="0"/>
        <w:adjustRightInd/>
        <w:snapToGrid/>
        <w:spacing w:line="380" w:lineRule="exact"/>
        <w:ind w:left="0" w:leftChars="0" w:firstLine="420" w:firstLineChars="0"/>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2"/>
          <w:sz w:val="21"/>
          <w:szCs w:val="21"/>
          <w:highlight w:val="none"/>
          <w:lang w:val="en-US" w:eastAsia="zh-CN" w:bidi="ar-SA"/>
        </w:rPr>
        <w:t>（</w:t>
      </w:r>
      <w:r>
        <w:rPr>
          <w:rFonts w:hint="eastAsia" w:ascii="宋体" w:hAnsi="宋体" w:cs="宋体"/>
          <w:color w:val="auto"/>
          <w:kern w:val="2"/>
          <w:sz w:val="21"/>
          <w:szCs w:val="21"/>
          <w:highlight w:val="none"/>
          <w:lang w:val="en-US" w:eastAsia="zh-CN" w:bidi="ar-SA"/>
        </w:rPr>
        <w:t>7</w:t>
      </w:r>
      <w:r>
        <w:rPr>
          <w:rFonts w:hint="eastAsia" w:ascii="宋体" w:hAnsi="宋体" w:eastAsia="宋体" w:cs="宋体"/>
          <w:color w:val="auto"/>
          <w:kern w:val="2"/>
          <w:sz w:val="21"/>
          <w:szCs w:val="21"/>
          <w:highlight w:val="none"/>
          <w:lang w:val="en-US" w:eastAsia="zh-CN" w:bidi="ar-SA"/>
        </w:rPr>
        <w:t>）供应商2022年度以来任意一个年度内的财务状况报告</w:t>
      </w:r>
      <w:r>
        <w:rPr>
          <w:rFonts w:hint="eastAsia" w:ascii="宋体" w:hAnsi="宋体" w:eastAsia="宋体" w:cs="宋体"/>
          <w:b/>
          <w:bCs/>
          <w:color w:val="auto"/>
          <w:sz w:val="21"/>
          <w:szCs w:val="21"/>
          <w:highlight w:val="none"/>
          <w:lang w:val="en-US" w:eastAsia="zh-CN"/>
        </w:rPr>
        <w:t>（必须提供</w:t>
      </w:r>
      <w:r>
        <w:rPr>
          <w:rFonts w:hint="eastAsia" w:ascii="宋体" w:hAnsi="宋体" w:eastAsia="宋体" w:cs="宋体"/>
          <w:b/>
          <w:bCs/>
          <w:color w:val="auto"/>
          <w:sz w:val="21"/>
          <w:szCs w:val="21"/>
          <w:highlight w:val="none"/>
          <w:lang w:eastAsia="zh-CN"/>
        </w:rPr>
        <w:t>，</w:t>
      </w:r>
      <w:r>
        <w:rPr>
          <w:rFonts w:hint="eastAsia" w:ascii="宋体" w:hAnsi="宋体" w:eastAsia="宋体" w:cs="宋体"/>
          <w:b/>
          <w:bCs/>
          <w:color w:val="auto"/>
          <w:sz w:val="21"/>
          <w:szCs w:val="21"/>
          <w:highlight w:val="none"/>
        </w:rPr>
        <w:t>可</w:t>
      </w:r>
      <w:r>
        <w:rPr>
          <w:rFonts w:hint="eastAsia" w:ascii="宋体" w:hAnsi="宋体" w:eastAsia="宋体" w:cs="宋体"/>
          <w:b/>
          <w:bCs/>
          <w:color w:val="auto"/>
          <w:sz w:val="21"/>
          <w:szCs w:val="21"/>
          <w:highlight w:val="none"/>
          <w:lang w:eastAsia="zh-CN"/>
        </w:rPr>
        <w:t>以是供应商</w:t>
      </w:r>
      <w:r>
        <w:rPr>
          <w:rFonts w:hint="eastAsia" w:ascii="宋体" w:hAnsi="宋体" w:eastAsia="宋体" w:cs="宋体"/>
          <w:b/>
          <w:bCs/>
          <w:color w:val="auto"/>
          <w:sz w:val="21"/>
          <w:szCs w:val="21"/>
          <w:highlight w:val="none"/>
        </w:rPr>
        <w:t>自行编制也</w:t>
      </w:r>
      <w:r>
        <w:rPr>
          <w:rFonts w:hint="eastAsia" w:ascii="宋体" w:hAnsi="宋体" w:cs="宋体"/>
          <w:b/>
          <w:bCs/>
          <w:color w:val="auto"/>
          <w:sz w:val="21"/>
          <w:szCs w:val="21"/>
          <w:highlight w:val="none"/>
          <w:lang w:eastAsia="zh-CN"/>
        </w:rPr>
        <w:t>可以</w:t>
      </w:r>
      <w:r>
        <w:rPr>
          <w:rFonts w:hint="eastAsia" w:ascii="宋体" w:hAnsi="宋体" w:eastAsia="宋体" w:cs="宋体"/>
          <w:b/>
          <w:bCs/>
          <w:color w:val="auto"/>
          <w:sz w:val="21"/>
          <w:szCs w:val="21"/>
          <w:highlight w:val="none"/>
          <w:lang w:eastAsia="zh-CN"/>
        </w:rPr>
        <w:t>是</w:t>
      </w:r>
      <w:r>
        <w:rPr>
          <w:rFonts w:hint="eastAsia" w:ascii="宋体" w:hAnsi="宋体" w:eastAsia="宋体" w:cs="宋体"/>
          <w:b/>
          <w:bCs/>
          <w:color w:val="auto"/>
          <w:sz w:val="21"/>
          <w:szCs w:val="21"/>
          <w:highlight w:val="none"/>
        </w:rPr>
        <w:t>通过</w:t>
      </w:r>
      <w:r>
        <w:rPr>
          <w:rFonts w:hint="eastAsia" w:ascii="宋体" w:hAnsi="宋体" w:eastAsia="宋体" w:cs="宋体"/>
          <w:b/>
          <w:bCs/>
          <w:color w:val="auto"/>
          <w:sz w:val="21"/>
          <w:szCs w:val="21"/>
          <w:highlight w:val="none"/>
          <w:lang w:eastAsia="zh-CN"/>
        </w:rPr>
        <w:t>第三方</w:t>
      </w:r>
      <w:r>
        <w:rPr>
          <w:rFonts w:hint="eastAsia" w:ascii="宋体" w:hAnsi="宋体" w:eastAsia="宋体" w:cs="宋体"/>
          <w:b/>
          <w:bCs/>
          <w:color w:val="auto"/>
          <w:sz w:val="21"/>
          <w:szCs w:val="21"/>
          <w:highlight w:val="none"/>
        </w:rPr>
        <w:t>审计公司编制，如为自行编制至少须提供现金流量表、负债表及利润表</w:t>
      </w:r>
      <w:r>
        <w:rPr>
          <w:rFonts w:hint="eastAsia" w:ascii="宋体" w:hAnsi="宋体" w:eastAsia="宋体" w:cs="宋体"/>
          <w:b/>
          <w:bCs/>
          <w:color w:val="auto"/>
          <w:sz w:val="21"/>
          <w:szCs w:val="21"/>
          <w:highlight w:val="none"/>
          <w:lang w:val="en-US" w:eastAsia="zh-CN"/>
        </w:rPr>
        <w:t>）</w:t>
      </w:r>
      <w:r>
        <w:rPr>
          <w:rFonts w:hint="eastAsia" w:ascii="宋体" w:hAnsi="宋体" w:eastAsia="宋体" w:cs="宋体"/>
          <w:color w:val="auto"/>
          <w:sz w:val="21"/>
          <w:szCs w:val="21"/>
          <w:highlight w:val="none"/>
        </w:rPr>
        <w:t>；</w:t>
      </w:r>
    </w:p>
    <w:p w14:paraId="5443DB24">
      <w:pPr>
        <w:keepNext w:val="0"/>
        <w:keepLines w:val="0"/>
        <w:pageBreakBefore w:val="0"/>
        <w:widowControl w:val="0"/>
        <w:numPr>
          <w:ilvl w:val="0"/>
          <w:numId w:val="0"/>
        </w:numPr>
        <w:kinsoku/>
        <w:wordWrap/>
        <w:overflowPunct/>
        <w:topLinePunct w:val="0"/>
        <w:autoSpaceDE/>
        <w:autoSpaceDN/>
        <w:bidi w:val="0"/>
        <w:adjustRightInd/>
        <w:snapToGrid/>
        <w:spacing w:line="380" w:lineRule="exact"/>
        <w:ind w:left="0" w:leftChars="0" w:firstLine="420" w:firstLineChars="0"/>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2"/>
          <w:sz w:val="21"/>
          <w:szCs w:val="21"/>
          <w:highlight w:val="none"/>
          <w:lang w:val="en-US" w:eastAsia="zh-CN" w:bidi="ar-SA"/>
        </w:rPr>
        <w:t>（</w:t>
      </w:r>
      <w:r>
        <w:rPr>
          <w:rFonts w:hint="eastAsia" w:ascii="宋体" w:hAnsi="宋体" w:cs="宋体"/>
          <w:color w:val="auto"/>
          <w:kern w:val="2"/>
          <w:sz w:val="21"/>
          <w:szCs w:val="21"/>
          <w:highlight w:val="none"/>
          <w:lang w:val="en-US" w:eastAsia="zh-CN" w:bidi="ar-SA"/>
        </w:rPr>
        <w:t>8</w:t>
      </w:r>
      <w:r>
        <w:rPr>
          <w:rFonts w:hint="eastAsia" w:ascii="宋体" w:hAnsi="宋体" w:eastAsia="宋体" w:cs="宋体"/>
          <w:color w:val="auto"/>
          <w:kern w:val="2"/>
          <w:sz w:val="21"/>
          <w:szCs w:val="21"/>
          <w:highlight w:val="none"/>
          <w:lang w:val="en-US" w:eastAsia="zh-CN" w:bidi="ar-SA"/>
        </w:rPr>
        <w:t>）</w:t>
      </w:r>
      <w:r>
        <w:rPr>
          <w:rFonts w:hint="eastAsia" w:ascii="宋体" w:hAnsi="宋体" w:eastAsia="宋体" w:cs="宋体"/>
          <w:color w:val="auto"/>
          <w:sz w:val="21"/>
          <w:szCs w:val="21"/>
          <w:highlight w:val="none"/>
        </w:rPr>
        <w:t>供应商近半年内任意一个月或任一季度依法缴纳税收的证明材料</w:t>
      </w:r>
      <w:r>
        <w:rPr>
          <w:rFonts w:hint="eastAsia" w:ascii="宋体" w:hAnsi="宋体" w:eastAsia="宋体" w:cs="宋体"/>
          <w:color w:val="auto"/>
          <w:sz w:val="21"/>
          <w:szCs w:val="21"/>
          <w:highlight w:val="none"/>
          <w:lang w:val="en-US" w:eastAsia="zh-CN"/>
        </w:rPr>
        <w:t>[</w:t>
      </w:r>
      <w:r>
        <w:rPr>
          <w:rFonts w:hint="eastAsia" w:ascii="宋体" w:hAnsi="宋体" w:eastAsia="宋体" w:cs="宋体"/>
          <w:color w:val="auto"/>
          <w:sz w:val="21"/>
          <w:szCs w:val="21"/>
          <w:highlight w:val="none"/>
        </w:rPr>
        <w:t>增值税</w:t>
      </w:r>
      <w:r>
        <w:rPr>
          <w:rFonts w:hint="eastAsia" w:ascii="宋体" w:hAnsi="宋体" w:eastAsia="宋体" w:cs="宋体"/>
          <w:color w:val="auto"/>
          <w:sz w:val="21"/>
          <w:szCs w:val="21"/>
          <w:highlight w:val="none"/>
          <w:lang w:eastAsia="zh-CN"/>
        </w:rPr>
        <w:t>缴纳</w:t>
      </w:r>
      <w:r>
        <w:rPr>
          <w:rFonts w:hint="eastAsia" w:ascii="宋体" w:hAnsi="宋体" w:eastAsia="宋体" w:cs="宋体"/>
          <w:color w:val="auto"/>
          <w:sz w:val="21"/>
          <w:szCs w:val="21"/>
          <w:highlight w:val="none"/>
        </w:rPr>
        <w:t>发票(税收完税证明)或企业所得税完税证明或税务部门出具的免税证明</w:t>
      </w:r>
      <w:r>
        <w:rPr>
          <w:rFonts w:hint="eastAsia" w:ascii="宋体" w:hAnsi="宋体" w:eastAsia="宋体" w:cs="宋体"/>
          <w:color w:val="auto"/>
          <w:sz w:val="21"/>
          <w:szCs w:val="21"/>
          <w:highlight w:val="none"/>
          <w:lang w:val="en-US" w:eastAsia="zh-CN"/>
        </w:rPr>
        <w:t>]</w:t>
      </w:r>
      <w:r>
        <w:rPr>
          <w:rFonts w:hint="eastAsia" w:ascii="宋体" w:hAnsi="宋体" w:eastAsia="宋体" w:cs="宋体"/>
          <w:color w:val="auto"/>
          <w:sz w:val="21"/>
          <w:szCs w:val="21"/>
          <w:highlight w:val="none"/>
        </w:rPr>
        <w:t>复印件</w:t>
      </w:r>
      <w:r>
        <w:rPr>
          <w:rFonts w:hint="eastAsia" w:ascii="宋体" w:hAnsi="宋体" w:eastAsia="宋体" w:cs="宋体"/>
          <w:b/>
          <w:bCs/>
          <w:color w:val="auto"/>
          <w:sz w:val="21"/>
          <w:szCs w:val="21"/>
          <w:highlight w:val="none"/>
        </w:rPr>
        <w:t>（必须提供）</w:t>
      </w:r>
      <w:r>
        <w:rPr>
          <w:rFonts w:hint="eastAsia" w:ascii="宋体" w:hAnsi="宋体" w:cs="宋体"/>
          <w:b/>
          <w:bCs/>
          <w:color w:val="auto"/>
          <w:sz w:val="21"/>
          <w:szCs w:val="21"/>
          <w:highlight w:val="none"/>
          <w:lang w:eastAsia="zh-CN"/>
        </w:rPr>
        <w:t>；</w:t>
      </w:r>
    </w:p>
    <w:p w14:paraId="58512F3B">
      <w:pPr>
        <w:pStyle w:val="17"/>
        <w:keepNext w:val="0"/>
        <w:keepLines w:val="0"/>
        <w:pageBreakBefore w:val="0"/>
        <w:widowControl w:val="0"/>
        <w:kinsoku/>
        <w:wordWrap/>
        <w:overflowPunct/>
        <w:topLinePunct w:val="0"/>
        <w:autoSpaceDE/>
        <w:autoSpaceDN/>
        <w:bidi w:val="0"/>
        <w:adjustRightInd/>
        <w:snapToGrid/>
        <w:spacing w:after="0" w:line="380" w:lineRule="exact"/>
        <w:ind w:left="0" w:leftChars="0" w:firstLine="422"/>
        <w:textAlignment w:val="auto"/>
        <w:rPr>
          <w:rFonts w:hint="default" w:ascii="宋体" w:hAnsi="宋体" w:eastAsia="宋体" w:cs="宋体"/>
          <w:b/>
          <w:bCs/>
          <w:color w:val="auto"/>
          <w:sz w:val="21"/>
          <w:szCs w:val="21"/>
          <w:highlight w:val="none"/>
          <w:lang w:val="en-US" w:eastAsia="zh-CN"/>
        </w:rPr>
      </w:pPr>
      <w:r>
        <w:rPr>
          <w:rFonts w:hint="eastAsia" w:ascii="宋体" w:hAnsi="宋体" w:eastAsia="宋体" w:cs="宋体"/>
          <w:bCs/>
          <w:color w:val="auto"/>
          <w:kern w:val="0"/>
          <w:sz w:val="21"/>
          <w:szCs w:val="21"/>
          <w:highlight w:val="none"/>
          <w:lang w:val="en-US" w:eastAsia="zh-CN" w:bidi="ar-SA"/>
        </w:rPr>
        <w:t>（9）《中小企业声明函》或《残疾人福利性单位声明函》或省级以上监狱管理局、戒毒管理局（含新疆生产建设兵团）出具的属于监狱企业的证明文件复印件</w:t>
      </w:r>
      <w:r>
        <w:rPr>
          <w:rFonts w:hint="eastAsia" w:ascii="宋体" w:hAnsi="宋体" w:eastAsia="宋体" w:cs="宋体"/>
          <w:b/>
          <w:bCs w:val="0"/>
          <w:color w:val="auto"/>
          <w:kern w:val="0"/>
          <w:sz w:val="21"/>
          <w:szCs w:val="21"/>
          <w:highlight w:val="none"/>
          <w:lang w:val="en-US" w:eastAsia="zh-CN" w:bidi="ar-SA"/>
        </w:rPr>
        <w:t>（必须提供其中一项）。</w:t>
      </w:r>
    </w:p>
    <w:p w14:paraId="3E995985">
      <w:pPr>
        <w:pStyle w:val="17"/>
        <w:keepNext w:val="0"/>
        <w:keepLines w:val="0"/>
        <w:pageBreakBefore w:val="0"/>
        <w:widowControl w:val="0"/>
        <w:kinsoku/>
        <w:wordWrap/>
        <w:overflowPunct/>
        <w:topLinePunct w:val="0"/>
        <w:autoSpaceDE/>
        <w:autoSpaceDN/>
        <w:bidi w:val="0"/>
        <w:adjustRightInd/>
        <w:snapToGrid/>
        <w:spacing w:after="0" w:line="380" w:lineRule="exact"/>
        <w:ind w:left="0" w:leftChars="0" w:firstLine="422"/>
        <w:textAlignment w:val="auto"/>
        <w:rPr>
          <w:rFonts w:hint="eastAsia" w:ascii="宋体" w:hAnsi="宋体" w:eastAsia="宋体" w:cs="宋体"/>
          <w:color w:val="auto"/>
          <w:sz w:val="21"/>
          <w:szCs w:val="21"/>
          <w:highlight w:val="none"/>
        </w:rPr>
      </w:pPr>
      <w:r>
        <w:rPr>
          <w:rFonts w:hint="eastAsia" w:ascii="宋体" w:hAnsi="宋体" w:eastAsia="宋体" w:cs="宋体"/>
          <w:b/>
          <w:bCs/>
          <w:color w:val="auto"/>
          <w:sz w:val="21"/>
          <w:szCs w:val="21"/>
          <w:highlight w:val="none"/>
        </w:rPr>
        <w:t>11.</w:t>
      </w:r>
      <w:r>
        <w:rPr>
          <w:rFonts w:hint="eastAsia" w:ascii="宋体" w:hAnsi="宋体" w:eastAsia="宋体" w:cs="宋体"/>
          <w:b/>
          <w:bCs/>
          <w:color w:val="auto"/>
          <w:sz w:val="21"/>
          <w:szCs w:val="21"/>
          <w:highlight w:val="none"/>
          <w:lang w:val="en-US" w:eastAsia="zh-CN"/>
        </w:rPr>
        <w:t>2</w:t>
      </w:r>
      <w:r>
        <w:rPr>
          <w:rFonts w:hint="eastAsia" w:ascii="宋体" w:hAnsi="宋体" w:eastAsia="宋体" w:cs="宋体"/>
          <w:b/>
          <w:bCs/>
          <w:color w:val="auto"/>
          <w:sz w:val="21"/>
          <w:szCs w:val="21"/>
          <w:highlight w:val="none"/>
        </w:rPr>
        <w:t>.</w:t>
      </w:r>
      <w:r>
        <w:rPr>
          <w:rFonts w:hint="eastAsia" w:ascii="宋体" w:hAnsi="宋体" w:eastAsia="宋体" w:cs="宋体"/>
          <w:b/>
          <w:bCs/>
          <w:color w:val="auto"/>
          <w:sz w:val="21"/>
          <w:szCs w:val="21"/>
          <w:highlight w:val="none"/>
          <w:lang w:val="en-US" w:eastAsia="zh-CN"/>
        </w:rPr>
        <w:t>1.2</w:t>
      </w:r>
      <w:r>
        <w:rPr>
          <w:rFonts w:hint="eastAsia" w:ascii="宋体" w:hAnsi="宋体" w:eastAsia="宋体" w:cs="宋体"/>
          <w:b/>
          <w:bCs/>
          <w:color w:val="auto"/>
          <w:sz w:val="21"/>
          <w:szCs w:val="21"/>
          <w:highlight w:val="none"/>
        </w:rPr>
        <w:t>符合性响应证明材料：</w:t>
      </w:r>
    </w:p>
    <w:p w14:paraId="74A6F255">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bookmarkStart w:id="83" w:name="_Toc16312"/>
      <w:bookmarkStart w:id="84" w:name="_Toc2809"/>
      <w:bookmarkStart w:id="85" w:name="_Toc28932"/>
      <w:r>
        <w:rPr>
          <w:rFonts w:hint="eastAsia" w:ascii="宋体" w:hAnsi="宋体" w:eastAsia="宋体" w:cs="宋体"/>
          <w:color w:val="auto"/>
          <w:sz w:val="21"/>
          <w:szCs w:val="21"/>
          <w:highlight w:val="none"/>
          <w:lang w:val="en-US"/>
        </w:rPr>
        <w:t>（1）响应函</w:t>
      </w:r>
      <w:r>
        <w:rPr>
          <w:rFonts w:hint="eastAsia" w:ascii="宋体" w:hAnsi="宋体"/>
          <w:color w:val="auto"/>
          <w:szCs w:val="21"/>
          <w:highlight w:val="none"/>
        </w:rPr>
        <w:t>及响应函附录</w:t>
      </w:r>
      <w:r>
        <w:rPr>
          <w:rFonts w:hint="eastAsia" w:ascii="宋体" w:hAnsi="宋体" w:eastAsia="宋体" w:cs="宋体"/>
          <w:color w:val="auto"/>
          <w:sz w:val="21"/>
          <w:szCs w:val="21"/>
          <w:highlight w:val="none"/>
          <w:lang w:val="en-US"/>
        </w:rPr>
        <w:t>（格式见附件）</w:t>
      </w:r>
      <w:r>
        <w:rPr>
          <w:rFonts w:hint="eastAsia" w:ascii="宋体" w:hAnsi="宋体" w:eastAsia="宋体" w:cs="宋体"/>
          <w:b/>
          <w:bCs/>
          <w:color w:val="auto"/>
          <w:sz w:val="21"/>
          <w:szCs w:val="21"/>
          <w:highlight w:val="none"/>
          <w:lang w:val="en-US"/>
        </w:rPr>
        <w:t>（必须提供）</w:t>
      </w:r>
      <w:bookmarkEnd w:id="83"/>
      <w:r>
        <w:rPr>
          <w:rFonts w:hint="eastAsia" w:ascii="宋体" w:hAnsi="宋体" w:eastAsia="宋体" w:cs="宋体"/>
          <w:color w:val="auto"/>
          <w:sz w:val="21"/>
          <w:szCs w:val="21"/>
          <w:highlight w:val="none"/>
          <w:lang w:val="en-US" w:eastAsia="zh-CN"/>
        </w:rPr>
        <w:t>；</w:t>
      </w:r>
      <w:bookmarkEnd w:id="84"/>
      <w:bookmarkEnd w:id="85"/>
    </w:p>
    <w:p w14:paraId="7D2567F2">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Cs/>
          <w:color w:val="auto"/>
          <w:kern w:val="0"/>
          <w:sz w:val="21"/>
          <w:szCs w:val="21"/>
          <w:highlight w:val="none"/>
          <w:lang w:eastAsia="zh-CN"/>
        </w:rPr>
      </w:pPr>
      <w:r>
        <w:rPr>
          <w:rFonts w:hint="eastAsia" w:ascii="宋体" w:hAnsi="宋体" w:eastAsia="宋体" w:cs="宋体"/>
          <w:bCs/>
          <w:color w:val="auto"/>
          <w:kern w:val="0"/>
          <w:sz w:val="21"/>
          <w:szCs w:val="21"/>
          <w:highlight w:val="none"/>
          <w:lang w:eastAsia="zh-CN"/>
        </w:rPr>
        <w:t>（</w:t>
      </w:r>
      <w:r>
        <w:rPr>
          <w:rFonts w:hint="eastAsia" w:ascii="宋体" w:hAnsi="宋体" w:cs="宋体"/>
          <w:bCs/>
          <w:color w:val="auto"/>
          <w:kern w:val="0"/>
          <w:sz w:val="21"/>
          <w:szCs w:val="21"/>
          <w:highlight w:val="none"/>
          <w:lang w:val="en-US" w:eastAsia="zh-CN"/>
        </w:rPr>
        <w:t>2</w:t>
      </w:r>
      <w:r>
        <w:rPr>
          <w:rFonts w:hint="eastAsia" w:ascii="宋体" w:hAnsi="宋体" w:eastAsia="宋体" w:cs="宋体"/>
          <w:bCs/>
          <w:color w:val="auto"/>
          <w:kern w:val="0"/>
          <w:sz w:val="21"/>
          <w:szCs w:val="21"/>
          <w:highlight w:val="none"/>
          <w:lang w:eastAsia="zh-CN"/>
        </w:rPr>
        <w:t>）</w:t>
      </w:r>
      <w:r>
        <w:rPr>
          <w:rFonts w:hint="eastAsia" w:ascii="宋体" w:hAnsi="宋体" w:eastAsia="宋体" w:cs="宋体"/>
          <w:bCs/>
          <w:color w:val="auto"/>
          <w:kern w:val="0"/>
          <w:sz w:val="21"/>
          <w:szCs w:val="21"/>
          <w:highlight w:val="none"/>
        </w:rPr>
        <w:t>已标价工程量清单</w:t>
      </w:r>
      <w:r>
        <w:rPr>
          <w:rFonts w:hint="eastAsia" w:ascii="宋体" w:hAnsi="宋体" w:eastAsia="宋体" w:cs="宋体"/>
          <w:b/>
          <w:bCs w:val="0"/>
          <w:color w:val="auto"/>
          <w:kern w:val="0"/>
          <w:sz w:val="21"/>
          <w:szCs w:val="21"/>
          <w:highlight w:val="none"/>
        </w:rPr>
        <w:t>（必须提供）</w:t>
      </w:r>
      <w:r>
        <w:rPr>
          <w:rFonts w:hint="eastAsia" w:ascii="宋体" w:hAnsi="宋体" w:eastAsia="宋体" w:cs="宋体"/>
          <w:b w:val="0"/>
          <w:bCs/>
          <w:color w:val="auto"/>
          <w:kern w:val="0"/>
          <w:sz w:val="21"/>
          <w:szCs w:val="21"/>
          <w:highlight w:val="none"/>
          <w:lang w:eastAsia="zh-CN"/>
        </w:rPr>
        <w:t>；</w:t>
      </w:r>
    </w:p>
    <w:p w14:paraId="06EA3174">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r>
        <w:rPr>
          <w:rFonts w:hint="eastAsia" w:ascii="宋体" w:hAnsi="宋体" w:cs="宋体"/>
          <w:color w:val="auto"/>
          <w:sz w:val="21"/>
          <w:szCs w:val="21"/>
          <w:highlight w:val="none"/>
          <w:lang w:val="en-US" w:eastAsia="zh-CN"/>
        </w:rPr>
        <w:t>3</w:t>
      </w:r>
      <w:r>
        <w:rPr>
          <w:rFonts w:hint="eastAsia" w:ascii="宋体" w:hAnsi="宋体" w:eastAsia="宋体" w:cs="宋体"/>
          <w:color w:val="auto"/>
          <w:sz w:val="21"/>
          <w:szCs w:val="21"/>
          <w:highlight w:val="none"/>
        </w:rPr>
        <w:t>）</w:t>
      </w:r>
      <w:r>
        <w:rPr>
          <w:rFonts w:hint="eastAsia" w:ascii="宋体" w:hAnsi="宋体"/>
          <w:color w:val="auto"/>
          <w:szCs w:val="21"/>
          <w:highlight w:val="none"/>
        </w:rPr>
        <w:t>项目管理机构组成表</w:t>
      </w:r>
      <w:r>
        <w:rPr>
          <w:rFonts w:hint="eastAsia" w:ascii="宋体" w:hAnsi="宋体" w:eastAsia="宋体" w:cs="宋体"/>
          <w:b/>
          <w:bCs/>
          <w:color w:val="auto"/>
          <w:sz w:val="21"/>
          <w:szCs w:val="21"/>
          <w:highlight w:val="none"/>
          <w:lang w:eastAsia="zh-CN"/>
        </w:rPr>
        <w:t>（</w:t>
      </w:r>
      <w:r>
        <w:rPr>
          <w:rFonts w:hint="eastAsia" w:ascii="宋体" w:hAnsi="宋体" w:eastAsia="宋体" w:cs="宋体"/>
          <w:b/>
          <w:bCs/>
          <w:color w:val="auto"/>
          <w:sz w:val="21"/>
          <w:szCs w:val="21"/>
          <w:highlight w:val="none"/>
        </w:rPr>
        <w:t>必须提供)</w:t>
      </w:r>
      <w:r>
        <w:rPr>
          <w:rFonts w:hint="eastAsia" w:ascii="宋体" w:hAnsi="宋体" w:eastAsia="宋体" w:cs="宋体"/>
          <w:color w:val="auto"/>
          <w:sz w:val="21"/>
          <w:szCs w:val="21"/>
          <w:highlight w:val="none"/>
        </w:rPr>
        <w:t>；</w:t>
      </w:r>
    </w:p>
    <w:p w14:paraId="2E46D175">
      <w:pPr>
        <w:pageBreakBefore w:val="0"/>
        <w:widowControl w:val="0"/>
        <w:numPr>
          <w:ilvl w:val="0"/>
          <w:numId w:val="0"/>
        </w:numPr>
        <w:kinsoku/>
        <w:wordWrap/>
        <w:overflowPunct/>
        <w:topLinePunct w:val="0"/>
        <w:bidi w:val="0"/>
        <w:snapToGrid/>
        <w:spacing w:line="380" w:lineRule="exact"/>
        <w:ind w:left="0" w:leftChars="0" w:firstLine="420" w:firstLineChars="200"/>
        <w:textAlignment w:val="auto"/>
        <w:rPr>
          <w:rFonts w:hint="eastAsia" w:ascii="宋体" w:hAnsi="宋体" w:eastAsia="宋体" w:cs="宋体"/>
          <w:b/>
          <w:bCs/>
          <w:color w:val="auto"/>
          <w:sz w:val="21"/>
          <w:szCs w:val="21"/>
          <w:highlight w:val="none"/>
          <w:lang w:eastAsia="zh-CN"/>
        </w:rPr>
      </w:pPr>
      <w:r>
        <w:rPr>
          <w:rFonts w:hint="eastAsia" w:ascii="宋体" w:hAnsi="宋体" w:eastAsia="宋体" w:cs="宋体"/>
          <w:color w:val="auto"/>
          <w:sz w:val="21"/>
          <w:szCs w:val="21"/>
          <w:highlight w:val="none"/>
        </w:rPr>
        <w:t>（</w:t>
      </w:r>
      <w:r>
        <w:rPr>
          <w:rFonts w:hint="eastAsia" w:ascii="宋体" w:hAnsi="宋体" w:cs="宋体"/>
          <w:color w:val="auto"/>
          <w:sz w:val="21"/>
          <w:szCs w:val="21"/>
          <w:highlight w:val="none"/>
          <w:lang w:val="en-US" w:eastAsia="zh-CN"/>
        </w:rPr>
        <w:t>4</w:t>
      </w:r>
      <w:r>
        <w:rPr>
          <w:rFonts w:hint="eastAsia" w:ascii="宋体" w:hAnsi="宋体" w:eastAsia="宋体" w:cs="宋体"/>
          <w:color w:val="auto"/>
          <w:sz w:val="21"/>
          <w:szCs w:val="21"/>
          <w:highlight w:val="none"/>
        </w:rPr>
        <w:t>）</w:t>
      </w:r>
      <w:r>
        <w:rPr>
          <w:rFonts w:hint="eastAsia" w:ascii="宋体" w:hAnsi="宋体" w:eastAsia="宋体" w:cs="宋体"/>
          <w:bCs/>
          <w:color w:val="auto"/>
          <w:kern w:val="0"/>
          <w:sz w:val="21"/>
          <w:szCs w:val="21"/>
          <w:highlight w:val="none"/>
        </w:rPr>
        <w:t>施工组织设计</w:t>
      </w:r>
      <w:r>
        <w:rPr>
          <w:rFonts w:hint="eastAsia" w:ascii="宋体" w:hAnsi="宋体" w:eastAsia="宋体" w:cs="宋体"/>
          <w:b/>
          <w:bCs/>
          <w:color w:val="auto"/>
          <w:sz w:val="21"/>
          <w:szCs w:val="21"/>
          <w:highlight w:val="none"/>
        </w:rPr>
        <w:t>（</w:t>
      </w:r>
      <w:r>
        <w:rPr>
          <w:rFonts w:hint="eastAsia" w:ascii="宋体" w:hAnsi="宋体" w:eastAsia="宋体" w:cs="宋体"/>
          <w:b/>
          <w:bCs/>
          <w:color w:val="auto"/>
          <w:sz w:val="21"/>
          <w:szCs w:val="21"/>
          <w:highlight w:val="none"/>
          <w:lang w:eastAsia="zh-CN"/>
        </w:rPr>
        <w:t>必须提供</w:t>
      </w:r>
      <w:r>
        <w:rPr>
          <w:rFonts w:hint="eastAsia" w:ascii="宋体" w:hAnsi="宋体" w:eastAsia="宋体" w:cs="宋体"/>
          <w:b/>
          <w:bCs/>
          <w:color w:val="auto"/>
          <w:sz w:val="21"/>
          <w:szCs w:val="21"/>
          <w:highlight w:val="none"/>
        </w:rPr>
        <w:t>）</w:t>
      </w:r>
      <w:r>
        <w:rPr>
          <w:rFonts w:hint="eastAsia" w:ascii="宋体" w:hAnsi="宋体" w:eastAsia="宋体" w:cs="宋体"/>
          <w:b w:val="0"/>
          <w:bCs w:val="0"/>
          <w:color w:val="auto"/>
          <w:sz w:val="21"/>
          <w:szCs w:val="21"/>
          <w:highlight w:val="none"/>
          <w:lang w:eastAsia="zh-CN"/>
        </w:rPr>
        <w:t>；</w:t>
      </w:r>
    </w:p>
    <w:p w14:paraId="3F15B6ED">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bCs/>
          <w:color w:val="auto"/>
          <w:kern w:val="0"/>
          <w:sz w:val="21"/>
          <w:szCs w:val="21"/>
          <w:highlight w:val="none"/>
        </w:rPr>
        <w:t>（</w:t>
      </w:r>
      <w:r>
        <w:rPr>
          <w:rFonts w:hint="eastAsia" w:ascii="宋体" w:hAnsi="宋体" w:cs="宋体"/>
          <w:bCs/>
          <w:color w:val="auto"/>
          <w:kern w:val="0"/>
          <w:sz w:val="21"/>
          <w:szCs w:val="21"/>
          <w:highlight w:val="none"/>
          <w:lang w:val="en-US" w:eastAsia="zh-CN"/>
        </w:rPr>
        <w:t>5</w:t>
      </w:r>
      <w:r>
        <w:rPr>
          <w:rFonts w:hint="eastAsia" w:ascii="宋体" w:hAnsi="宋体" w:eastAsia="宋体" w:cs="宋体"/>
          <w:bCs/>
          <w:color w:val="auto"/>
          <w:kern w:val="0"/>
          <w:sz w:val="21"/>
          <w:szCs w:val="21"/>
          <w:highlight w:val="none"/>
        </w:rPr>
        <w:t>）城乡清洁工程渣土清运承诺书</w:t>
      </w:r>
      <w:r>
        <w:rPr>
          <w:rFonts w:hint="eastAsia" w:ascii="宋体" w:hAnsi="宋体" w:eastAsia="宋体" w:cs="宋体"/>
          <w:b/>
          <w:bCs/>
          <w:color w:val="auto"/>
          <w:sz w:val="21"/>
          <w:szCs w:val="21"/>
          <w:highlight w:val="none"/>
        </w:rPr>
        <w:t>（</w:t>
      </w:r>
      <w:r>
        <w:rPr>
          <w:rFonts w:hint="eastAsia" w:ascii="宋体" w:hAnsi="宋体" w:eastAsia="宋体" w:cs="宋体"/>
          <w:b/>
          <w:bCs/>
          <w:color w:val="auto"/>
          <w:sz w:val="21"/>
          <w:szCs w:val="21"/>
          <w:highlight w:val="none"/>
          <w:lang w:eastAsia="zh-CN"/>
        </w:rPr>
        <w:t>必须提供</w:t>
      </w:r>
      <w:r>
        <w:rPr>
          <w:rFonts w:hint="eastAsia" w:ascii="宋体" w:hAnsi="宋体" w:eastAsia="宋体" w:cs="宋体"/>
          <w:b/>
          <w:bCs/>
          <w:color w:val="auto"/>
          <w:sz w:val="21"/>
          <w:szCs w:val="21"/>
          <w:highlight w:val="none"/>
        </w:rPr>
        <w:t>）</w:t>
      </w:r>
      <w:r>
        <w:rPr>
          <w:rFonts w:hint="eastAsia" w:ascii="宋体" w:hAnsi="宋体" w:eastAsia="宋体" w:cs="宋体"/>
          <w:b/>
          <w:bCs/>
          <w:color w:val="auto"/>
          <w:sz w:val="21"/>
          <w:szCs w:val="21"/>
          <w:highlight w:val="none"/>
          <w:lang w:eastAsia="zh-CN"/>
        </w:rPr>
        <w:t>；</w:t>
      </w:r>
    </w:p>
    <w:p w14:paraId="2F5190D7">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bCs/>
          <w:color w:val="auto"/>
          <w:kern w:val="0"/>
          <w:sz w:val="21"/>
          <w:szCs w:val="21"/>
          <w:highlight w:val="none"/>
        </w:rPr>
      </w:pPr>
      <w:r>
        <w:rPr>
          <w:rFonts w:hint="eastAsia" w:ascii="宋体" w:hAnsi="宋体" w:eastAsia="宋体" w:cs="宋体"/>
          <w:color w:val="auto"/>
          <w:sz w:val="21"/>
          <w:szCs w:val="21"/>
          <w:highlight w:val="none"/>
        </w:rPr>
        <w:t>（</w:t>
      </w:r>
      <w:r>
        <w:rPr>
          <w:rFonts w:hint="eastAsia" w:ascii="宋体" w:hAnsi="宋体" w:cs="宋体"/>
          <w:color w:val="auto"/>
          <w:sz w:val="21"/>
          <w:szCs w:val="21"/>
          <w:highlight w:val="none"/>
          <w:lang w:val="en-US" w:eastAsia="zh-CN"/>
        </w:rPr>
        <w:t>6</w:t>
      </w:r>
      <w:r>
        <w:rPr>
          <w:rFonts w:hint="eastAsia" w:ascii="宋体" w:hAnsi="宋体" w:eastAsia="宋体" w:cs="宋体"/>
          <w:color w:val="auto"/>
          <w:sz w:val="21"/>
          <w:szCs w:val="21"/>
          <w:highlight w:val="none"/>
        </w:rPr>
        <w:t>）</w:t>
      </w:r>
      <w:r>
        <w:rPr>
          <w:rFonts w:hint="eastAsia" w:ascii="宋体" w:hAnsi="宋体"/>
          <w:color w:val="auto"/>
          <w:szCs w:val="21"/>
          <w:highlight w:val="none"/>
        </w:rPr>
        <w:t>建设工程项目管理承诺书</w:t>
      </w:r>
      <w:r>
        <w:rPr>
          <w:rFonts w:hint="eastAsia" w:ascii="宋体" w:hAnsi="宋体" w:eastAsia="宋体" w:cs="宋体"/>
          <w:b/>
          <w:bCs/>
          <w:color w:val="auto"/>
          <w:sz w:val="21"/>
          <w:szCs w:val="21"/>
          <w:highlight w:val="none"/>
        </w:rPr>
        <w:t>（</w:t>
      </w:r>
      <w:r>
        <w:rPr>
          <w:rFonts w:hint="eastAsia" w:ascii="宋体" w:hAnsi="宋体" w:eastAsia="宋体" w:cs="宋体"/>
          <w:b/>
          <w:bCs/>
          <w:color w:val="auto"/>
          <w:sz w:val="21"/>
          <w:szCs w:val="21"/>
          <w:highlight w:val="none"/>
          <w:lang w:eastAsia="zh-CN"/>
        </w:rPr>
        <w:t>必须提供</w:t>
      </w:r>
      <w:r>
        <w:rPr>
          <w:rFonts w:hint="eastAsia" w:ascii="宋体" w:hAnsi="宋体" w:eastAsia="宋体" w:cs="宋体"/>
          <w:b/>
          <w:bCs/>
          <w:color w:val="auto"/>
          <w:sz w:val="21"/>
          <w:szCs w:val="21"/>
          <w:highlight w:val="none"/>
        </w:rPr>
        <w:t>）</w:t>
      </w:r>
      <w:r>
        <w:rPr>
          <w:rFonts w:hint="eastAsia" w:ascii="宋体" w:hAnsi="宋体" w:eastAsia="宋体" w:cs="宋体"/>
          <w:bCs/>
          <w:color w:val="auto"/>
          <w:kern w:val="0"/>
          <w:sz w:val="21"/>
          <w:szCs w:val="21"/>
          <w:highlight w:val="none"/>
          <w:lang w:eastAsia="zh-CN"/>
        </w:rPr>
        <w:t>。</w:t>
      </w:r>
    </w:p>
    <w:p w14:paraId="450E368E">
      <w:pPr>
        <w:pStyle w:val="17"/>
        <w:pageBreakBefore w:val="0"/>
        <w:widowControl w:val="0"/>
        <w:kinsoku/>
        <w:wordWrap/>
        <w:overflowPunct/>
        <w:topLinePunct w:val="0"/>
        <w:bidi w:val="0"/>
        <w:snapToGrid/>
        <w:spacing w:line="380" w:lineRule="exact"/>
        <w:ind w:left="0" w:leftChars="0" w:firstLine="422"/>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11.</w:t>
      </w:r>
      <w:r>
        <w:rPr>
          <w:rFonts w:hint="eastAsia" w:ascii="宋体" w:hAnsi="宋体" w:eastAsia="宋体" w:cs="宋体"/>
          <w:b/>
          <w:bCs/>
          <w:color w:val="auto"/>
          <w:sz w:val="21"/>
          <w:szCs w:val="21"/>
          <w:highlight w:val="none"/>
          <w:lang w:val="en-US" w:eastAsia="zh-CN"/>
        </w:rPr>
        <w:t>2</w:t>
      </w:r>
      <w:r>
        <w:rPr>
          <w:rFonts w:hint="eastAsia" w:ascii="宋体" w:hAnsi="宋体" w:eastAsia="宋体" w:cs="宋体"/>
          <w:b/>
          <w:bCs/>
          <w:color w:val="auto"/>
          <w:sz w:val="21"/>
          <w:szCs w:val="21"/>
          <w:highlight w:val="none"/>
        </w:rPr>
        <w:t>.</w:t>
      </w:r>
      <w:r>
        <w:rPr>
          <w:rFonts w:hint="eastAsia" w:ascii="宋体" w:hAnsi="宋体" w:eastAsia="宋体" w:cs="宋体"/>
          <w:b/>
          <w:bCs/>
          <w:color w:val="auto"/>
          <w:sz w:val="21"/>
          <w:szCs w:val="21"/>
          <w:highlight w:val="none"/>
          <w:lang w:val="en-US" w:eastAsia="zh-CN"/>
        </w:rPr>
        <w:t>1.3</w:t>
      </w:r>
      <w:r>
        <w:rPr>
          <w:rFonts w:hint="eastAsia" w:ascii="宋体" w:hAnsi="宋体" w:eastAsia="宋体" w:cs="宋体"/>
          <w:b/>
          <w:bCs/>
          <w:color w:val="auto"/>
          <w:sz w:val="21"/>
          <w:szCs w:val="21"/>
          <w:highlight w:val="none"/>
        </w:rPr>
        <w:t>其他有效证明材料</w:t>
      </w:r>
    </w:p>
    <w:p w14:paraId="199E31A9">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b/>
          <w:bCs/>
          <w:color w:val="auto"/>
          <w:sz w:val="21"/>
          <w:szCs w:val="21"/>
          <w:highlight w:val="none"/>
        </w:rPr>
      </w:pP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1</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eastAsia="zh-CN"/>
        </w:rPr>
        <w:t>供应商</w:t>
      </w:r>
      <w:r>
        <w:rPr>
          <w:rFonts w:hint="eastAsia" w:ascii="宋体" w:hAnsi="宋体" w:cs="宋体"/>
          <w:color w:val="auto"/>
          <w:sz w:val="21"/>
          <w:szCs w:val="21"/>
          <w:highlight w:val="none"/>
          <w:lang w:val="en-US" w:eastAsia="zh-CN"/>
        </w:rPr>
        <w:t>2021</w:t>
      </w:r>
      <w:r>
        <w:rPr>
          <w:rFonts w:hint="eastAsia" w:ascii="宋体" w:hAnsi="宋体" w:eastAsia="宋体" w:cs="宋体"/>
          <w:color w:val="auto"/>
          <w:sz w:val="21"/>
          <w:szCs w:val="21"/>
          <w:highlight w:val="none"/>
          <w:lang w:eastAsia="zh-CN"/>
        </w:rPr>
        <w:t>年1月1日以来具有同类项目业绩的相关证明材料</w:t>
      </w:r>
      <w:r>
        <w:rPr>
          <w:rFonts w:hint="eastAsia" w:ascii="宋体" w:hAnsi="宋体" w:eastAsia="宋体" w:cs="宋体"/>
          <w:color w:val="auto"/>
          <w:sz w:val="21"/>
          <w:szCs w:val="21"/>
          <w:highlight w:val="none"/>
        </w:rPr>
        <w:t>（无不良记录，以中标、成交通知书或签订的合同</w:t>
      </w:r>
      <w:r>
        <w:rPr>
          <w:rFonts w:hint="eastAsia" w:ascii="宋体" w:hAnsi="宋体" w:cs="宋体"/>
          <w:color w:val="auto"/>
          <w:sz w:val="21"/>
          <w:szCs w:val="21"/>
          <w:highlight w:val="none"/>
          <w:lang w:eastAsia="zh-CN"/>
        </w:rPr>
        <w:t>复印件</w:t>
      </w:r>
      <w:r>
        <w:rPr>
          <w:rFonts w:hint="eastAsia" w:ascii="宋体" w:hAnsi="宋体" w:eastAsia="宋体" w:cs="宋体"/>
          <w:color w:val="auto"/>
          <w:sz w:val="21"/>
          <w:szCs w:val="21"/>
          <w:highlight w:val="none"/>
        </w:rPr>
        <w:t>为准，并能清晰反映</w:t>
      </w:r>
      <w:r>
        <w:rPr>
          <w:rFonts w:hint="eastAsia" w:ascii="宋体" w:hAnsi="宋体" w:eastAsia="宋体" w:cs="宋体"/>
          <w:color w:val="auto"/>
          <w:sz w:val="21"/>
          <w:szCs w:val="21"/>
          <w:highlight w:val="none"/>
          <w:lang w:eastAsia="zh-CN"/>
        </w:rPr>
        <w:t>项目</w:t>
      </w:r>
      <w:r>
        <w:rPr>
          <w:rFonts w:hint="eastAsia" w:ascii="宋体" w:hAnsi="宋体" w:eastAsia="宋体" w:cs="宋体"/>
          <w:color w:val="auto"/>
          <w:sz w:val="21"/>
          <w:szCs w:val="21"/>
          <w:highlight w:val="none"/>
        </w:rPr>
        <w:t>的名称、</w:t>
      </w:r>
      <w:r>
        <w:rPr>
          <w:rFonts w:hint="eastAsia" w:ascii="宋体" w:hAnsi="宋体" w:eastAsia="宋体" w:cs="宋体"/>
          <w:color w:val="auto"/>
          <w:sz w:val="21"/>
          <w:szCs w:val="21"/>
          <w:highlight w:val="none"/>
          <w:lang w:eastAsia="zh-CN"/>
        </w:rPr>
        <w:t>采购内容</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eastAsia="zh-CN"/>
        </w:rPr>
        <w:t>采购</w:t>
      </w:r>
      <w:r>
        <w:rPr>
          <w:rFonts w:hint="eastAsia" w:ascii="宋体" w:hAnsi="宋体" w:eastAsia="宋体" w:cs="宋体"/>
          <w:color w:val="auto"/>
          <w:sz w:val="21"/>
          <w:szCs w:val="21"/>
          <w:highlight w:val="none"/>
        </w:rPr>
        <w:t>金额</w:t>
      </w:r>
      <w:r>
        <w:rPr>
          <w:rFonts w:hint="eastAsia" w:ascii="宋体" w:hAnsi="宋体" w:eastAsia="宋体" w:cs="宋体"/>
          <w:color w:val="auto"/>
          <w:sz w:val="21"/>
          <w:szCs w:val="21"/>
          <w:highlight w:val="none"/>
          <w:lang w:eastAsia="zh-CN"/>
        </w:rPr>
        <w:t>、采购时间</w:t>
      </w:r>
      <w:r>
        <w:rPr>
          <w:rFonts w:hint="eastAsia" w:ascii="宋体" w:hAnsi="宋体" w:eastAsia="宋体" w:cs="宋体"/>
          <w:color w:val="auto"/>
          <w:sz w:val="21"/>
          <w:szCs w:val="21"/>
          <w:highlight w:val="none"/>
        </w:rPr>
        <w:t>）</w:t>
      </w:r>
      <w:r>
        <w:rPr>
          <w:rFonts w:hint="eastAsia" w:ascii="宋体" w:hAnsi="宋体" w:eastAsia="宋体" w:cs="宋体"/>
          <w:b/>
          <w:bCs/>
          <w:color w:val="auto"/>
          <w:sz w:val="21"/>
          <w:szCs w:val="21"/>
          <w:highlight w:val="none"/>
        </w:rPr>
        <w:t>（如有，请提供）；</w:t>
      </w:r>
    </w:p>
    <w:p w14:paraId="734B9783">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lang w:val="en-US" w:eastAsia="zh-CN"/>
        </w:rPr>
        <w:t>2</w:t>
      </w:r>
      <w:r>
        <w:rPr>
          <w:rFonts w:hint="eastAsia" w:ascii="宋体" w:hAnsi="宋体" w:cs="宋体"/>
          <w:color w:val="auto"/>
          <w:sz w:val="21"/>
          <w:szCs w:val="21"/>
          <w:highlight w:val="none"/>
          <w:lang w:eastAsia="zh-CN"/>
        </w:rPr>
        <w:t>）</w:t>
      </w:r>
      <w:r>
        <w:rPr>
          <w:rFonts w:hint="eastAsia" w:ascii="宋体" w:hAnsi="宋体"/>
          <w:color w:val="auto"/>
          <w:szCs w:val="21"/>
          <w:highlight w:val="none"/>
        </w:rPr>
        <w:t>供应商相关获奖证书、认证证书等复印件</w:t>
      </w:r>
      <w:r>
        <w:rPr>
          <w:rFonts w:hint="eastAsia" w:ascii="宋体" w:hAnsi="宋体"/>
          <w:b/>
          <w:color w:val="auto"/>
          <w:szCs w:val="21"/>
          <w:highlight w:val="none"/>
        </w:rPr>
        <w:t>（如有，请提供）</w:t>
      </w:r>
      <w:r>
        <w:rPr>
          <w:rFonts w:hint="eastAsia" w:ascii="宋体" w:hAnsi="宋体"/>
          <w:b/>
          <w:color w:val="auto"/>
          <w:szCs w:val="21"/>
          <w:highlight w:val="none"/>
          <w:lang w:eastAsia="zh-CN"/>
        </w:rPr>
        <w:t>；</w:t>
      </w:r>
    </w:p>
    <w:p w14:paraId="61AA9865">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r>
        <w:rPr>
          <w:rFonts w:hint="eastAsia" w:ascii="宋体" w:hAnsi="宋体" w:cs="宋体"/>
          <w:color w:val="auto"/>
          <w:sz w:val="21"/>
          <w:szCs w:val="21"/>
          <w:highlight w:val="none"/>
          <w:lang w:val="en-US" w:eastAsia="zh-CN"/>
        </w:rPr>
        <w:t>3</w:t>
      </w:r>
      <w:r>
        <w:rPr>
          <w:rFonts w:hint="eastAsia" w:ascii="宋体" w:hAnsi="宋体" w:eastAsia="宋体" w:cs="宋体"/>
          <w:color w:val="auto"/>
          <w:sz w:val="21"/>
          <w:szCs w:val="21"/>
          <w:highlight w:val="none"/>
        </w:rPr>
        <w:t>）供应商可结合本项目的自身情况自行提交</w:t>
      </w:r>
      <w:r>
        <w:rPr>
          <w:rFonts w:hint="eastAsia" w:ascii="宋体" w:hAnsi="宋体" w:cs="宋体"/>
          <w:color w:val="auto"/>
          <w:sz w:val="21"/>
          <w:szCs w:val="21"/>
          <w:highlight w:val="none"/>
          <w:lang w:eastAsia="zh-CN"/>
        </w:rPr>
        <w:t>其他</w:t>
      </w:r>
      <w:r>
        <w:rPr>
          <w:rFonts w:hint="eastAsia" w:ascii="宋体" w:hAnsi="宋体" w:eastAsia="宋体" w:cs="宋体"/>
          <w:color w:val="auto"/>
          <w:sz w:val="21"/>
          <w:szCs w:val="21"/>
          <w:highlight w:val="none"/>
        </w:rPr>
        <w:t>相关证明材料。</w:t>
      </w:r>
    </w:p>
    <w:p w14:paraId="42BAFD77">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11.</w:t>
      </w:r>
      <w:r>
        <w:rPr>
          <w:rFonts w:hint="eastAsia" w:ascii="宋体" w:hAnsi="宋体" w:eastAsia="宋体" w:cs="宋体"/>
          <w:color w:val="auto"/>
          <w:sz w:val="21"/>
          <w:szCs w:val="21"/>
          <w:highlight w:val="none"/>
          <w:lang w:val="en-US" w:eastAsia="zh-CN"/>
        </w:rPr>
        <w:t xml:space="preserve">3 </w:t>
      </w:r>
      <w:r>
        <w:rPr>
          <w:rFonts w:hint="eastAsia" w:ascii="宋体" w:hAnsi="宋体" w:eastAsia="宋体" w:cs="宋体"/>
          <w:color w:val="auto"/>
          <w:sz w:val="21"/>
          <w:szCs w:val="21"/>
          <w:highlight w:val="none"/>
        </w:rPr>
        <w:t>供应商应按竞争性磋商文件第六章“响应文件（格式）”编制响应文件。</w:t>
      </w:r>
    </w:p>
    <w:p w14:paraId="1B5DC5B3">
      <w:pPr>
        <w:pageBreakBefore w:val="0"/>
        <w:widowControl w:val="0"/>
        <w:kinsoku/>
        <w:wordWrap/>
        <w:overflowPunct/>
        <w:topLinePunct w:val="0"/>
        <w:bidi w:val="0"/>
        <w:snapToGrid/>
        <w:spacing w:line="380" w:lineRule="exact"/>
        <w:ind w:left="0" w:leftChars="0" w:firstLine="422" w:firstLineChars="200"/>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特别说明：</w:t>
      </w:r>
    </w:p>
    <w:p w14:paraId="5AFD46DB">
      <w:pPr>
        <w:pageBreakBefore w:val="0"/>
        <w:widowControl w:val="0"/>
        <w:kinsoku/>
        <w:wordWrap/>
        <w:overflowPunct/>
        <w:topLinePunct w:val="0"/>
        <w:bidi w:val="0"/>
        <w:snapToGrid/>
        <w:spacing w:line="380" w:lineRule="exact"/>
        <w:ind w:left="0" w:leftChars="0" w:firstLine="422" w:firstLineChars="200"/>
        <w:textAlignment w:val="auto"/>
        <w:rPr>
          <w:rFonts w:hint="eastAsia" w:ascii="宋体" w:hAnsi="宋体" w:eastAsia="宋体" w:cs="宋体"/>
          <w:b/>
          <w:color w:val="auto"/>
          <w:sz w:val="21"/>
          <w:szCs w:val="21"/>
          <w:highlight w:val="none"/>
        </w:rPr>
      </w:pPr>
      <w:r>
        <w:rPr>
          <w:rFonts w:hint="eastAsia" w:ascii="宋体" w:hAnsi="宋体" w:eastAsia="宋体" w:cs="宋体"/>
          <w:b/>
          <w:bCs/>
          <w:color w:val="auto"/>
          <w:sz w:val="21"/>
          <w:szCs w:val="21"/>
          <w:highlight w:val="none"/>
        </w:rPr>
        <w:t>（1）响</w:t>
      </w:r>
      <w:r>
        <w:rPr>
          <w:rFonts w:hint="eastAsia" w:ascii="宋体" w:hAnsi="宋体" w:eastAsia="宋体" w:cs="宋体"/>
          <w:b/>
          <w:color w:val="auto"/>
          <w:sz w:val="21"/>
          <w:szCs w:val="21"/>
          <w:highlight w:val="none"/>
        </w:rPr>
        <w:t>应文件（电子响应文件），其中电子响应文件中所须加盖公章部分均采用CA签章。若磋商文件中有专门标注的某关联点，并要求供应商在电子</w:t>
      </w:r>
      <w:r>
        <w:rPr>
          <w:rFonts w:hint="eastAsia" w:ascii="宋体" w:hAnsi="宋体" w:eastAsia="宋体" w:cs="宋体"/>
          <w:b/>
          <w:color w:val="auto"/>
          <w:sz w:val="21"/>
          <w:szCs w:val="21"/>
          <w:highlight w:val="none"/>
          <w:lang w:eastAsia="zh-CN"/>
        </w:rPr>
        <w:t>响应</w:t>
      </w:r>
      <w:r>
        <w:rPr>
          <w:rFonts w:hint="eastAsia" w:ascii="宋体" w:hAnsi="宋体" w:eastAsia="宋体" w:cs="宋体"/>
          <w:b/>
          <w:color w:val="auto"/>
          <w:sz w:val="21"/>
          <w:szCs w:val="21"/>
          <w:highlight w:val="none"/>
        </w:rPr>
        <w:t>系统中作出磋商响应的，如供应商未对关联点进行响应或者在响应文件</w:t>
      </w:r>
      <w:r>
        <w:rPr>
          <w:rFonts w:hint="eastAsia" w:ascii="宋体" w:hAnsi="宋体" w:cs="宋体"/>
          <w:b/>
          <w:color w:val="auto"/>
          <w:sz w:val="21"/>
          <w:szCs w:val="21"/>
          <w:highlight w:val="none"/>
          <w:lang w:eastAsia="zh-CN"/>
        </w:rPr>
        <w:t>其他</w:t>
      </w:r>
      <w:r>
        <w:rPr>
          <w:rFonts w:hint="eastAsia" w:ascii="宋体" w:hAnsi="宋体" w:eastAsia="宋体" w:cs="宋体"/>
          <w:b/>
          <w:color w:val="auto"/>
          <w:sz w:val="21"/>
          <w:szCs w:val="21"/>
          <w:highlight w:val="none"/>
        </w:rPr>
        <w:t>内容进行描述，造成电子评审不能查询的责任由供应商自行承担。</w:t>
      </w:r>
    </w:p>
    <w:p w14:paraId="3AC7EB43">
      <w:pPr>
        <w:pageBreakBefore w:val="0"/>
        <w:widowControl w:val="0"/>
        <w:numPr>
          <w:ilvl w:val="0"/>
          <w:numId w:val="0"/>
        </w:numPr>
        <w:kinsoku/>
        <w:wordWrap/>
        <w:overflowPunct/>
        <w:topLinePunct w:val="0"/>
        <w:bidi w:val="0"/>
        <w:snapToGrid/>
        <w:spacing w:line="380" w:lineRule="exact"/>
        <w:ind w:left="0" w:leftChars="0" w:firstLine="422" w:firstLineChars="200"/>
        <w:textAlignment w:val="auto"/>
        <w:rPr>
          <w:rFonts w:hint="eastAsia" w:ascii="宋体" w:hAnsi="宋体" w:eastAsia="宋体" w:cs="宋体"/>
          <w:b/>
          <w:color w:val="auto"/>
          <w:sz w:val="21"/>
          <w:szCs w:val="21"/>
          <w:highlight w:val="none"/>
        </w:rPr>
      </w:pPr>
      <w:r>
        <w:rPr>
          <w:rFonts w:hint="eastAsia" w:ascii="宋体" w:hAnsi="宋体" w:eastAsia="宋体" w:cs="宋体"/>
          <w:b/>
          <w:color w:val="auto"/>
          <w:kern w:val="2"/>
          <w:sz w:val="21"/>
          <w:szCs w:val="21"/>
          <w:highlight w:val="none"/>
          <w:lang w:val="en-US" w:eastAsia="zh-CN" w:bidi="ar-SA"/>
        </w:rPr>
        <w:t>（2）</w:t>
      </w:r>
      <w:r>
        <w:rPr>
          <w:rFonts w:hint="eastAsia" w:ascii="宋体" w:hAnsi="宋体" w:eastAsia="宋体" w:cs="宋体"/>
          <w:b/>
          <w:bCs/>
          <w:color w:val="auto"/>
          <w:sz w:val="21"/>
          <w:szCs w:val="21"/>
          <w:highlight w:val="none"/>
          <w:lang w:eastAsia="zh-CN"/>
        </w:rPr>
        <w:t>磋商文件</w:t>
      </w:r>
      <w:r>
        <w:rPr>
          <w:rFonts w:hint="eastAsia" w:ascii="宋体" w:hAnsi="宋体" w:eastAsia="宋体" w:cs="宋体"/>
          <w:b/>
          <w:bCs/>
          <w:color w:val="auto"/>
          <w:sz w:val="21"/>
          <w:szCs w:val="21"/>
          <w:highlight w:val="none"/>
        </w:rPr>
        <w:t>要求法定代表人（负责人）或委托代理人签字的部分必须签字然后扫描或者拍照做成 pdf 格式上传</w:t>
      </w:r>
      <w:r>
        <w:rPr>
          <w:rFonts w:hint="eastAsia" w:ascii="宋体" w:hAnsi="宋体" w:eastAsia="宋体" w:cs="宋体"/>
          <w:b/>
          <w:bCs/>
          <w:color w:val="auto"/>
          <w:sz w:val="21"/>
          <w:szCs w:val="21"/>
          <w:highlight w:val="none"/>
          <w:lang w:eastAsia="zh-CN"/>
        </w:rPr>
        <w:t>（或加盖个人</w:t>
      </w:r>
      <w:r>
        <w:rPr>
          <w:rFonts w:hint="eastAsia" w:ascii="宋体" w:hAnsi="宋体" w:eastAsia="宋体" w:cs="宋体"/>
          <w:b/>
          <w:bCs/>
          <w:color w:val="auto"/>
          <w:sz w:val="21"/>
          <w:szCs w:val="21"/>
          <w:highlight w:val="none"/>
          <w:lang w:val="en-US" w:eastAsia="zh-CN"/>
        </w:rPr>
        <w:t>CA签章</w:t>
      </w:r>
      <w:r>
        <w:rPr>
          <w:rFonts w:hint="eastAsia" w:ascii="宋体" w:hAnsi="宋体" w:eastAsia="宋体" w:cs="宋体"/>
          <w:b/>
          <w:bCs/>
          <w:color w:val="auto"/>
          <w:sz w:val="21"/>
          <w:szCs w:val="21"/>
          <w:highlight w:val="none"/>
          <w:lang w:eastAsia="zh-CN"/>
        </w:rPr>
        <w:t>）</w:t>
      </w:r>
      <w:r>
        <w:rPr>
          <w:rFonts w:hint="eastAsia" w:ascii="宋体" w:hAnsi="宋体" w:eastAsia="宋体" w:cs="宋体"/>
          <w:b/>
          <w:bCs/>
          <w:color w:val="auto"/>
          <w:sz w:val="21"/>
          <w:szCs w:val="21"/>
          <w:highlight w:val="none"/>
        </w:rPr>
        <w:t>，无签字的视为</w:t>
      </w:r>
      <w:r>
        <w:rPr>
          <w:rFonts w:hint="eastAsia" w:ascii="宋体" w:hAnsi="宋体" w:eastAsia="宋体" w:cs="宋体"/>
          <w:b/>
          <w:bCs/>
          <w:color w:val="auto"/>
          <w:sz w:val="21"/>
          <w:szCs w:val="21"/>
          <w:highlight w:val="none"/>
          <w:lang w:val="en-US" w:eastAsia="zh-CN"/>
        </w:rPr>
        <w:t>响应</w:t>
      </w:r>
      <w:r>
        <w:rPr>
          <w:rFonts w:hint="eastAsia" w:ascii="宋体" w:hAnsi="宋体" w:eastAsia="宋体" w:cs="宋体"/>
          <w:b/>
          <w:bCs/>
          <w:color w:val="auto"/>
          <w:sz w:val="21"/>
          <w:szCs w:val="21"/>
          <w:highlight w:val="none"/>
        </w:rPr>
        <w:t>无效。</w:t>
      </w:r>
    </w:p>
    <w:p w14:paraId="46B36EB5">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86" w:name="_Toc2180"/>
      <w:bookmarkStart w:id="87" w:name="_Toc13660"/>
      <w:r>
        <w:rPr>
          <w:rFonts w:hint="eastAsia" w:ascii="宋体" w:hAnsi="宋体" w:eastAsia="宋体" w:cs="宋体"/>
          <w:color w:val="auto"/>
          <w:sz w:val="21"/>
          <w:szCs w:val="21"/>
          <w:highlight w:val="none"/>
        </w:rPr>
        <w:t>12. 响应文件的语言及计量</w:t>
      </w:r>
      <w:bookmarkEnd w:id="86"/>
      <w:bookmarkEnd w:id="87"/>
    </w:p>
    <w:p w14:paraId="679006D3">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12.1 响应文件以及供应商与采购代理机构就有关磋商事宜的所有来往函电，均应以中文汉语书写。供应商提交的支持文件和印刷的文献可以使用别的语言，但其相应内容必须附有中文翻译文本，在解释响应文件时以中文翻译文本为主。</w:t>
      </w:r>
    </w:p>
    <w:p w14:paraId="4DC5271D">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12.2 磋商计量单位，磋商文件已有明确规定的，使用磋商文件规定的计量单位；磋商文件没有规定的，应采用中华人民共和国法定计量单位（货币单位：人民币元），否则视同未响应。</w:t>
      </w:r>
    </w:p>
    <w:p w14:paraId="1EBB3A5E">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88" w:name="_Toc10838"/>
      <w:bookmarkStart w:id="89" w:name="_Toc3058"/>
      <w:r>
        <w:rPr>
          <w:rFonts w:hint="eastAsia" w:ascii="宋体" w:hAnsi="宋体" w:eastAsia="宋体" w:cs="宋体"/>
          <w:color w:val="auto"/>
          <w:sz w:val="21"/>
          <w:szCs w:val="21"/>
          <w:highlight w:val="none"/>
        </w:rPr>
        <w:t>13. 磋商报价及采购预算金额</w:t>
      </w:r>
      <w:bookmarkEnd w:id="88"/>
      <w:bookmarkEnd w:id="89"/>
    </w:p>
    <w:p w14:paraId="2C84D7EC">
      <w:pPr>
        <w:keepNext w:val="0"/>
        <w:keepLines w:val="0"/>
        <w:pageBreakBefore w:val="0"/>
        <w:widowControl w:val="0"/>
        <w:kinsoku/>
        <w:wordWrap/>
        <w:overflowPunct/>
        <w:topLinePunct w:val="0"/>
        <w:autoSpaceDE/>
        <w:autoSpaceDN/>
        <w:bidi w:val="0"/>
        <w:adjustRightInd/>
        <w:snapToGrid/>
        <w:spacing w:line="380" w:lineRule="exact"/>
        <w:ind w:left="0" w:leftChars="0" w:right="0" w:firstLine="420" w:firstLineChars="200"/>
        <w:textAlignment w:val="auto"/>
        <w:rPr>
          <w:rFonts w:hint="eastAsia" w:ascii="宋体" w:hAnsi="宋体" w:eastAsia="宋体" w:cs="宋体"/>
          <w:bCs/>
          <w:color w:val="auto"/>
          <w:sz w:val="21"/>
          <w:szCs w:val="21"/>
          <w:highlight w:val="none"/>
          <w:lang w:eastAsia="zh-CN"/>
        </w:rPr>
      </w:pPr>
      <w:r>
        <w:rPr>
          <w:rFonts w:hint="eastAsia" w:ascii="宋体" w:hAnsi="宋体" w:eastAsia="宋体" w:cs="宋体"/>
          <w:bCs/>
          <w:color w:val="auto"/>
          <w:sz w:val="21"/>
          <w:szCs w:val="21"/>
          <w:highlight w:val="none"/>
          <w:lang w:eastAsia="zh-CN"/>
        </w:rPr>
        <w:t>13.1磋商总报价应按采购文件中相关附表格式填写。</w:t>
      </w:r>
    </w:p>
    <w:p w14:paraId="39A428A8">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13.2供应商应在规定时间内在广西政府采购云平台系统上提交最后报价，超出评委设定的最后报价时限或其最后报价超出招标控制价导致已通过评审的响应文件无效的，按供应商在提交响应文件截止时间后撤回响应文件处理。</w:t>
      </w:r>
    </w:p>
    <w:p w14:paraId="59005505">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13.3供应商应按第六章“响应文件（格式）”的要求在响应函中进行报价并填写工程量清单相应表格。</w:t>
      </w:r>
    </w:p>
    <w:p w14:paraId="6F528CC2">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13.4供应商按照采购人提供的工程量清单填写本合同各工程子目的单价、合价和总额价。磋商小组将按照下述规定对磋商报价进行算术性错误修正及其他错误修正。</w:t>
      </w:r>
    </w:p>
    <w:p w14:paraId="752B7656">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13.4.1磋商报价有算术错误的，磋商小组按以下原则对磋商报价进行修正，修正的价格经供应商书面确认后具有约束力。供应商不接受修正价格的，磋商小组应否决其投标。</w:t>
      </w:r>
    </w:p>
    <w:p w14:paraId="08F301D7">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（1）响应文件中的大写金额与小写金额不一致的，以大写金额为准；</w:t>
      </w:r>
    </w:p>
    <w:p w14:paraId="2E5B9B3C">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（2）总价金额与依据单价计算出的结果不一致的，以单价金额为准修正总价，但单价金额小数点有明显错误的除外；</w:t>
      </w:r>
    </w:p>
    <w:p w14:paraId="4A05FCEE">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（3）当单价与数量相乘不等于合价时，以单价计算为准，如果单价有明显的小数点位置差错，应以标出的合价为准，同时对单价予以修正；</w:t>
      </w:r>
    </w:p>
    <w:p w14:paraId="29099833">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（4）当各子目的合价累计不等于总价时，应以各子目合价累计数为准，修正总价。</w:t>
      </w:r>
    </w:p>
    <w:p w14:paraId="51B03F22">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13.4.2工程量清单中的磋商报价有其他错误的，磋商小组按以下原则对磋商报价进行修正，修正的价格经供应商书面确认后具有约束力。供应商不接受修正价格的，磋商小组应否决其投标。</w:t>
      </w:r>
    </w:p>
    <w:p w14:paraId="40502FC2">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在采购人给定的工程量清单中漏报了某个工程子目的单价、合价或总额价，或所报单价、合价或总额价减少了报价范围，则漏报的工程子目单价、合价和总额价或单价、合价和总额价中减少的报价内容视为已含入其他工程子目的单价、合价和总额价之中。</w:t>
      </w:r>
    </w:p>
    <w:p w14:paraId="3CC09AAA">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在采购人给定的工程量清单中多报了某个工程子目的单价、合价或总额价，或所报单价、合价或总额价增加了报价范围，则从磋商报价中扣除多报的工程子目报价或工程子目报价中增加了报价范围的部分报价。</w:t>
      </w:r>
    </w:p>
    <w:p w14:paraId="6150AC61">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（3）当单价与数量的乘积与合价（金额）虽然一致，但供应商修改了该子目的工程数量，则其合价按采购人给定的工程数量乘以供应商所报单价予以修正。</w:t>
      </w:r>
    </w:p>
    <w:p w14:paraId="68AC59E2">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13.4.3修正后的最终磋商报价若超过招标控制价，磋商小组应否决其投标。</w:t>
      </w:r>
    </w:p>
    <w:p w14:paraId="375CC06F">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13.5供应商应充分了解本项目的总体情况以及影响磋商报价的其他要素。</w:t>
      </w:r>
    </w:p>
    <w:p w14:paraId="0E69AB05">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13.6供应商在投标截止时间前修改响应函中的磋商报价，应同时修改响应文件“已标价工程量清单”中的相应报价。</w:t>
      </w:r>
    </w:p>
    <w:p w14:paraId="0B800B1C">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13.7供应商如果发现工程量清单中的数量与图纸中数量不一致时，应立即通知采购人核查，除非采购人予以更正，否则，应以工程量清单中列出的数量为准。</w:t>
      </w:r>
    </w:p>
    <w:p w14:paraId="036009B8">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bCs/>
          <w:color w:val="auto"/>
          <w:sz w:val="21"/>
          <w:szCs w:val="21"/>
          <w:highlight w:val="none"/>
        </w:rPr>
      </w:pPr>
      <w:r>
        <w:rPr>
          <w:rFonts w:hint="eastAsia" w:ascii="宋体" w:hAnsi="宋体" w:eastAsia="宋体" w:cs="宋体"/>
          <w:color w:val="auto"/>
          <w:sz w:val="21"/>
          <w:szCs w:val="21"/>
          <w:highlight w:val="none"/>
        </w:rPr>
        <w:t>13.8在合同实施期间，供应商填写的单价、合价和总额价是否由于物价波动进行价格调整按照合同条款的规定处理。</w:t>
      </w:r>
    </w:p>
    <w:p w14:paraId="3C2B0B8F">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90" w:name="_Toc30554"/>
      <w:bookmarkStart w:id="91" w:name="_Toc26881"/>
      <w:r>
        <w:rPr>
          <w:rFonts w:hint="eastAsia" w:ascii="宋体" w:hAnsi="宋体" w:eastAsia="宋体" w:cs="宋体"/>
          <w:color w:val="auto"/>
          <w:sz w:val="21"/>
          <w:szCs w:val="21"/>
          <w:highlight w:val="none"/>
        </w:rPr>
        <w:t>14. 响应文件有效期</w:t>
      </w:r>
      <w:bookmarkEnd w:id="90"/>
      <w:bookmarkEnd w:id="91"/>
    </w:p>
    <w:p w14:paraId="1DE0E0C3">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14.1 响应文件有效期：响应文件递交截止时间之日起90天，有效期不足的响应文件将被拒绝。</w:t>
      </w:r>
    </w:p>
    <w:p w14:paraId="3C6A54BF">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14.2 出现特殊情况下，需要延长响应文件有效期的，采购代理机构</w:t>
      </w:r>
      <w:r>
        <w:rPr>
          <w:rFonts w:hint="eastAsia" w:ascii="宋体" w:hAnsi="宋体" w:eastAsia="宋体" w:cs="宋体"/>
          <w:color w:val="auto"/>
          <w:sz w:val="21"/>
          <w:szCs w:val="21"/>
          <w:highlight w:val="none"/>
          <w:lang w:eastAsia="zh-CN"/>
        </w:rPr>
        <w:t>书面</w:t>
      </w:r>
      <w:r>
        <w:rPr>
          <w:rFonts w:hint="eastAsia" w:ascii="宋体" w:hAnsi="宋体" w:eastAsia="宋体" w:cs="宋体"/>
          <w:color w:val="auto"/>
          <w:sz w:val="21"/>
          <w:szCs w:val="21"/>
          <w:highlight w:val="none"/>
        </w:rPr>
        <w:t>通知供应商延长响应文件有效期。供应商同意延长的，但不能修改响应文件。供应商拒绝延长的，其响应文件无效。</w:t>
      </w:r>
    </w:p>
    <w:p w14:paraId="4487D719">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92" w:name="_Toc20698"/>
      <w:bookmarkStart w:id="93" w:name="_Toc22602"/>
      <w:r>
        <w:rPr>
          <w:rFonts w:hint="eastAsia" w:ascii="宋体" w:hAnsi="宋体" w:eastAsia="宋体" w:cs="宋体"/>
          <w:color w:val="auto"/>
          <w:sz w:val="21"/>
          <w:szCs w:val="21"/>
          <w:highlight w:val="none"/>
        </w:rPr>
        <w:t xml:space="preserve">15. </w:t>
      </w:r>
      <w:r>
        <w:rPr>
          <w:rFonts w:hint="eastAsia" w:ascii="宋体" w:hAnsi="宋体" w:cs="宋体"/>
          <w:color w:val="auto"/>
          <w:sz w:val="21"/>
          <w:szCs w:val="21"/>
          <w:highlight w:val="none"/>
          <w:lang w:eastAsia="zh-CN"/>
        </w:rPr>
        <w:t>磋商</w:t>
      </w:r>
      <w:r>
        <w:rPr>
          <w:rFonts w:hint="eastAsia" w:ascii="宋体" w:hAnsi="宋体" w:eastAsia="宋体" w:cs="宋体"/>
          <w:color w:val="auto"/>
          <w:sz w:val="21"/>
          <w:szCs w:val="21"/>
          <w:highlight w:val="none"/>
        </w:rPr>
        <w:t>保证金</w:t>
      </w:r>
      <w:bookmarkEnd w:id="92"/>
      <w:bookmarkEnd w:id="93"/>
    </w:p>
    <w:p w14:paraId="19728312">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b/>
          <w:bCs/>
          <w:color w:val="auto"/>
          <w:sz w:val="21"/>
          <w:szCs w:val="21"/>
          <w:highlight w:val="none"/>
        </w:rPr>
      </w:pPr>
      <w:r>
        <w:rPr>
          <w:rFonts w:hint="eastAsia" w:ascii="宋体" w:hAnsi="宋体" w:eastAsia="宋体" w:cs="宋体"/>
          <w:color w:val="auto"/>
          <w:sz w:val="21"/>
          <w:szCs w:val="21"/>
          <w:highlight w:val="none"/>
        </w:rPr>
        <w:t>本项目无需缴纳磋商保证金。</w:t>
      </w:r>
    </w:p>
    <w:p w14:paraId="56C7E4D0">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lang w:eastAsia="zh-CN"/>
        </w:rPr>
      </w:pPr>
      <w:bookmarkStart w:id="94" w:name="_Toc387"/>
      <w:bookmarkStart w:id="95" w:name="_Toc30118"/>
      <w:r>
        <w:rPr>
          <w:rFonts w:hint="eastAsia" w:ascii="宋体" w:hAnsi="宋体" w:eastAsia="宋体" w:cs="宋体"/>
          <w:color w:val="auto"/>
          <w:sz w:val="21"/>
          <w:szCs w:val="21"/>
          <w:highlight w:val="none"/>
        </w:rPr>
        <w:t>16. 响应文件的</w:t>
      </w:r>
      <w:bookmarkEnd w:id="94"/>
      <w:r>
        <w:rPr>
          <w:rFonts w:hint="eastAsia" w:ascii="宋体" w:hAnsi="宋体" w:eastAsia="宋体" w:cs="宋体"/>
          <w:color w:val="auto"/>
          <w:sz w:val="21"/>
          <w:szCs w:val="21"/>
          <w:highlight w:val="none"/>
          <w:lang w:eastAsia="zh-CN"/>
        </w:rPr>
        <w:t>制作</w:t>
      </w:r>
      <w:bookmarkEnd w:id="95"/>
    </w:p>
    <w:p w14:paraId="367D0818">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16.1电子响应文件中须加盖供应商公章部分均采用 CA 签章，并根据“政府采购项目电子交易管理操作指南-供应商”及本磋商文件规定的格式和顺序编制电子响应文件并进行关联定位，以便磋商小组在评审时，点击评分项可直接定位到该评分项内容。如对磋商文件的某项要求，供应商的电子响应文件未能关联定位提供相应的内容与其对应，则磋商小组在评审时如做出对供应商不利的评审由供应商自行承担。电子响应文件如内容不完整、编排混乱导致响应文件被误读、漏读，或者在按采购文件规定的部位查找不到相关内容的，由供应商自行承担。</w:t>
      </w:r>
    </w:p>
    <w:p w14:paraId="14CF4AD8">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16.2供应商法定代表人（负责人）或授权委托人持有广西政府采购云平台个人CA签章的，应在响应文件中涉及到签字的位置使用个人CA签章，没有办理广西政府采购云平台个人CA签章的可在响应文件中涉及到签字的位置手写签字后扫描或者拍照做成 PDF 的格式上传即可。</w:t>
      </w:r>
    </w:p>
    <w:p w14:paraId="0CE9E35A">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16.3响应文件不得涂改，若有修改错漏处，须法定代表人（负责人）或授权委托人签字（或个人CA签章）。响应文件因字迹潦草或表达不清所引起的后果由供应商负责。</w:t>
      </w:r>
    </w:p>
    <w:p w14:paraId="344BF836">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xml:space="preserve">16.4磋商前准备 </w:t>
      </w:r>
    </w:p>
    <w:p w14:paraId="40E5F0FB">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xml:space="preserve">16.4.1本项目实行在线磋商，采用电子响应文件。若供应商参与磋商，自行承担磋商一切费用。 </w:t>
      </w:r>
    </w:p>
    <w:p w14:paraId="18D14D25">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16.4.2各供应商在截标前应确保成为广西政府采购云平台正式注册入库供应商，并完成CA数字证书申领。如因未注册入库、未办理CA数字证书等原因造成无法磋商或磋商失败等后果由供应商自行承担。</w:t>
      </w:r>
    </w:p>
    <w:p w14:paraId="44FE35BE">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16.4.3供应商将广西政府采购云平台电子交易客户端下载、安装完成后，可通过账号密码或CA登录客户端进行响应文件制作。客户端请至网站下载专区查看，如有问题可拨打广西政府采购云平台客户服务热线 95763 进行咨询。</w:t>
      </w:r>
    </w:p>
    <w:p w14:paraId="497BA7D2">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96" w:name="_Toc9738"/>
      <w:r>
        <w:rPr>
          <w:rFonts w:hint="eastAsia" w:ascii="宋体" w:hAnsi="宋体" w:eastAsia="宋体" w:cs="宋体"/>
          <w:color w:val="auto"/>
          <w:sz w:val="21"/>
          <w:szCs w:val="21"/>
          <w:highlight w:val="none"/>
        </w:rPr>
        <w:t>17. 响应文件的修改和撤回</w:t>
      </w:r>
      <w:bookmarkEnd w:id="96"/>
    </w:p>
    <w:p w14:paraId="4AD881D8">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 xml:space="preserve">17.1 </w:t>
      </w:r>
      <w:r>
        <w:rPr>
          <w:rFonts w:hint="eastAsia" w:ascii="宋体" w:hAnsi="宋体" w:eastAsia="宋体" w:cs="宋体"/>
          <w:color w:val="auto"/>
          <w:sz w:val="21"/>
          <w:szCs w:val="21"/>
          <w:highlight w:val="none"/>
          <w:lang w:eastAsia="zh-CN"/>
        </w:rPr>
        <w:t>响应文件递交截止时间前可以撤回电子响应文件。补充或者修改电子响应文件的，应当先行撤回原文件，补充、修改后重新传输递交，响应文件递交截止时间前未完成传输的，视为撤回响应文件。</w:t>
      </w:r>
    </w:p>
    <w:p w14:paraId="2758CDC8">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17.2 在响应文件递交截止时间后的响应文件有效期内，供应商不得撤回其响应文件。</w:t>
      </w:r>
    </w:p>
    <w:p w14:paraId="6E369F8E">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lang w:eastAsia="zh-CN"/>
        </w:rPr>
      </w:pPr>
      <w:bookmarkStart w:id="97" w:name="_Toc30156"/>
      <w:bookmarkStart w:id="98" w:name="_Toc24690"/>
      <w:r>
        <w:rPr>
          <w:rFonts w:hint="eastAsia" w:ascii="宋体" w:hAnsi="宋体" w:eastAsia="宋体" w:cs="宋体"/>
          <w:color w:val="auto"/>
          <w:sz w:val="21"/>
          <w:szCs w:val="21"/>
          <w:highlight w:val="none"/>
        </w:rPr>
        <w:t>18. 响应文件的递交</w:t>
      </w:r>
      <w:r>
        <w:rPr>
          <w:rFonts w:hint="eastAsia" w:ascii="宋体" w:hAnsi="宋体" w:eastAsia="宋体" w:cs="宋体"/>
          <w:color w:val="auto"/>
          <w:sz w:val="21"/>
          <w:szCs w:val="21"/>
          <w:highlight w:val="none"/>
          <w:lang w:eastAsia="zh-CN"/>
        </w:rPr>
        <w:t>和解密</w:t>
      </w:r>
      <w:bookmarkEnd w:id="97"/>
      <w:bookmarkEnd w:id="98"/>
    </w:p>
    <w:p w14:paraId="18E8045D">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18.1响应文件递交截止时间</w:t>
      </w:r>
      <w:r>
        <w:rPr>
          <w:rFonts w:hint="eastAsia" w:ascii="宋体" w:hAnsi="宋体" w:eastAsia="宋体" w:cs="宋体"/>
          <w:color w:val="auto"/>
          <w:sz w:val="21"/>
          <w:szCs w:val="21"/>
          <w:highlight w:val="none"/>
          <w:lang w:eastAsia="zh-CN"/>
        </w:rPr>
        <w:t>：于</w:t>
      </w:r>
      <w:r>
        <w:rPr>
          <w:rFonts w:hint="eastAsia" w:ascii="宋体" w:hAnsi="宋体" w:eastAsia="宋体" w:cs="宋体"/>
          <w:color w:val="auto"/>
          <w:sz w:val="21"/>
          <w:szCs w:val="21"/>
          <w:highlight w:val="none"/>
          <w:u w:val="single"/>
          <w:lang w:eastAsia="zh-CN"/>
        </w:rPr>
        <w:t>20</w:t>
      </w:r>
      <w:r>
        <w:rPr>
          <w:rFonts w:hint="eastAsia" w:ascii="宋体" w:hAnsi="宋体" w:eastAsia="宋体" w:cs="宋体"/>
          <w:color w:val="auto"/>
          <w:sz w:val="21"/>
          <w:szCs w:val="21"/>
          <w:highlight w:val="none"/>
          <w:u w:val="single"/>
          <w:lang w:val="en-US" w:eastAsia="zh-CN"/>
        </w:rPr>
        <w:t>24</w:t>
      </w:r>
      <w:r>
        <w:rPr>
          <w:rFonts w:hint="eastAsia" w:ascii="宋体" w:hAnsi="宋体" w:eastAsia="宋体" w:cs="宋体"/>
          <w:color w:val="auto"/>
          <w:sz w:val="21"/>
          <w:szCs w:val="21"/>
          <w:highlight w:val="none"/>
          <w:u w:val="single"/>
          <w:lang w:eastAsia="zh-CN"/>
        </w:rPr>
        <w:t>年</w:t>
      </w:r>
      <w:r>
        <w:rPr>
          <w:rFonts w:hint="eastAsia" w:ascii="宋体" w:hAnsi="宋体" w:cs="宋体"/>
          <w:color w:val="auto"/>
          <w:sz w:val="21"/>
          <w:szCs w:val="21"/>
          <w:highlight w:val="none"/>
          <w:u w:val="single"/>
          <w:lang w:val="en-US" w:eastAsia="zh-CN"/>
        </w:rPr>
        <w:t>11</w:t>
      </w:r>
      <w:r>
        <w:rPr>
          <w:rFonts w:hint="eastAsia" w:ascii="宋体" w:hAnsi="宋体" w:eastAsia="宋体" w:cs="宋体"/>
          <w:color w:val="auto"/>
          <w:sz w:val="21"/>
          <w:szCs w:val="21"/>
          <w:highlight w:val="none"/>
          <w:u w:val="single"/>
          <w:lang w:eastAsia="zh-CN"/>
        </w:rPr>
        <w:t>月</w:t>
      </w:r>
      <w:r>
        <w:rPr>
          <w:rFonts w:hint="eastAsia" w:ascii="宋体" w:hAnsi="宋体" w:cs="宋体"/>
          <w:color w:val="auto"/>
          <w:sz w:val="21"/>
          <w:szCs w:val="21"/>
          <w:highlight w:val="none"/>
          <w:u w:val="single"/>
          <w:lang w:val="en-US" w:eastAsia="zh-CN"/>
        </w:rPr>
        <w:t>4</w:t>
      </w:r>
      <w:r>
        <w:rPr>
          <w:rFonts w:hint="eastAsia" w:ascii="宋体" w:hAnsi="宋体" w:eastAsia="宋体" w:cs="宋体"/>
          <w:color w:val="auto"/>
          <w:sz w:val="21"/>
          <w:szCs w:val="21"/>
          <w:highlight w:val="none"/>
          <w:u w:val="single"/>
          <w:lang w:eastAsia="zh-CN"/>
        </w:rPr>
        <w:t>日</w:t>
      </w:r>
      <w:r>
        <w:rPr>
          <w:rFonts w:hint="eastAsia" w:ascii="宋体" w:hAnsi="宋体" w:cs="宋体"/>
          <w:color w:val="auto"/>
          <w:sz w:val="21"/>
          <w:szCs w:val="21"/>
          <w:highlight w:val="none"/>
          <w:u w:val="single"/>
          <w:lang w:val="en-US" w:eastAsia="zh-CN"/>
        </w:rPr>
        <w:t>9</w:t>
      </w:r>
      <w:r>
        <w:rPr>
          <w:rFonts w:hint="eastAsia" w:ascii="宋体" w:hAnsi="宋体" w:eastAsia="宋体" w:cs="宋体"/>
          <w:color w:val="auto"/>
          <w:sz w:val="21"/>
          <w:szCs w:val="21"/>
          <w:highlight w:val="none"/>
          <w:u w:val="single"/>
          <w:lang w:val="en-US" w:eastAsia="zh-CN"/>
        </w:rPr>
        <w:t>时30分</w:t>
      </w:r>
      <w:r>
        <w:rPr>
          <w:rFonts w:hint="eastAsia" w:ascii="宋体" w:hAnsi="宋体" w:eastAsia="宋体" w:cs="宋体"/>
          <w:color w:val="auto"/>
          <w:sz w:val="21"/>
          <w:szCs w:val="21"/>
          <w:highlight w:val="none"/>
          <w:u w:val="none"/>
          <w:lang w:val="en-US" w:eastAsia="zh-CN"/>
        </w:rPr>
        <w:t>之前将电子响应文件上传到广西政府采购云平台。</w:t>
      </w:r>
      <w:r>
        <w:rPr>
          <w:rFonts w:hint="eastAsia" w:ascii="宋体" w:hAnsi="宋体"/>
          <w:color w:val="auto"/>
          <w:szCs w:val="21"/>
          <w:highlight w:val="none"/>
        </w:rPr>
        <w:t>电子响应文件</w:t>
      </w:r>
      <w:r>
        <w:rPr>
          <w:rFonts w:hint="eastAsia" w:ascii="宋体" w:hAnsi="宋体" w:eastAsia="宋体" w:cs="宋体"/>
          <w:color w:val="auto"/>
          <w:sz w:val="21"/>
          <w:szCs w:val="21"/>
          <w:highlight w:val="none"/>
          <w:u w:val="none"/>
          <w:lang w:val="en-US" w:eastAsia="zh-CN"/>
        </w:rPr>
        <w:t>应按照本项目磋商文件和广西政府采购云平台的要求编制、加密传输响应文件。供应商在使用系统进行响应的过程中遇到涉及平台使用的任何问题，可致电广西政府采购云平台技术支持热线咨询，联系方式：95763</w:t>
      </w:r>
      <w:r>
        <w:rPr>
          <w:rFonts w:hint="eastAsia" w:ascii="宋体" w:hAnsi="宋体" w:eastAsia="宋体" w:cs="宋体"/>
          <w:color w:val="auto"/>
          <w:sz w:val="21"/>
          <w:szCs w:val="21"/>
          <w:highlight w:val="none"/>
        </w:rPr>
        <w:t>。</w:t>
      </w:r>
    </w:p>
    <w:p w14:paraId="69AB39DB">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18.2响应文件解密时间：截标时</w:t>
      </w:r>
      <w:r>
        <w:rPr>
          <w:rFonts w:hint="eastAsia" w:ascii="宋体" w:hAnsi="宋体" w:eastAsia="宋体" w:cs="宋体"/>
          <w:color w:val="auto"/>
          <w:sz w:val="21"/>
          <w:szCs w:val="21"/>
          <w:highlight w:val="none"/>
          <w:u w:val="none"/>
        </w:rPr>
        <w:t>间后30分钟内供应商可以登录广西政府采购云平台，用“项目采购-开标评标”功能进行解密磋商文件。若供应商在规定时间内无法解密或解密失败，</w:t>
      </w:r>
      <w:r>
        <w:rPr>
          <w:rFonts w:ascii="宋体" w:hAnsi="宋体"/>
          <w:color w:val="auto"/>
          <w:szCs w:val="21"/>
          <w:highlight w:val="none"/>
        </w:rPr>
        <w:t>可向</w:t>
      </w:r>
      <w:r>
        <w:rPr>
          <w:rFonts w:hint="eastAsia" w:ascii="宋体" w:hAnsi="宋体"/>
          <w:color w:val="auto"/>
          <w:szCs w:val="21"/>
          <w:highlight w:val="none"/>
        </w:rPr>
        <w:t>采购</w:t>
      </w:r>
      <w:r>
        <w:rPr>
          <w:rFonts w:ascii="宋体" w:hAnsi="宋体"/>
          <w:color w:val="auto"/>
          <w:szCs w:val="21"/>
          <w:highlight w:val="none"/>
        </w:rPr>
        <w:t>代理机构提供电子备份响应文件</w:t>
      </w:r>
      <w:r>
        <w:rPr>
          <w:rFonts w:hint="eastAsia" w:ascii="宋体" w:hAnsi="宋体" w:eastAsia="宋体" w:cs="宋体"/>
          <w:b/>
          <w:bCs/>
          <w:color w:val="auto"/>
          <w:sz w:val="21"/>
          <w:szCs w:val="21"/>
          <w:highlight w:val="none"/>
          <w:u w:val="none"/>
        </w:rPr>
        <w:t>【在接到无法解密或解密失败的通知后，供应商可根据自身实际情况按通知时要求的时间到桂林市公共资源交易中心</w:t>
      </w:r>
      <w:r>
        <w:rPr>
          <w:rFonts w:hint="eastAsia" w:ascii="宋体" w:hAnsi="宋体" w:cs="宋体"/>
          <w:b/>
          <w:bCs/>
          <w:color w:val="auto"/>
          <w:sz w:val="21"/>
          <w:szCs w:val="21"/>
          <w:highlight w:val="none"/>
          <w:u w:val="single"/>
          <w:lang w:val="en-US" w:eastAsia="zh-CN"/>
        </w:rPr>
        <w:t xml:space="preserve"> </w:t>
      </w:r>
      <w:r>
        <w:rPr>
          <w:rFonts w:hint="eastAsia" w:ascii="宋体" w:hAnsi="宋体" w:eastAsia="宋体" w:cs="宋体"/>
          <w:b/>
          <w:bCs/>
          <w:color w:val="auto"/>
          <w:sz w:val="21"/>
          <w:szCs w:val="21"/>
          <w:highlight w:val="none"/>
          <w:u w:val="single"/>
        </w:rPr>
        <w:t>9</w:t>
      </w:r>
      <w:r>
        <w:rPr>
          <w:rFonts w:hint="eastAsia" w:ascii="宋体" w:hAnsi="宋体" w:cs="宋体"/>
          <w:b/>
          <w:bCs/>
          <w:color w:val="auto"/>
          <w:sz w:val="21"/>
          <w:szCs w:val="21"/>
          <w:highlight w:val="none"/>
          <w:u w:val="single"/>
          <w:lang w:val="en-US" w:eastAsia="zh-CN"/>
        </w:rPr>
        <w:t xml:space="preserve"> </w:t>
      </w:r>
      <w:r>
        <w:rPr>
          <w:rFonts w:hint="eastAsia" w:ascii="宋体" w:hAnsi="宋体" w:eastAsia="宋体" w:cs="宋体"/>
          <w:b/>
          <w:bCs/>
          <w:color w:val="auto"/>
          <w:sz w:val="21"/>
          <w:szCs w:val="21"/>
          <w:highlight w:val="none"/>
          <w:u w:val="none"/>
        </w:rPr>
        <w:t>号政采开标仓现场提交或以电子邮件的形式（以通知时所告知的电子邮箱地址为准）提交电子备份响应文件】</w:t>
      </w:r>
      <w:r>
        <w:rPr>
          <w:rFonts w:hint="eastAsia" w:ascii="宋体" w:hAnsi="宋体" w:eastAsia="宋体" w:cs="宋体"/>
          <w:color w:val="auto"/>
          <w:sz w:val="21"/>
          <w:szCs w:val="21"/>
          <w:highlight w:val="none"/>
          <w:u w:val="none"/>
        </w:rPr>
        <w:t>，若供应商在规定时间内无法解密或解密失败且未提供电子备份响应文件的(包含提供的电子备份文件无效或无法解密的情况)，视为响应文件撤回</w:t>
      </w:r>
      <w:r>
        <w:rPr>
          <w:rFonts w:hint="eastAsia" w:ascii="宋体" w:hAnsi="宋体" w:eastAsia="宋体" w:cs="宋体"/>
          <w:color w:val="auto"/>
          <w:sz w:val="21"/>
          <w:szCs w:val="21"/>
          <w:highlight w:val="none"/>
        </w:rPr>
        <w:t>。</w:t>
      </w:r>
    </w:p>
    <w:p w14:paraId="5D932204">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18.3 除竞争性磋商文件另有规定外，供应商所递交的响应文件不予退还。</w:t>
      </w:r>
    </w:p>
    <w:p w14:paraId="5193F33D">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 xml:space="preserve">18.4 </w:t>
      </w:r>
      <w:r>
        <w:rPr>
          <w:rFonts w:hint="eastAsia" w:ascii="宋体" w:hAnsi="宋体" w:eastAsia="宋体" w:cs="宋体"/>
          <w:color w:val="auto"/>
          <w:sz w:val="21"/>
          <w:szCs w:val="21"/>
          <w:highlight w:val="none"/>
        </w:rPr>
        <w:t>电子响应文件的相关说明</w:t>
      </w:r>
    </w:p>
    <w:p w14:paraId="686EEB8F">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（1）供应商进行电子</w:t>
      </w:r>
      <w:r>
        <w:rPr>
          <w:rFonts w:hint="eastAsia" w:ascii="宋体" w:hAnsi="宋体" w:eastAsia="宋体" w:cs="宋体"/>
          <w:color w:val="auto"/>
          <w:sz w:val="21"/>
          <w:szCs w:val="21"/>
          <w:highlight w:val="none"/>
          <w:lang w:eastAsia="zh-CN"/>
        </w:rPr>
        <w:t>响应</w:t>
      </w:r>
      <w:r>
        <w:rPr>
          <w:rFonts w:hint="eastAsia" w:ascii="宋体" w:hAnsi="宋体" w:eastAsia="宋体" w:cs="宋体"/>
          <w:color w:val="auto"/>
          <w:sz w:val="21"/>
          <w:szCs w:val="21"/>
          <w:highlight w:val="none"/>
        </w:rPr>
        <w:t>应安装客户端软件，并按照采购文件和电子交易平台的要求编制并加密响应文件。供应商未按规定加密的响应文件，电子交易平台将拒收。供应商应当在</w:t>
      </w:r>
      <w:r>
        <w:rPr>
          <w:rFonts w:hint="eastAsia" w:ascii="宋体" w:hAnsi="宋体" w:eastAsia="宋体" w:cs="宋体"/>
          <w:color w:val="auto"/>
          <w:sz w:val="21"/>
          <w:szCs w:val="21"/>
          <w:highlight w:val="none"/>
          <w:lang w:eastAsia="zh-CN"/>
        </w:rPr>
        <w:t>磋商</w:t>
      </w:r>
      <w:r>
        <w:rPr>
          <w:rFonts w:hint="eastAsia" w:ascii="宋体" w:hAnsi="宋体" w:eastAsia="宋体" w:cs="宋体"/>
          <w:color w:val="auto"/>
          <w:sz w:val="21"/>
          <w:szCs w:val="21"/>
          <w:highlight w:val="none"/>
        </w:rPr>
        <w:t>截止时间前完成响应文件的传输递交，并可以补充、修改或者撤回响应文件。补充或者修改响应文件的，应当先行撤回原文件，补充、修改后重新传输递交。</w:t>
      </w:r>
      <w:r>
        <w:rPr>
          <w:rFonts w:hint="eastAsia" w:ascii="宋体" w:hAnsi="宋体" w:eastAsia="宋体" w:cs="宋体"/>
          <w:color w:val="auto"/>
          <w:sz w:val="21"/>
          <w:szCs w:val="21"/>
          <w:highlight w:val="none"/>
          <w:lang w:eastAsia="zh-CN"/>
        </w:rPr>
        <w:t>磋商</w:t>
      </w:r>
      <w:r>
        <w:rPr>
          <w:rFonts w:hint="eastAsia" w:ascii="宋体" w:hAnsi="宋体" w:eastAsia="宋体" w:cs="宋体"/>
          <w:color w:val="auto"/>
          <w:sz w:val="21"/>
          <w:szCs w:val="21"/>
          <w:highlight w:val="none"/>
        </w:rPr>
        <w:t>截止时间前未完成传输的，视为撤回响应文件。</w:t>
      </w:r>
      <w:r>
        <w:rPr>
          <w:rFonts w:hint="eastAsia" w:ascii="宋体" w:hAnsi="宋体" w:eastAsia="宋体" w:cs="宋体"/>
          <w:color w:val="auto"/>
          <w:sz w:val="21"/>
          <w:szCs w:val="21"/>
          <w:highlight w:val="none"/>
          <w:lang w:eastAsia="zh-CN"/>
        </w:rPr>
        <w:t>磋商</w:t>
      </w:r>
      <w:r>
        <w:rPr>
          <w:rFonts w:hint="eastAsia" w:ascii="宋体" w:hAnsi="宋体" w:eastAsia="宋体" w:cs="宋体"/>
          <w:color w:val="auto"/>
          <w:sz w:val="21"/>
          <w:szCs w:val="21"/>
          <w:highlight w:val="none"/>
        </w:rPr>
        <w:t xml:space="preserve">截止时间后递交的响应文件，电子交易平台将拒收。 </w:t>
      </w:r>
    </w:p>
    <w:p w14:paraId="17AC8510">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（2）如有特殊情况，采购代理机构延长截止时间和开标时间，采购代理机构和供应商的权利和义务将受到新的截止时间和开标时间的约束。</w:t>
      </w:r>
    </w:p>
    <w:p w14:paraId="608D1E6B">
      <w:pPr>
        <w:pStyle w:val="3"/>
        <w:keepNext/>
        <w:keepLines/>
        <w:pageBreakBefore w:val="0"/>
        <w:widowControl w:val="0"/>
        <w:tabs>
          <w:tab w:val="left" w:pos="567"/>
        </w:tabs>
        <w:kinsoku/>
        <w:wordWrap/>
        <w:overflowPunct/>
        <w:topLinePunct w:val="0"/>
        <w:autoSpaceDE/>
        <w:autoSpaceDN/>
        <w:bidi w:val="0"/>
        <w:adjustRightInd/>
        <w:snapToGrid/>
        <w:spacing w:before="0" w:after="0" w:line="380" w:lineRule="exact"/>
        <w:ind w:left="0" w:leftChars="0"/>
        <w:jc w:val="center"/>
        <w:textAlignment w:val="auto"/>
        <w:rPr>
          <w:rFonts w:hint="eastAsia" w:ascii="宋体" w:hAnsi="宋体" w:eastAsia="宋体" w:cs="宋体"/>
          <w:b/>
          <w:bCs w:val="0"/>
          <w:color w:val="auto"/>
          <w:sz w:val="21"/>
          <w:szCs w:val="21"/>
          <w:highlight w:val="none"/>
        </w:rPr>
      </w:pPr>
      <w:bookmarkStart w:id="99" w:name="_Toc2647"/>
      <w:bookmarkStart w:id="100" w:name="_Toc2433"/>
      <w:bookmarkStart w:id="101" w:name="_Toc5807"/>
    </w:p>
    <w:p w14:paraId="1CA468CB">
      <w:pPr>
        <w:pStyle w:val="3"/>
        <w:keepNext/>
        <w:keepLines/>
        <w:pageBreakBefore w:val="0"/>
        <w:widowControl w:val="0"/>
        <w:tabs>
          <w:tab w:val="left" w:pos="567"/>
        </w:tabs>
        <w:kinsoku/>
        <w:wordWrap/>
        <w:overflowPunct/>
        <w:topLinePunct w:val="0"/>
        <w:autoSpaceDE/>
        <w:autoSpaceDN/>
        <w:bidi w:val="0"/>
        <w:adjustRightInd/>
        <w:snapToGrid/>
        <w:spacing w:before="0" w:after="0" w:line="380" w:lineRule="exact"/>
        <w:ind w:left="0" w:leftChars="0"/>
        <w:jc w:val="center"/>
        <w:textAlignment w:val="auto"/>
        <w:rPr>
          <w:rFonts w:hint="eastAsia" w:ascii="宋体" w:hAnsi="宋体" w:eastAsia="宋体" w:cs="宋体"/>
          <w:b/>
          <w:bCs w:val="0"/>
          <w:color w:val="auto"/>
          <w:sz w:val="21"/>
          <w:szCs w:val="21"/>
          <w:highlight w:val="none"/>
        </w:rPr>
      </w:pPr>
      <w:r>
        <w:rPr>
          <w:rFonts w:hint="eastAsia" w:ascii="宋体" w:hAnsi="宋体" w:eastAsia="宋体" w:cs="宋体"/>
          <w:b/>
          <w:bCs w:val="0"/>
          <w:color w:val="auto"/>
          <w:sz w:val="21"/>
          <w:szCs w:val="21"/>
          <w:highlight w:val="none"/>
        </w:rPr>
        <w:t>四、竞争性磋商（简称磋商）与评审</w:t>
      </w:r>
      <w:bookmarkEnd w:id="99"/>
      <w:bookmarkEnd w:id="100"/>
      <w:bookmarkEnd w:id="101"/>
    </w:p>
    <w:p w14:paraId="5A590ECA">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102" w:name="_Toc11021"/>
      <w:bookmarkStart w:id="103" w:name="_Toc31588"/>
      <w:r>
        <w:rPr>
          <w:rFonts w:hint="eastAsia" w:ascii="宋体" w:hAnsi="宋体" w:eastAsia="宋体" w:cs="宋体"/>
          <w:color w:val="auto"/>
          <w:sz w:val="21"/>
          <w:szCs w:val="21"/>
          <w:highlight w:val="none"/>
        </w:rPr>
        <w:t>19. 磋商小组组成及磋商时间、地点、人员</w:t>
      </w:r>
      <w:bookmarkEnd w:id="102"/>
      <w:bookmarkEnd w:id="103"/>
    </w:p>
    <w:p w14:paraId="2F88968F">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19.1 磋商小组组成：</w:t>
      </w:r>
    </w:p>
    <w:p w14:paraId="6BDBA645">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磋商及评审工作由采购代理机构负责组织，具体磋商、评审工作由依法组建的磋商小组负责，磋商小组由采购人代表和有关方面的专家组成。磋商小组的构成：</w:t>
      </w:r>
      <w:r>
        <w:rPr>
          <w:rFonts w:hint="eastAsia" w:ascii="宋体" w:hAnsi="宋体" w:eastAsia="宋体" w:cs="宋体"/>
          <w:color w:val="auto"/>
          <w:sz w:val="21"/>
          <w:szCs w:val="21"/>
          <w:highlight w:val="none"/>
          <w:u w:val="single"/>
        </w:rPr>
        <w:t xml:space="preserve"> 3 </w:t>
      </w:r>
      <w:r>
        <w:rPr>
          <w:rFonts w:hint="eastAsia" w:ascii="宋体" w:hAnsi="宋体" w:eastAsia="宋体" w:cs="宋体"/>
          <w:color w:val="auto"/>
          <w:sz w:val="21"/>
          <w:szCs w:val="21"/>
          <w:highlight w:val="none"/>
        </w:rPr>
        <w:t>人，其中采购人代表</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 xml:space="preserve">1 </w:t>
      </w:r>
      <w:r>
        <w:rPr>
          <w:rFonts w:hint="eastAsia" w:ascii="宋体" w:hAnsi="宋体" w:eastAsia="宋体" w:cs="宋体"/>
          <w:color w:val="auto"/>
          <w:sz w:val="21"/>
          <w:szCs w:val="21"/>
          <w:highlight w:val="none"/>
        </w:rPr>
        <w:t>人，技术、经济等专家</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 xml:space="preserve">2 </w:t>
      </w:r>
      <w:r>
        <w:rPr>
          <w:rFonts w:hint="eastAsia" w:ascii="宋体" w:hAnsi="宋体" w:eastAsia="宋体" w:cs="宋体"/>
          <w:color w:val="auto"/>
          <w:sz w:val="21"/>
          <w:szCs w:val="21"/>
          <w:highlight w:val="none"/>
        </w:rPr>
        <w:t>人。</w:t>
      </w:r>
    </w:p>
    <w:p w14:paraId="1C8EC47C">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19.2 磋商时间、地点、人员：</w:t>
      </w:r>
    </w:p>
    <w:p w14:paraId="2D752013">
      <w:pPr>
        <w:keepNext w:val="0"/>
        <w:keepLines w:val="0"/>
        <w:pageBreakBefore w:val="0"/>
        <w:widowControl w:val="0"/>
        <w:kinsoku/>
        <w:wordWrap/>
        <w:overflowPunct/>
        <w:topLinePunct w:val="0"/>
        <w:autoSpaceDE/>
        <w:autoSpaceDN/>
        <w:bidi w:val="0"/>
        <w:adjustRightInd/>
        <w:snapToGrid/>
        <w:spacing w:line="380" w:lineRule="exact"/>
        <w:ind w:left="0" w:firstLine="420" w:firstLineChars="200"/>
        <w:jc w:val="left"/>
        <w:textAlignment w:val="auto"/>
        <w:rPr>
          <w:rFonts w:hint="eastAsia" w:ascii="宋体" w:hAnsi="宋体" w:eastAsia="宋体" w:cs="宋体"/>
          <w:color w:val="auto"/>
          <w:sz w:val="21"/>
          <w:szCs w:val="21"/>
          <w:highlight w:val="none"/>
        </w:rPr>
      </w:pPr>
      <w:bookmarkStart w:id="104" w:name="_Toc6288"/>
      <w:r>
        <w:rPr>
          <w:rFonts w:hint="eastAsia" w:ascii="宋体" w:hAnsi="宋体" w:eastAsia="宋体" w:cs="宋体"/>
          <w:color w:val="auto"/>
          <w:sz w:val="21"/>
          <w:szCs w:val="21"/>
          <w:highlight w:val="none"/>
        </w:rPr>
        <w:t>19.2.1磋商时间：</w:t>
      </w:r>
      <w:r>
        <w:rPr>
          <w:rFonts w:hint="eastAsia" w:ascii="宋体" w:hAnsi="宋体" w:cs="宋体"/>
          <w:color w:val="auto"/>
          <w:sz w:val="21"/>
          <w:szCs w:val="21"/>
          <w:highlight w:val="none"/>
          <w:lang w:eastAsia="zh-CN"/>
        </w:rPr>
        <w:t>首次</w:t>
      </w:r>
      <w:r>
        <w:rPr>
          <w:rFonts w:hint="eastAsia" w:ascii="宋体" w:hAnsi="宋体" w:eastAsia="宋体" w:cs="宋体"/>
          <w:color w:val="auto"/>
          <w:sz w:val="21"/>
          <w:szCs w:val="21"/>
          <w:highlight w:val="none"/>
        </w:rPr>
        <w:t>响应文件递交截止时间后。</w:t>
      </w:r>
    </w:p>
    <w:p w14:paraId="3723CA97">
      <w:pPr>
        <w:keepNext w:val="0"/>
        <w:keepLines w:val="0"/>
        <w:pageBreakBefore w:val="0"/>
        <w:widowControl w:val="0"/>
        <w:kinsoku/>
        <w:wordWrap/>
        <w:overflowPunct/>
        <w:topLinePunct w:val="0"/>
        <w:autoSpaceDE/>
        <w:autoSpaceDN/>
        <w:bidi w:val="0"/>
        <w:adjustRightInd/>
        <w:snapToGrid/>
        <w:spacing w:line="380" w:lineRule="exact"/>
        <w:ind w:left="0" w:firstLine="420" w:firstLineChars="200"/>
        <w:jc w:val="left"/>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19.2.2磋商地点：</w:t>
      </w:r>
      <w:r>
        <w:rPr>
          <w:rFonts w:hint="eastAsia" w:ascii="宋体" w:hAnsi="宋体" w:eastAsia="宋体" w:cs="宋体"/>
          <w:b/>
          <w:bCs/>
          <w:color w:val="auto"/>
          <w:sz w:val="21"/>
          <w:szCs w:val="21"/>
          <w:highlight w:val="none"/>
        </w:rPr>
        <w:t>供应商代表在响应文件提交当天实时</w:t>
      </w:r>
      <w:r>
        <w:rPr>
          <w:rFonts w:hint="eastAsia" w:ascii="宋体" w:hAnsi="宋体" w:cs="宋体"/>
          <w:b/>
          <w:bCs/>
          <w:color w:val="auto"/>
          <w:sz w:val="21"/>
          <w:szCs w:val="21"/>
          <w:highlight w:val="none"/>
          <w:lang w:eastAsia="zh-CN"/>
        </w:rPr>
        <w:t>登录</w:t>
      </w:r>
      <w:r>
        <w:rPr>
          <w:rFonts w:hint="eastAsia" w:ascii="宋体" w:hAnsi="宋体" w:eastAsia="宋体" w:cs="宋体"/>
          <w:b/>
          <w:bCs/>
          <w:color w:val="auto"/>
          <w:sz w:val="21"/>
          <w:szCs w:val="21"/>
          <w:highlight w:val="none"/>
        </w:rPr>
        <w:t>“广西政府采购云平台”，按磋商小组要求在线等候参与磋商及提交最后报价。因供应商未保持实时在线，导致磋商小组无法及时与其取得联系，从而造成供应商未按规定参与磋商或报价的，其不利后果由供应商自行承担</w:t>
      </w:r>
      <w:r>
        <w:rPr>
          <w:rFonts w:hint="eastAsia" w:ascii="宋体" w:hAnsi="宋体" w:eastAsia="宋体" w:cs="宋体"/>
          <w:color w:val="auto"/>
          <w:sz w:val="21"/>
          <w:szCs w:val="21"/>
          <w:highlight w:val="none"/>
          <w:lang w:eastAsia="zh-CN"/>
        </w:rPr>
        <w:t>。</w:t>
      </w:r>
    </w:p>
    <w:p w14:paraId="4F7D2DB9">
      <w:pPr>
        <w:keepNext w:val="0"/>
        <w:keepLines w:val="0"/>
        <w:pageBreakBefore w:val="0"/>
        <w:widowControl w:val="0"/>
        <w:kinsoku/>
        <w:wordWrap/>
        <w:overflowPunct/>
        <w:topLinePunct w:val="0"/>
        <w:autoSpaceDE/>
        <w:autoSpaceDN/>
        <w:bidi w:val="0"/>
        <w:adjustRightInd/>
        <w:snapToGrid/>
        <w:spacing w:line="380" w:lineRule="exact"/>
        <w:ind w:left="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19.2.3磋商参加人员：</w:t>
      </w:r>
      <w:r>
        <w:rPr>
          <w:rFonts w:hint="eastAsia" w:ascii="宋体" w:hAnsi="宋体" w:eastAsia="宋体" w:cs="宋体"/>
          <w:b w:val="0"/>
          <w:bCs w:val="0"/>
          <w:color w:val="auto"/>
          <w:sz w:val="21"/>
          <w:szCs w:val="21"/>
          <w:highlight w:val="none"/>
        </w:rPr>
        <w:t>供应商法定代表人、负责人、自然人或相应的委托代理人参加磋商。请供应商实时</w:t>
      </w:r>
      <w:r>
        <w:rPr>
          <w:rFonts w:hint="eastAsia" w:ascii="宋体" w:hAnsi="宋体" w:cs="宋体"/>
          <w:b w:val="0"/>
          <w:bCs w:val="0"/>
          <w:color w:val="auto"/>
          <w:sz w:val="21"/>
          <w:szCs w:val="21"/>
          <w:highlight w:val="none"/>
          <w:lang w:eastAsia="zh-CN"/>
        </w:rPr>
        <w:t>登录</w:t>
      </w:r>
      <w:r>
        <w:rPr>
          <w:rFonts w:hint="eastAsia" w:ascii="宋体" w:hAnsi="宋体" w:eastAsia="宋体" w:cs="宋体"/>
          <w:b w:val="0"/>
          <w:bCs w:val="0"/>
          <w:color w:val="auto"/>
          <w:sz w:val="21"/>
          <w:szCs w:val="21"/>
          <w:highlight w:val="none"/>
        </w:rPr>
        <w:t>“广西政府采购云平台”等候在线磋商</w:t>
      </w:r>
      <w:r>
        <w:rPr>
          <w:rFonts w:hint="eastAsia" w:ascii="宋体" w:hAnsi="宋体" w:eastAsia="宋体" w:cs="宋体"/>
          <w:color w:val="auto"/>
          <w:sz w:val="21"/>
          <w:szCs w:val="21"/>
          <w:highlight w:val="none"/>
        </w:rPr>
        <w:t>。</w:t>
      </w:r>
    </w:p>
    <w:p w14:paraId="65E7DA25">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color w:val="auto"/>
          <w:sz w:val="21"/>
          <w:szCs w:val="21"/>
          <w:highlight w:val="none"/>
        </w:rPr>
        <w:t>19.2.4</w:t>
      </w:r>
      <w:r>
        <w:rPr>
          <w:rFonts w:hint="eastAsia" w:ascii="宋体" w:hAnsi="宋体"/>
          <w:bCs/>
          <w:color w:val="auto"/>
          <w:szCs w:val="21"/>
          <w:highlight w:val="none"/>
        </w:rPr>
        <w:t>首次响应文件提交截止时间后，登录“</w:t>
      </w:r>
      <w:r>
        <w:rPr>
          <w:rFonts w:hint="eastAsia" w:ascii="宋体" w:hAnsi="宋体"/>
          <w:bCs/>
          <w:color w:val="auto"/>
          <w:szCs w:val="21"/>
          <w:highlight w:val="none"/>
          <w:lang w:eastAsia="zh-CN"/>
        </w:rPr>
        <w:t>广西政府采购云平台</w:t>
      </w:r>
      <w:r>
        <w:rPr>
          <w:rFonts w:hint="eastAsia" w:ascii="宋体" w:hAnsi="宋体"/>
          <w:bCs/>
          <w:color w:val="auto"/>
          <w:szCs w:val="21"/>
          <w:highlight w:val="none"/>
        </w:rPr>
        <w:t>”在线解密开启</w:t>
      </w:r>
      <w:r>
        <w:rPr>
          <w:rFonts w:hint="eastAsia" w:ascii="宋体" w:hAnsi="宋体" w:eastAsia="宋体" w:cs="宋体"/>
          <w:color w:val="auto"/>
          <w:sz w:val="21"/>
          <w:szCs w:val="21"/>
          <w:highlight w:val="none"/>
        </w:rPr>
        <w:t>。</w:t>
      </w:r>
      <w:bookmarkEnd w:id="104"/>
    </w:p>
    <w:p w14:paraId="62CDD3A8">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105" w:name="_Toc25258"/>
      <w:bookmarkStart w:id="106" w:name="_Toc21088"/>
      <w:r>
        <w:rPr>
          <w:rFonts w:hint="eastAsia" w:ascii="宋体" w:hAnsi="宋体" w:eastAsia="宋体" w:cs="宋体"/>
          <w:color w:val="auto"/>
          <w:sz w:val="21"/>
          <w:szCs w:val="21"/>
          <w:highlight w:val="none"/>
        </w:rPr>
        <w:t>20. 评审原则</w:t>
      </w:r>
      <w:bookmarkEnd w:id="105"/>
      <w:bookmarkEnd w:id="106"/>
    </w:p>
    <w:p w14:paraId="1DACB709">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20.1 磋商小组必须坚持公平、公正、科学和择优的原则。</w:t>
      </w:r>
    </w:p>
    <w:p w14:paraId="2AA32F48">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20.2 评审办法：综合评分法，具体详见第四章评审办法。</w:t>
      </w:r>
    </w:p>
    <w:p w14:paraId="2087A6B7">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20.3 磋商小组应按磋商文件进行评审，不得擅自更改评审办法。</w:t>
      </w:r>
    </w:p>
    <w:p w14:paraId="22286D9C">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20.4 在评审过程中，磋商小组任何人不得对某个供应商发表任何倾向性意见，不得向其他磋商小组成员明示或者暗示自己的评审意见。</w:t>
      </w:r>
    </w:p>
    <w:p w14:paraId="76DF253E">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20.5 磋商小组成员对需要共同认定的事项存在争议的，按照少数服从多数的原则作出结论。持不同意见的磋商小组成员应当在评审报告上签署不同意见并说明理由，否则视为同意。</w:t>
      </w:r>
    </w:p>
    <w:p w14:paraId="47B2F448">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20.6 响应文件最后报价出现前后不一致的，除竞争性磋商文件另有规定外，按照下列规定修正：</w:t>
      </w:r>
    </w:p>
    <w:p w14:paraId="59C09724">
      <w:pPr>
        <w:pStyle w:val="24"/>
        <w:keepNext w:val="0"/>
        <w:keepLines w:val="0"/>
        <w:pageBreakBefore w:val="0"/>
        <w:widowControl w:val="0"/>
        <w:tabs>
          <w:tab w:val="left" w:pos="1099"/>
        </w:tabs>
        <w:kinsoku/>
        <w:wordWrap/>
        <w:overflowPunct/>
        <w:topLinePunct w:val="0"/>
        <w:autoSpaceDE/>
        <w:autoSpaceDN/>
        <w:bidi w:val="0"/>
        <w:adjustRightInd/>
        <w:snapToGrid/>
        <w:spacing w:line="380" w:lineRule="exact"/>
        <w:ind w:left="0" w:lef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 响应文件中磋商报价表内容与响应文件中相应内容不一致的，以最后磋商报价表为准；</w:t>
      </w:r>
    </w:p>
    <w:p w14:paraId="072559F3">
      <w:pPr>
        <w:pStyle w:val="24"/>
        <w:keepNext w:val="0"/>
        <w:keepLines w:val="0"/>
        <w:pageBreakBefore w:val="0"/>
        <w:widowControl w:val="0"/>
        <w:tabs>
          <w:tab w:val="left" w:pos="1099"/>
        </w:tabs>
        <w:kinsoku/>
        <w:wordWrap/>
        <w:overflowPunct/>
        <w:topLinePunct w:val="0"/>
        <w:autoSpaceDE/>
        <w:autoSpaceDN/>
        <w:bidi w:val="0"/>
        <w:adjustRightInd/>
        <w:snapToGrid/>
        <w:spacing w:line="380" w:lineRule="exact"/>
        <w:ind w:left="0" w:lef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 大写金额和小写金额不一致的，以大写金额为准；</w:t>
      </w:r>
    </w:p>
    <w:p w14:paraId="48F92C59">
      <w:pPr>
        <w:pStyle w:val="24"/>
        <w:keepNext w:val="0"/>
        <w:keepLines w:val="0"/>
        <w:pageBreakBefore w:val="0"/>
        <w:widowControl w:val="0"/>
        <w:tabs>
          <w:tab w:val="left" w:pos="1099"/>
        </w:tabs>
        <w:kinsoku/>
        <w:wordWrap/>
        <w:overflowPunct/>
        <w:topLinePunct w:val="0"/>
        <w:autoSpaceDE/>
        <w:autoSpaceDN/>
        <w:bidi w:val="0"/>
        <w:adjustRightInd/>
        <w:snapToGrid/>
        <w:spacing w:line="380" w:lineRule="exact"/>
        <w:ind w:left="0" w:lef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 单价金额小数点或者百分比有明显错位的，以报价表的总价为准，并修改单价；</w:t>
      </w:r>
    </w:p>
    <w:p w14:paraId="4808AF44">
      <w:pPr>
        <w:pStyle w:val="24"/>
        <w:keepNext w:val="0"/>
        <w:keepLines w:val="0"/>
        <w:pageBreakBefore w:val="0"/>
        <w:widowControl w:val="0"/>
        <w:tabs>
          <w:tab w:val="left" w:pos="1099"/>
        </w:tabs>
        <w:kinsoku/>
        <w:wordWrap/>
        <w:overflowPunct/>
        <w:topLinePunct w:val="0"/>
        <w:autoSpaceDE/>
        <w:autoSpaceDN/>
        <w:bidi w:val="0"/>
        <w:adjustRightInd/>
        <w:snapToGrid/>
        <w:spacing w:line="380" w:lineRule="exact"/>
        <w:ind w:left="0" w:lef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 总价金额与按单价汇总金额不一致的，以单价金额计算结果为准。</w:t>
      </w:r>
    </w:p>
    <w:p w14:paraId="06995231">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同时出现两种以上不一致的，按照前款规定的顺序修正。修正后的报价（不得超出响应文件的范围或者改变响应文件的实质性内容）经磋商供应商确认后产生约束力，磋商供应商不确认的，作无效响应处理。</w:t>
      </w:r>
    </w:p>
    <w:p w14:paraId="062167F2">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107" w:name="_Toc27193"/>
      <w:bookmarkStart w:id="108" w:name="_Toc21012"/>
      <w:r>
        <w:rPr>
          <w:rFonts w:hint="eastAsia" w:ascii="宋体" w:hAnsi="宋体" w:eastAsia="宋体" w:cs="宋体"/>
          <w:color w:val="auto"/>
          <w:sz w:val="21"/>
          <w:szCs w:val="21"/>
          <w:highlight w:val="none"/>
        </w:rPr>
        <w:t>21. 评审程序及磋商要求</w:t>
      </w:r>
      <w:bookmarkEnd w:id="107"/>
      <w:bookmarkEnd w:id="108"/>
    </w:p>
    <w:p w14:paraId="1452A625">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21.1磋商小组成员的通讯工具或相关电子设备交由桂林市公共资源交易中心统一保管后到达评标室，采购代理机构核实磋商小组成员身份，告知回避要求，宣布评审工作纪律和程序，</w:t>
      </w:r>
      <w:r>
        <w:rPr>
          <w:rFonts w:hint="eastAsia" w:hAnsi="宋体"/>
          <w:color w:val="auto"/>
          <w:szCs w:val="21"/>
          <w:highlight w:val="none"/>
        </w:rPr>
        <w:t>组织磋商小组推选磋商小组组长，采购人代表不得担任组长</w:t>
      </w:r>
      <w:r>
        <w:rPr>
          <w:rFonts w:hint="eastAsia" w:ascii="宋体" w:hAnsi="宋体" w:eastAsia="宋体" w:cs="宋体"/>
          <w:color w:val="auto"/>
          <w:sz w:val="21"/>
          <w:szCs w:val="21"/>
          <w:highlight w:val="none"/>
        </w:rPr>
        <w:t>。</w:t>
      </w:r>
    </w:p>
    <w:p w14:paraId="6C872FE0">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21.2磋商小组应当对发布公告的竞争性磋商文件（简称磋商文件）进行确认，审查供应商的响应文件并作出评价；要求供应商解释或者澄清其响应文件；编写评审报告；告知采购人、采购代理机构在评审过程中发现的供应商的违法违规行为。</w:t>
      </w:r>
    </w:p>
    <w:p w14:paraId="093D3425">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21.3 磋商小组依据竞争性磋商文件的规定，首先对响应文件进行资格性审查，以确定供应商是否具备本项目供应商资格；再对通过资格性审查的供应商响应文件的有效性、完整性和对磋商文件的响应程度进行符合性审查，以确定是否对磋商文件的实质性要求做出响应。 </w:t>
      </w:r>
    </w:p>
    <w:p w14:paraId="78BA3F78">
      <w:pPr>
        <w:pageBreakBefore w:val="0"/>
        <w:widowControl w:val="0"/>
        <w:kinsoku/>
        <w:wordWrap/>
        <w:overflowPunct/>
        <w:topLinePunct w:val="0"/>
        <w:bidi w:val="0"/>
        <w:snapToGrid/>
        <w:spacing w:line="380" w:lineRule="exact"/>
        <w:ind w:left="0" w:leftChars="0" w:firstLine="422" w:firstLineChars="200"/>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21.4 磋商小组在对供应商进行资格性审查时，将对供应商企业股东及出资等信息进行查询。根据 《</w:t>
      </w:r>
      <w:r>
        <w:rPr>
          <w:rFonts w:hint="eastAsia" w:ascii="宋体" w:hAnsi="宋体" w:cs="宋体"/>
          <w:b/>
          <w:bCs/>
          <w:color w:val="auto"/>
          <w:sz w:val="21"/>
          <w:szCs w:val="21"/>
          <w:highlight w:val="none"/>
          <w:lang w:eastAsia="zh-CN"/>
        </w:rPr>
        <w:t>中华人民共和国政府采购法实施条例</w:t>
      </w:r>
      <w:r>
        <w:rPr>
          <w:rFonts w:hint="eastAsia" w:ascii="宋体" w:hAnsi="宋体" w:eastAsia="宋体" w:cs="宋体"/>
          <w:b/>
          <w:bCs/>
          <w:color w:val="auto"/>
          <w:sz w:val="21"/>
          <w:szCs w:val="21"/>
          <w:highlight w:val="none"/>
        </w:rPr>
        <w:t>》 第十八条第一款规定，审查中如发现供应商存在单位负责人为同一人或者存在直接控股、管理关系的不同供应商参加同一合同项下的政府采购活动的，按响应文件无效处理 。</w:t>
      </w:r>
    </w:p>
    <w:p w14:paraId="7ED73AE8">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21.4.1 查询渠道：《国家企业信用信息公示系统》（网址：www.gsxt.gov.cn/index.html）</w:t>
      </w:r>
    </w:p>
    <w:p w14:paraId="1424F558">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21.4.2 审查流程：</w:t>
      </w:r>
    </w:p>
    <w:p w14:paraId="0F22917D">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（1）进入《国家企业信用信息公示系统》（网址：www.gsxt.gov.cn/index.html），输入企业名称，进入企业信息主页面；</w:t>
      </w:r>
    </w:p>
    <w:p w14:paraId="718FD750">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（2）查看主页“股东及出资信息”栏，或年报中的“股东及出资信息”栏信息；</w:t>
      </w:r>
    </w:p>
    <w:p w14:paraId="7DBDAAEA">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（3）将各供应商的股东及出资信息进行比对，得出审查结论；</w:t>
      </w:r>
    </w:p>
    <w:p w14:paraId="08CFADBE">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（4）将相关资料作为评审资料打印存档。</w:t>
      </w:r>
    </w:p>
    <w:p w14:paraId="546EFD4F">
      <w:pPr>
        <w:tabs>
          <w:tab w:val="left" w:pos="1305"/>
        </w:tabs>
        <w:wordWrap w:val="0"/>
        <w:spacing w:line="360" w:lineRule="exact"/>
        <w:ind w:firstLine="420" w:firstLineChars="200"/>
        <w:rPr>
          <w:rFonts w:hint="eastAsia" w:ascii="宋体" w:hAnsi="宋体"/>
          <w:b w:val="0"/>
          <w:bCs/>
          <w:color w:val="auto"/>
          <w:szCs w:val="21"/>
          <w:highlight w:val="none"/>
        </w:rPr>
      </w:pPr>
      <w:r>
        <w:rPr>
          <w:rFonts w:hint="eastAsia" w:ascii="宋体" w:hAnsi="宋体"/>
          <w:b w:val="0"/>
          <w:bCs/>
          <w:color w:val="auto"/>
          <w:szCs w:val="21"/>
          <w:highlight w:val="none"/>
        </w:rPr>
        <w:t>注：以上审查过程中，如出现查询企业网页主页面无法显示股东及出资信息的或仅以主页面信息内容无法认定供应商之间存在单位负责人为同一人或者存在直接控股、管理关系的，当时审查程序可继续进行，待评审结束后将对以上供应商</w:t>
      </w:r>
      <w:r>
        <w:rPr>
          <w:rFonts w:hint="eastAsia" w:ascii="宋体" w:hAnsi="宋体"/>
          <w:b w:val="0"/>
          <w:bCs/>
          <w:color w:val="auto"/>
          <w:szCs w:val="21"/>
          <w:highlight w:val="none"/>
          <w:lang w:eastAsia="zh-CN"/>
        </w:rPr>
        <w:t>做进一步</w:t>
      </w:r>
      <w:r>
        <w:rPr>
          <w:rFonts w:hint="eastAsia" w:ascii="宋体" w:hAnsi="宋体"/>
          <w:b w:val="0"/>
          <w:bCs/>
          <w:color w:val="auto"/>
          <w:szCs w:val="21"/>
          <w:highlight w:val="none"/>
        </w:rPr>
        <w:t>核实确认，如确认供应商之间存在有上述关联供应商情形的，关联供应商均按响应文件无效处理。</w:t>
      </w:r>
    </w:p>
    <w:p w14:paraId="653D43FB">
      <w:pPr>
        <w:pageBreakBefore w:val="0"/>
        <w:widowControl w:val="0"/>
        <w:kinsoku/>
        <w:wordWrap/>
        <w:overflowPunct/>
        <w:topLinePunct w:val="0"/>
        <w:bidi w:val="0"/>
        <w:snapToGrid/>
        <w:spacing w:line="380" w:lineRule="exact"/>
        <w:ind w:left="0" w:leftChars="0" w:firstLine="422" w:firstLineChars="200"/>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21.5 磋商小组如发现供应商提供的证明文件不齐全或不符合规定格式的，应一次性告知供应商，供应商应在规定的时间内</w:t>
      </w:r>
      <w:r>
        <w:rPr>
          <w:rFonts w:hint="eastAsia" w:ascii="宋体" w:hAnsi="宋体" w:eastAsia="宋体" w:cs="宋体"/>
          <w:b/>
          <w:bCs/>
          <w:color w:val="auto"/>
          <w:sz w:val="21"/>
          <w:szCs w:val="21"/>
          <w:highlight w:val="none"/>
          <w:lang w:eastAsia="zh-CN"/>
        </w:rPr>
        <w:t>线上</w:t>
      </w:r>
      <w:r>
        <w:rPr>
          <w:rFonts w:hint="eastAsia" w:ascii="宋体" w:hAnsi="宋体" w:eastAsia="宋体" w:cs="宋体"/>
          <w:b/>
          <w:bCs/>
          <w:color w:val="auto"/>
          <w:sz w:val="21"/>
          <w:szCs w:val="21"/>
          <w:highlight w:val="none"/>
        </w:rPr>
        <w:t>补正或更正。</w:t>
      </w:r>
    </w:p>
    <w:p w14:paraId="0363C18A">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21.6 磋商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澄清、说明或者更正应由其法定代表人或相应的授权委托代表签字</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个人CA签章)</w:t>
      </w:r>
      <w:r>
        <w:rPr>
          <w:rFonts w:hint="eastAsia" w:ascii="宋体" w:hAnsi="宋体" w:eastAsia="宋体" w:cs="宋体"/>
          <w:color w:val="auto"/>
          <w:sz w:val="21"/>
          <w:szCs w:val="21"/>
          <w:highlight w:val="none"/>
        </w:rPr>
        <w:t>或者加盖供应商公章</w:t>
      </w:r>
      <w:r>
        <w:rPr>
          <w:rFonts w:hint="eastAsia" w:ascii="宋体" w:hAnsi="宋体" w:eastAsia="宋体" w:cs="宋体"/>
          <w:color w:val="auto"/>
          <w:sz w:val="21"/>
          <w:szCs w:val="21"/>
          <w:highlight w:val="none"/>
          <w:lang w:val="en-US" w:eastAsia="zh-CN"/>
        </w:rPr>
        <w:t>(CA签章)</w:t>
      </w:r>
      <w:r>
        <w:rPr>
          <w:rFonts w:hint="eastAsia" w:ascii="宋体" w:hAnsi="宋体" w:eastAsia="宋体" w:cs="宋体"/>
          <w:color w:val="auto"/>
          <w:sz w:val="21"/>
          <w:szCs w:val="21"/>
          <w:highlight w:val="none"/>
        </w:rPr>
        <w:t>。</w:t>
      </w:r>
    </w:p>
    <w:p w14:paraId="41116040">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根据磋商文件规定的程序、评定成交的标准等事项与实质性响应竞争性磋商文件要求的供应商进行磋商。未实质性响应磋商文件的响应文件按无效处理，磋商小组应当告知有关供应商。 </w:t>
      </w:r>
    </w:p>
    <w:p w14:paraId="13015438">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磋商小组所有成员应当按已确定的磋商顺序集中与单一供应商分别进行磋商，并给予所有实质性响应竞争性磋商文件要求的供应商平等的磋商机会。 </w:t>
      </w:r>
    </w:p>
    <w:p w14:paraId="7795DC95">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磋商中，磋商小组不得透露与磋商有关的其他供应商的技术资料、价格和其他信息。 </w:t>
      </w:r>
    </w:p>
    <w:p w14:paraId="63F5E782">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磋商小组对磋商过程和重要磋商内容进行记录，磋商双方在记录上签字确认。 </w:t>
      </w:r>
    </w:p>
    <w:p w14:paraId="27DD7202">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21.</w:t>
      </w:r>
      <w:r>
        <w:rPr>
          <w:rFonts w:hint="eastAsia" w:ascii="宋体" w:hAnsi="宋体" w:cs="宋体"/>
          <w:color w:val="auto"/>
          <w:sz w:val="21"/>
          <w:szCs w:val="21"/>
          <w:highlight w:val="none"/>
          <w:lang w:val="en-US" w:eastAsia="zh-CN"/>
        </w:rPr>
        <w:t>7</w:t>
      </w:r>
      <w:r>
        <w:rPr>
          <w:rFonts w:hint="eastAsia" w:ascii="宋体" w:hAnsi="宋体" w:eastAsia="宋体" w:cs="宋体"/>
          <w:color w:val="auto"/>
          <w:sz w:val="21"/>
          <w:szCs w:val="21"/>
          <w:highlight w:val="none"/>
        </w:rPr>
        <w:t xml:space="preserve"> 在磋商过程中，磋商小组可以根据磋商文件和磋商情况实质性变动项目需求中的技术、服务要求以及合同草案条款，但不得变动磋商文件中的其他内容。实质性变动的内容，须经采购人代表确认。 </w:t>
      </w:r>
    </w:p>
    <w:p w14:paraId="7E9E5D06">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对磋商文件作出的实质性变动是磋商文件的有效组成部分，磋商小组应当及时</w:t>
      </w:r>
      <w:r>
        <w:rPr>
          <w:rFonts w:hint="eastAsia" w:ascii="宋体" w:hAnsi="宋体" w:eastAsia="宋体" w:cs="宋体"/>
          <w:color w:val="auto"/>
          <w:sz w:val="21"/>
          <w:szCs w:val="21"/>
          <w:highlight w:val="none"/>
          <w:lang w:eastAsia="zh-CN"/>
        </w:rPr>
        <w:t>通过</w:t>
      </w:r>
      <w:r>
        <w:rPr>
          <w:rFonts w:hint="eastAsia" w:ascii="宋体" w:hAnsi="宋体" w:eastAsia="宋体" w:cs="宋体"/>
          <w:color w:val="auto"/>
          <w:sz w:val="21"/>
          <w:szCs w:val="21"/>
          <w:highlight w:val="none"/>
        </w:rPr>
        <w:t>广西政府采购云平台</w:t>
      </w:r>
      <w:r>
        <w:rPr>
          <w:rFonts w:hint="eastAsia" w:ascii="宋体" w:hAnsi="宋体" w:eastAsia="宋体" w:cs="宋体"/>
          <w:color w:val="auto"/>
          <w:sz w:val="21"/>
          <w:szCs w:val="21"/>
          <w:highlight w:val="none"/>
          <w:lang w:eastAsia="zh-CN"/>
        </w:rPr>
        <w:t>同时</w:t>
      </w:r>
      <w:r>
        <w:rPr>
          <w:rFonts w:hint="eastAsia" w:ascii="宋体" w:hAnsi="宋体" w:eastAsia="宋体" w:cs="宋体"/>
          <w:color w:val="auto"/>
          <w:sz w:val="21"/>
          <w:szCs w:val="21"/>
          <w:highlight w:val="none"/>
        </w:rPr>
        <w:t xml:space="preserve">通知所有参加磋商的供应商。 </w:t>
      </w:r>
    </w:p>
    <w:p w14:paraId="0D6D0ACB">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供应商应当按照磋商文件的变动情况和磋商小组的要求重新提交响应文件，并由其法定代表人、负责人、</w:t>
      </w:r>
      <w:r>
        <w:rPr>
          <w:rFonts w:hint="eastAsia" w:ascii="宋体" w:hAnsi="宋体" w:eastAsia="宋体" w:cs="宋体"/>
          <w:color w:val="auto"/>
          <w:sz w:val="21"/>
          <w:szCs w:val="21"/>
          <w:highlight w:val="none"/>
          <w:lang w:eastAsia="zh-CN"/>
        </w:rPr>
        <w:t>自然人或相应的授权委托代表签字（个人</w:t>
      </w:r>
      <w:r>
        <w:rPr>
          <w:rFonts w:hint="eastAsia" w:ascii="宋体" w:hAnsi="宋体" w:eastAsia="宋体" w:cs="宋体"/>
          <w:color w:val="auto"/>
          <w:sz w:val="21"/>
          <w:szCs w:val="21"/>
          <w:highlight w:val="none"/>
          <w:lang w:val="en-US" w:eastAsia="zh-CN"/>
        </w:rPr>
        <w:t>CA签章</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或者加盖供应商公章</w:t>
      </w:r>
      <w:r>
        <w:rPr>
          <w:rFonts w:hint="eastAsia" w:ascii="宋体" w:hAnsi="宋体" w:eastAsia="宋体" w:cs="宋体"/>
          <w:color w:val="auto"/>
          <w:sz w:val="21"/>
          <w:szCs w:val="21"/>
          <w:highlight w:val="none"/>
          <w:lang w:val="en-US" w:eastAsia="zh-CN"/>
        </w:rPr>
        <w:t>(CA签章)</w:t>
      </w:r>
      <w:r>
        <w:rPr>
          <w:rFonts w:hint="eastAsia" w:ascii="宋体" w:hAnsi="宋体" w:eastAsia="宋体" w:cs="宋体"/>
          <w:color w:val="auto"/>
          <w:sz w:val="21"/>
          <w:szCs w:val="21"/>
          <w:highlight w:val="none"/>
        </w:rPr>
        <w:t xml:space="preserve">。逾时不交的，视同放弃磋商。 </w:t>
      </w:r>
    </w:p>
    <w:p w14:paraId="53E47D86">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21.</w:t>
      </w:r>
      <w:r>
        <w:rPr>
          <w:rFonts w:hint="eastAsia" w:ascii="宋体" w:hAnsi="宋体" w:cs="宋体"/>
          <w:color w:val="auto"/>
          <w:sz w:val="21"/>
          <w:szCs w:val="21"/>
          <w:highlight w:val="none"/>
          <w:lang w:val="en-US" w:eastAsia="zh-CN"/>
        </w:rPr>
        <w:t>8</w:t>
      </w:r>
      <w:r>
        <w:rPr>
          <w:rFonts w:hint="eastAsia" w:ascii="宋体" w:hAnsi="宋体" w:eastAsia="宋体" w:cs="宋体"/>
          <w:color w:val="auto"/>
          <w:sz w:val="21"/>
          <w:szCs w:val="21"/>
          <w:highlight w:val="none"/>
        </w:rPr>
        <w:t xml:space="preserve"> 最后报价 </w:t>
      </w:r>
    </w:p>
    <w:p w14:paraId="383AFB6B">
      <w:pPr>
        <w:wordWrap w:val="0"/>
        <w:spacing w:line="360" w:lineRule="exact"/>
        <w:ind w:firstLine="420" w:firstLineChars="200"/>
        <w:rPr>
          <w:rFonts w:ascii="宋体" w:hAnsi="宋体"/>
          <w:color w:val="auto"/>
          <w:szCs w:val="21"/>
          <w:highlight w:val="none"/>
        </w:rPr>
      </w:pPr>
      <w:r>
        <w:rPr>
          <w:rFonts w:hint="eastAsia" w:ascii="宋体" w:hAnsi="宋体" w:eastAsia="宋体" w:cs="宋体"/>
          <w:color w:val="auto"/>
          <w:sz w:val="21"/>
          <w:szCs w:val="21"/>
          <w:highlight w:val="none"/>
        </w:rPr>
        <w:t>21.</w:t>
      </w:r>
      <w:r>
        <w:rPr>
          <w:rFonts w:hint="eastAsia" w:ascii="宋体" w:hAnsi="宋体" w:cs="宋体"/>
          <w:color w:val="auto"/>
          <w:sz w:val="21"/>
          <w:szCs w:val="21"/>
          <w:highlight w:val="none"/>
          <w:lang w:val="en-US" w:eastAsia="zh-CN"/>
        </w:rPr>
        <w:t>8</w:t>
      </w:r>
      <w:r>
        <w:rPr>
          <w:rFonts w:hint="eastAsia" w:ascii="宋体" w:hAnsi="宋体" w:eastAsia="宋体" w:cs="宋体"/>
          <w:color w:val="auto"/>
          <w:sz w:val="21"/>
          <w:szCs w:val="21"/>
          <w:highlight w:val="none"/>
        </w:rPr>
        <w:t>.1 磋商文件能够详细列明采购标的的质量要求的，磋商结束后，磋商小组应当要求所有继续参加磋商的供应商在规定时间内</w:t>
      </w:r>
      <w:r>
        <w:rPr>
          <w:rFonts w:hint="eastAsia" w:ascii="宋体" w:hAnsi="宋体" w:eastAsia="宋体" w:cs="宋体"/>
          <w:color w:val="auto"/>
          <w:sz w:val="21"/>
          <w:szCs w:val="21"/>
          <w:highlight w:val="none"/>
          <w:lang w:eastAsia="zh-CN"/>
        </w:rPr>
        <w:t>线上</w:t>
      </w:r>
      <w:r>
        <w:rPr>
          <w:rFonts w:hint="eastAsia" w:ascii="宋体" w:hAnsi="宋体" w:eastAsia="宋体" w:cs="宋体"/>
          <w:color w:val="auto"/>
          <w:sz w:val="21"/>
          <w:szCs w:val="21"/>
          <w:highlight w:val="none"/>
        </w:rPr>
        <w:t>提交最后报价，提交最后报价的供应商不得少于 3 家。</w:t>
      </w:r>
      <w:r>
        <w:rPr>
          <w:rFonts w:hint="eastAsia" w:ascii="宋体" w:hAnsi="宋体"/>
          <w:b/>
          <w:color w:val="auto"/>
          <w:szCs w:val="21"/>
          <w:highlight w:val="none"/>
        </w:rPr>
        <w:t>在</w:t>
      </w:r>
      <w:r>
        <w:rPr>
          <w:rFonts w:ascii="宋体" w:hAnsi="宋体"/>
          <w:b/>
          <w:color w:val="auto"/>
          <w:szCs w:val="21"/>
          <w:highlight w:val="none"/>
        </w:rPr>
        <w:t>磋商</w:t>
      </w:r>
      <w:r>
        <w:rPr>
          <w:rFonts w:hint="eastAsia" w:ascii="宋体" w:hAnsi="宋体"/>
          <w:b/>
          <w:color w:val="auto"/>
          <w:szCs w:val="21"/>
          <w:highlight w:val="none"/>
        </w:rPr>
        <w:t>过程中，如供应商维持</w:t>
      </w:r>
      <w:r>
        <w:rPr>
          <w:rFonts w:ascii="宋体" w:hAnsi="宋体"/>
          <w:b/>
          <w:color w:val="auto"/>
          <w:szCs w:val="21"/>
          <w:highlight w:val="none"/>
        </w:rPr>
        <w:t>磋商</w:t>
      </w:r>
      <w:r>
        <w:rPr>
          <w:rFonts w:hint="eastAsia" w:ascii="宋体" w:hAnsi="宋体"/>
          <w:b/>
          <w:color w:val="auto"/>
          <w:szCs w:val="21"/>
          <w:highlight w:val="none"/>
        </w:rPr>
        <w:t>报价不变，以原</w:t>
      </w:r>
      <w:r>
        <w:rPr>
          <w:rFonts w:ascii="宋体" w:hAnsi="宋体"/>
          <w:b/>
          <w:color w:val="auto"/>
          <w:szCs w:val="21"/>
          <w:highlight w:val="none"/>
        </w:rPr>
        <w:t>磋商</w:t>
      </w:r>
      <w:r>
        <w:rPr>
          <w:rFonts w:hint="eastAsia" w:ascii="宋体" w:hAnsi="宋体"/>
          <w:b/>
          <w:color w:val="auto"/>
          <w:szCs w:val="21"/>
          <w:highlight w:val="none"/>
        </w:rPr>
        <w:t>报价作为供应商最后报价；如供应商需要改变原</w:t>
      </w:r>
      <w:r>
        <w:rPr>
          <w:rFonts w:ascii="宋体" w:hAnsi="宋体"/>
          <w:b/>
          <w:color w:val="auto"/>
          <w:szCs w:val="21"/>
          <w:highlight w:val="none"/>
        </w:rPr>
        <w:t>磋商</w:t>
      </w:r>
      <w:r>
        <w:rPr>
          <w:rFonts w:hint="eastAsia" w:ascii="宋体" w:hAnsi="宋体"/>
          <w:b/>
          <w:color w:val="auto"/>
          <w:szCs w:val="21"/>
          <w:highlight w:val="none"/>
        </w:rPr>
        <w:t>报价时，供应商应在最后报价时将预先准备好调整后的报价清单计价表，在采购代理机构开启新一轮报价时，通过“上传附件”功能上传。如供应商在</w:t>
      </w:r>
      <w:r>
        <w:rPr>
          <w:rFonts w:ascii="宋体" w:hAnsi="宋体"/>
          <w:b/>
          <w:color w:val="auto"/>
          <w:szCs w:val="21"/>
          <w:highlight w:val="none"/>
        </w:rPr>
        <w:t>磋商</w:t>
      </w:r>
      <w:r>
        <w:rPr>
          <w:rFonts w:hint="eastAsia" w:ascii="宋体" w:hAnsi="宋体"/>
          <w:b/>
          <w:color w:val="auto"/>
          <w:szCs w:val="21"/>
          <w:highlight w:val="none"/>
        </w:rPr>
        <w:t>过程中，改变原报价且未按</w:t>
      </w:r>
      <w:r>
        <w:rPr>
          <w:rFonts w:ascii="宋体" w:hAnsi="宋体"/>
          <w:b/>
          <w:color w:val="auto"/>
          <w:szCs w:val="21"/>
          <w:highlight w:val="none"/>
        </w:rPr>
        <w:t>磋商</w:t>
      </w:r>
      <w:r>
        <w:rPr>
          <w:rFonts w:hint="eastAsia" w:ascii="宋体" w:hAnsi="宋体"/>
          <w:b/>
          <w:color w:val="auto"/>
          <w:szCs w:val="21"/>
          <w:highlight w:val="none"/>
        </w:rPr>
        <w:t>文件要求提供调整后的报价清单计价表的，其报价不予认可，视供应商维持原</w:t>
      </w:r>
      <w:r>
        <w:rPr>
          <w:rFonts w:ascii="宋体" w:hAnsi="宋体"/>
          <w:b/>
          <w:color w:val="auto"/>
          <w:szCs w:val="21"/>
          <w:highlight w:val="none"/>
        </w:rPr>
        <w:t>磋商</w:t>
      </w:r>
      <w:r>
        <w:rPr>
          <w:rFonts w:hint="eastAsia" w:ascii="宋体" w:hAnsi="宋体"/>
          <w:b/>
          <w:color w:val="auto"/>
          <w:szCs w:val="21"/>
          <w:highlight w:val="none"/>
        </w:rPr>
        <w:t>报价不变。</w:t>
      </w:r>
    </w:p>
    <w:p w14:paraId="44520B0D">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 21.</w:t>
      </w:r>
      <w:r>
        <w:rPr>
          <w:rFonts w:hint="eastAsia" w:ascii="宋体" w:hAnsi="宋体" w:cs="宋体"/>
          <w:color w:val="auto"/>
          <w:sz w:val="21"/>
          <w:szCs w:val="21"/>
          <w:highlight w:val="none"/>
          <w:lang w:val="en-US" w:eastAsia="zh-CN"/>
        </w:rPr>
        <w:t>8</w:t>
      </w:r>
      <w:r>
        <w:rPr>
          <w:rFonts w:hint="eastAsia" w:ascii="宋体" w:hAnsi="宋体" w:eastAsia="宋体" w:cs="宋体"/>
          <w:color w:val="auto"/>
          <w:sz w:val="21"/>
          <w:szCs w:val="21"/>
          <w:highlight w:val="none"/>
        </w:rPr>
        <w:t>.2 根据《政府采购竞争性磋商采购方式管理暂行办法》（财库〔2014〕214号）第二十一条规定，市场竞争不充分的科研项目，以及需要扶持的科技成果转化项目，提交最后报价的供应商可以为2家。</w:t>
      </w:r>
    </w:p>
    <w:p w14:paraId="212DCCAE">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根据《财政部关于政府采购竞争性磋商采购方式管理暂行办法有关问题的补充通知》（财库〔2015〕124号）的规定，如采购项目为政府购买服务项目（含政府和社会资本合作项目），在采购过程中符合要求的供应商（社会资本）只有2家的，竞争性磋商采购活动可以继续进行。采购过程中符合要求的供应商（社会资本）只有1家的，采购人或者采购代理机构应当终止竞争性磋商采购活动，发布项目终止公告并说明原因，重新开展采购活动。 </w:t>
      </w:r>
    </w:p>
    <w:p w14:paraId="71D1E2FB">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21.</w:t>
      </w:r>
      <w:r>
        <w:rPr>
          <w:rFonts w:hint="eastAsia" w:ascii="宋体" w:hAnsi="宋体" w:cs="宋体"/>
          <w:color w:val="auto"/>
          <w:sz w:val="21"/>
          <w:szCs w:val="21"/>
          <w:highlight w:val="none"/>
          <w:lang w:val="en-US" w:eastAsia="zh-CN"/>
        </w:rPr>
        <w:t>8</w:t>
      </w:r>
      <w:r>
        <w:rPr>
          <w:rFonts w:hint="eastAsia" w:ascii="宋体" w:hAnsi="宋体" w:eastAsia="宋体" w:cs="宋体"/>
          <w:color w:val="auto"/>
          <w:sz w:val="21"/>
          <w:szCs w:val="21"/>
          <w:highlight w:val="none"/>
          <w:lang w:val="en-US" w:eastAsia="zh-CN"/>
        </w:rPr>
        <w:t>.3</w:t>
      </w:r>
      <w:r>
        <w:rPr>
          <w:rFonts w:hint="eastAsia" w:ascii="宋体" w:hAnsi="宋体" w:eastAsia="宋体" w:cs="宋体"/>
          <w:color w:val="auto"/>
          <w:kern w:val="0"/>
          <w:sz w:val="21"/>
          <w:szCs w:val="21"/>
          <w:highlight w:val="none"/>
        </w:rPr>
        <w:t>最后报价是供应商响应文件的有效组成部分</w:t>
      </w:r>
      <w:r>
        <w:rPr>
          <w:rFonts w:hint="eastAsia" w:ascii="宋体" w:hAnsi="宋体" w:eastAsia="宋体" w:cs="宋体"/>
          <w:color w:val="auto"/>
          <w:spacing w:val="-4"/>
          <w:sz w:val="21"/>
          <w:szCs w:val="21"/>
          <w:highlight w:val="none"/>
        </w:rPr>
        <w:t>。</w:t>
      </w:r>
    </w:p>
    <w:p w14:paraId="2BF0704E">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21.</w:t>
      </w:r>
      <w:r>
        <w:rPr>
          <w:rFonts w:hint="eastAsia" w:ascii="宋体" w:hAnsi="宋体" w:cs="宋体"/>
          <w:color w:val="auto"/>
          <w:sz w:val="21"/>
          <w:szCs w:val="21"/>
          <w:highlight w:val="none"/>
          <w:lang w:val="en-US" w:eastAsia="zh-CN"/>
        </w:rPr>
        <w:t>8.4</w:t>
      </w:r>
      <w:r>
        <w:rPr>
          <w:rFonts w:hint="eastAsia" w:ascii="宋体" w:hAnsi="宋体" w:eastAsia="宋体" w:cs="宋体"/>
          <w:color w:val="auto"/>
          <w:sz w:val="21"/>
          <w:szCs w:val="21"/>
          <w:highlight w:val="none"/>
        </w:rPr>
        <w:t xml:space="preserve">已提交响应文件的供应商，在提交最后报价之前，可以根据磋商情况书面退出磋商。 </w:t>
      </w:r>
    </w:p>
    <w:p w14:paraId="2C3A1E41">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未书面退出磋商的供应商在规定时间内</w:t>
      </w:r>
      <w:r>
        <w:rPr>
          <w:rFonts w:hint="eastAsia" w:ascii="宋体" w:hAnsi="宋体" w:eastAsia="宋体" w:cs="宋体"/>
          <w:color w:val="auto"/>
          <w:sz w:val="21"/>
          <w:szCs w:val="21"/>
          <w:highlight w:val="none"/>
          <w:lang w:eastAsia="zh-CN"/>
        </w:rPr>
        <w:t>线上</w:t>
      </w:r>
      <w:r>
        <w:rPr>
          <w:rFonts w:hint="eastAsia" w:ascii="宋体" w:hAnsi="宋体" w:eastAsia="宋体" w:cs="宋体"/>
          <w:color w:val="auto"/>
          <w:sz w:val="21"/>
          <w:szCs w:val="21"/>
          <w:highlight w:val="none"/>
        </w:rPr>
        <w:t xml:space="preserve">提交最后报价，其最后报价超出采购预算导致已通过评审的响应文件无效的，按供应商在提交响应文件截止时间后撤回响应文件处理。 </w:t>
      </w:r>
    </w:p>
    <w:p w14:paraId="7C814195">
      <w:pPr>
        <w:widowControl/>
        <w:tabs>
          <w:tab w:val="left" w:pos="540"/>
        </w:tabs>
        <w:wordWrap w:val="0"/>
        <w:spacing w:line="360" w:lineRule="exact"/>
        <w:ind w:firstLine="420" w:firstLineChars="200"/>
        <w:jc w:val="left"/>
        <w:rPr>
          <w:rFonts w:hint="eastAsia" w:ascii="宋体" w:hAnsi="宋体" w:cs="Arial"/>
          <w:color w:val="auto"/>
          <w:kern w:val="0"/>
          <w:szCs w:val="21"/>
          <w:highlight w:val="none"/>
        </w:rPr>
      </w:pPr>
      <w:r>
        <w:rPr>
          <w:rFonts w:hint="eastAsia" w:ascii="宋体" w:hAnsi="宋体"/>
          <w:color w:val="auto"/>
          <w:szCs w:val="21"/>
          <w:highlight w:val="none"/>
        </w:rPr>
        <w:t>21.9综合比较与评价</w:t>
      </w:r>
    </w:p>
    <w:p w14:paraId="6D2B0644">
      <w:pPr>
        <w:tabs>
          <w:tab w:val="left" w:pos="1140"/>
        </w:tabs>
        <w:wordWrap w:val="0"/>
        <w:spacing w:line="360" w:lineRule="exact"/>
        <w:ind w:firstLine="420" w:firstLineChars="200"/>
        <w:rPr>
          <w:rFonts w:ascii="宋体" w:hAnsi="宋体"/>
          <w:color w:val="auto"/>
          <w:szCs w:val="21"/>
          <w:highlight w:val="none"/>
        </w:rPr>
      </w:pPr>
      <w:r>
        <w:rPr>
          <w:rFonts w:hint="eastAsia" w:ascii="宋体" w:hAnsi="宋体"/>
          <w:color w:val="auto"/>
          <w:szCs w:val="21"/>
          <w:highlight w:val="none"/>
        </w:rPr>
        <w:t>21.9.1 磋商小组按竞争性磋商文件中规定的评审办法，对资格性审查和符合性审查合格的响应文件进行商务和技术评估，综合比较与评价。</w:t>
      </w:r>
    </w:p>
    <w:p w14:paraId="23F1846B">
      <w:pPr>
        <w:tabs>
          <w:tab w:val="left" w:pos="1140"/>
        </w:tabs>
        <w:wordWrap w:val="0"/>
        <w:spacing w:line="360" w:lineRule="exact"/>
        <w:ind w:firstLine="420" w:firstLineChars="200"/>
        <w:rPr>
          <w:rFonts w:hint="eastAsia" w:ascii="宋体" w:hAnsi="宋体"/>
          <w:color w:val="auto"/>
          <w:szCs w:val="21"/>
          <w:highlight w:val="none"/>
        </w:rPr>
      </w:pPr>
      <w:r>
        <w:rPr>
          <w:rFonts w:ascii="宋体" w:hAnsi="宋体"/>
          <w:color w:val="auto"/>
          <w:szCs w:val="21"/>
          <w:highlight w:val="none"/>
        </w:rPr>
        <w:t>2</w:t>
      </w:r>
      <w:r>
        <w:rPr>
          <w:rFonts w:hint="eastAsia" w:ascii="宋体" w:hAnsi="宋体"/>
          <w:color w:val="auto"/>
          <w:szCs w:val="21"/>
          <w:highlight w:val="none"/>
        </w:rPr>
        <w:t>1.9.2采购代理机构对评审数据进行校对、核对，对畸高、畸低的重大差异评分提示磋商小组复核或书面说明理由。</w:t>
      </w:r>
    </w:p>
    <w:p w14:paraId="74634351">
      <w:pPr>
        <w:tabs>
          <w:tab w:val="left" w:pos="1140"/>
        </w:tabs>
        <w:wordWrap w:val="0"/>
        <w:spacing w:line="36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21.10 在评审过程中出现法律法规和磋商文件均没有明确规定的情形时，由磋商小组现场协商解决，协商不一致的，由全体磋商小组投票表决，以得票率二分之一以上专家的意见为准。</w:t>
      </w:r>
    </w:p>
    <w:p w14:paraId="4BB922B9">
      <w:pPr>
        <w:tabs>
          <w:tab w:val="left" w:pos="1140"/>
        </w:tabs>
        <w:wordWrap w:val="0"/>
        <w:spacing w:line="36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21.11采购代理机构发现磋商小组有明显的违规倾向或歧视现象，或不按评审办法进行，或其他不正常行为的，应当及时制止。如制止无效，应及时向</w:t>
      </w:r>
      <w:r>
        <w:rPr>
          <w:rFonts w:hint="eastAsia" w:ascii="宋体" w:hAnsi="宋体" w:eastAsia="宋体" w:cs="宋体"/>
          <w:color w:val="auto"/>
          <w:sz w:val="21"/>
          <w:szCs w:val="21"/>
          <w:highlight w:val="none"/>
        </w:rPr>
        <w:t>政府采购监督管理机构</w:t>
      </w:r>
      <w:r>
        <w:rPr>
          <w:rFonts w:hint="eastAsia" w:ascii="宋体" w:hAnsi="宋体"/>
          <w:color w:val="auto"/>
          <w:szCs w:val="21"/>
          <w:highlight w:val="none"/>
        </w:rPr>
        <w:t>报告。</w:t>
      </w:r>
    </w:p>
    <w:p w14:paraId="5ED60484">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lang w:eastAsia="zh-CN"/>
        </w:rPr>
      </w:pPr>
      <w:bookmarkStart w:id="109" w:name="_Toc32470"/>
      <w:bookmarkStart w:id="110" w:name="_Toc18722"/>
      <w:r>
        <w:rPr>
          <w:rFonts w:hint="eastAsia" w:ascii="宋体" w:hAnsi="宋体" w:eastAsia="宋体" w:cs="宋体"/>
          <w:color w:val="auto"/>
          <w:sz w:val="21"/>
          <w:szCs w:val="21"/>
          <w:highlight w:val="none"/>
        </w:rPr>
        <w:t xml:space="preserve">22. </w:t>
      </w:r>
      <w:bookmarkEnd w:id="109"/>
      <w:bookmarkEnd w:id="110"/>
      <w:r>
        <w:rPr>
          <w:rFonts w:hint="eastAsia" w:ascii="宋体" w:hAnsi="宋体" w:eastAsia="宋体" w:cs="宋体"/>
          <w:color w:val="auto"/>
          <w:sz w:val="21"/>
          <w:szCs w:val="21"/>
          <w:highlight w:val="none"/>
        </w:rPr>
        <w:t>推荐及确定成交候选供应商原则</w:t>
      </w:r>
    </w:p>
    <w:p w14:paraId="339DD5E1">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22.1</w:t>
      </w:r>
      <w:r>
        <w:rPr>
          <w:rFonts w:hint="eastAsia" w:ascii="宋体" w:hAnsi="宋体"/>
          <w:color w:val="auto"/>
          <w:szCs w:val="21"/>
          <w:highlight w:val="none"/>
        </w:rPr>
        <w:t>磋商小组应当根据综合评分情况，按照评审得分由高到低顺序推荐3名成交候选供应商，并编写评审报告。磋商小组根据评审得分由高到低排列次序，若得分相同时，以评审报价由低到高顺序排列；若得分相同且评审报价相同的，以最后报价由低到高顺序排列；若仍相同的，由磋商小组按照抽签的方式决定排列次序</w:t>
      </w:r>
      <w:r>
        <w:rPr>
          <w:rFonts w:hint="eastAsia" w:ascii="宋体" w:hAnsi="宋体" w:eastAsia="宋体" w:cs="宋体"/>
          <w:color w:val="auto"/>
          <w:sz w:val="21"/>
          <w:szCs w:val="21"/>
          <w:highlight w:val="none"/>
        </w:rPr>
        <w:t>。</w:t>
      </w:r>
    </w:p>
    <w:p w14:paraId="68DC80D5">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22.2</w:t>
      </w:r>
      <w:r>
        <w:rPr>
          <w:rFonts w:hint="eastAsia" w:ascii="宋体" w:hAnsi="宋体"/>
          <w:color w:val="auto"/>
          <w:szCs w:val="21"/>
          <w:highlight w:val="none"/>
        </w:rPr>
        <w:t>采购单位应当确定磋商小组推荐排名第一的成交候选供应商为成交供应商</w:t>
      </w:r>
      <w:r>
        <w:rPr>
          <w:rFonts w:hint="eastAsia" w:ascii="宋体" w:hAnsi="宋体" w:eastAsia="宋体" w:cs="宋体"/>
          <w:color w:val="auto"/>
          <w:sz w:val="21"/>
          <w:szCs w:val="21"/>
          <w:highlight w:val="none"/>
        </w:rPr>
        <w:t>。</w:t>
      </w:r>
    </w:p>
    <w:p w14:paraId="00B934DD">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22.3排名第一的成交候选供应商放弃成交、因不可抗力提出不能履行合同，或因失信行为被取消成交候选</w:t>
      </w:r>
      <w:r>
        <w:rPr>
          <w:rFonts w:hint="eastAsia" w:ascii="宋体" w:hAnsi="宋体" w:cs="宋体"/>
          <w:color w:val="auto"/>
          <w:sz w:val="21"/>
          <w:szCs w:val="21"/>
          <w:highlight w:val="none"/>
          <w:lang w:eastAsia="zh-CN"/>
        </w:rPr>
        <w:t>供应商</w:t>
      </w:r>
      <w:r>
        <w:rPr>
          <w:rFonts w:hint="eastAsia" w:ascii="宋体" w:hAnsi="宋体" w:eastAsia="宋体" w:cs="宋体"/>
          <w:color w:val="auto"/>
          <w:sz w:val="21"/>
          <w:szCs w:val="21"/>
          <w:highlight w:val="none"/>
        </w:rPr>
        <w:t>资格的，采购单位可以确定排名第二的成交候选供应商为成交供应商或重新采购。</w:t>
      </w:r>
    </w:p>
    <w:p w14:paraId="5D575734">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22.4</w:t>
      </w:r>
      <w:r>
        <w:rPr>
          <w:rFonts w:hint="eastAsia" w:ascii="宋体" w:hAnsi="宋体"/>
          <w:color w:val="auto"/>
          <w:szCs w:val="21"/>
          <w:highlight w:val="none"/>
        </w:rPr>
        <w:t>排名第二的成交候选供应商因前款规定的同样原因不能签订合同的，采购单位可以确定排名第三的成交候选</w:t>
      </w:r>
      <w:r>
        <w:rPr>
          <w:rFonts w:hint="eastAsia" w:ascii="宋体" w:hAnsi="宋体"/>
          <w:color w:val="auto"/>
          <w:szCs w:val="21"/>
          <w:highlight w:val="none"/>
          <w:lang w:eastAsia="zh-CN"/>
        </w:rPr>
        <w:t>供应商</w:t>
      </w:r>
      <w:r>
        <w:rPr>
          <w:rFonts w:hint="eastAsia" w:ascii="宋体" w:hAnsi="宋体"/>
          <w:color w:val="auto"/>
          <w:szCs w:val="21"/>
          <w:highlight w:val="none"/>
        </w:rPr>
        <w:t>为成交供应商</w:t>
      </w:r>
      <w:r>
        <w:rPr>
          <w:rFonts w:ascii="宋体" w:hAnsi="宋体"/>
          <w:color w:val="auto"/>
          <w:szCs w:val="21"/>
          <w:highlight w:val="none"/>
        </w:rPr>
        <w:t>或重新采购</w:t>
      </w:r>
      <w:r>
        <w:rPr>
          <w:rFonts w:hint="eastAsia" w:ascii="宋体" w:hAnsi="宋体" w:eastAsia="宋体" w:cs="宋体"/>
          <w:color w:val="auto"/>
          <w:sz w:val="21"/>
          <w:szCs w:val="21"/>
          <w:highlight w:val="none"/>
        </w:rPr>
        <w:t>。</w:t>
      </w:r>
    </w:p>
    <w:p w14:paraId="2CC5E915">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111" w:name="_Toc21715"/>
      <w:bookmarkStart w:id="112" w:name="_Toc15332"/>
      <w:r>
        <w:rPr>
          <w:rFonts w:hint="eastAsia" w:ascii="宋体" w:hAnsi="宋体" w:eastAsia="宋体" w:cs="宋体"/>
          <w:color w:val="auto"/>
          <w:sz w:val="21"/>
          <w:szCs w:val="21"/>
          <w:highlight w:val="none"/>
        </w:rPr>
        <w:t>23. 属于下列情况之一者，响应文件无效</w:t>
      </w:r>
      <w:bookmarkEnd w:id="111"/>
      <w:bookmarkEnd w:id="112"/>
    </w:p>
    <w:p w14:paraId="40F6B7B3">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（1）未按磋商文件规定完整</w:t>
      </w:r>
      <w:r>
        <w:rPr>
          <w:rFonts w:hint="eastAsia" w:ascii="宋体" w:hAnsi="宋体" w:eastAsia="宋体" w:cs="宋体"/>
          <w:color w:val="auto"/>
          <w:sz w:val="21"/>
          <w:szCs w:val="21"/>
          <w:highlight w:val="none"/>
          <w:lang w:val="en-US" w:eastAsia="zh-CN"/>
        </w:rPr>
        <w:t>线上</w:t>
      </w:r>
      <w:r>
        <w:rPr>
          <w:rFonts w:hint="eastAsia" w:ascii="宋体" w:hAnsi="宋体" w:eastAsia="宋体" w:cs="宋体"/>
          <w:color w:val="auto"/>
          <w:sz w:val="21"/>
          <w:szCs w:val="21"/>
          <w:highlight w:val="none"/>
        </w:rPr>
        <w:t>提交响应文件或未按规定要求</w:t>
      </w:r>
      <w:r>
        <w:rPr>
          <w:rFonts w:hint="eastAsia" w:ascii="宋体" w:hAnsi="宋体" w:eastAsia="宋体" w:cs="宋体"/>
          <w:color w:val="auto"/>
          <w:sz w:val="21"/>
          <w:szCs w:val="21"/>
          <w:highlight w:val="none"/>
          <w:lang w:eastAsia="zh-CN"/>
        </w:rPr>
        <w:t>线上</w:t>
      </w:r>
      <w:r>
        <w:rPr>
          <w:rFonts w:hint="eastAsia" w:ascii="宋体" w:hAnsi="宋体" w:eastAsia="宋体" w:cs="宋体"/>
          <w:color w:val="auto"/>
          <w:sz w:val="21"/>
          <w:szCs w:val="21"/>
          <w:highlight w:val="none"/>
        </w:rPr>
        <w:t>签字、</w:t>
      </w:r>
      <w:r>
        <w:rPr>
          <w:rFonts w:hint="eastAsia" w:ascii="宋体" w:hAnsi="宋体" w:eastAsia="宋体" w:cs="宋体"/>
          <w:color w:val="auto"/>
          <w:sz w:val="21"/>
          <w:szCs w:val="21"/>
          <w:highlight w:val="none"/>
          <w:lang w:val="en-US" w:eastAsia="zh-CN"/>
        </w:rPr>
        <w:t>签章</w:t>
      </w:r>
      <w:r>
        <w:rPr>
          <w:rFonts w:hint="eastAsia" w:ascii="宋体" w:hAnsi="宋体" w:eastAsia="宋体" w:cs="宋体"/>
          <w:color w:val="auto"/>
          <w:sz w:val="21"/>
          <w:szCs w:val="21"/>
          <w:highlight w:val="none"/>
        </w:rPr>
        <w:t>的；</w:t>
      </w:r>
    </w:p>
    <w:p w14:paraId="07E2DF52">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（2）不具备磋商文件规定的资格要求的；</w:t>
      </w:r>
    </w:p>
    <w:p w14:paraId="7F9E4FD4">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在进行资格性审查时，磋商小组将进入《国家企业信用信息公示系统》对企业股东及出资等信息进行查询，对存在《中华人民共和国政府采购法实施条例》第十八条第一款情形的，即单位负责人为同一人或者存在直接控股、管理关系的不同供应商，不得参加同一合同项下的政府采购活动，其磋商文件将被视为无效文件；</w:t>
      </w:r>
    </w:p>
    <w:p w14:paraId="329BC7FD">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）响应文件未按磋商文件的内容和要求编制，或提供虚假材料的；</w:t>
      </w:r>
    </w:p>
    <w:p w14:paraId="15D6A8DD">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5</w:t>
      </w:r>
      <w:r>
        <w:rPr>
          <w:rFonts w:hint="eastAsia" w:ascii="宋体" w:hAnsi="宋体" w:eastAsia="宋体" w:cs="宋体"/>
          <w:color w:val="auto"/>
          <w:sz w:val="21"/>
          <w:szCs w:val="21"/>
          <w:highlight w:val="none"/>
        </w:rPr>
        <w:t>）响应文件有效期、质量要求、工期要求不能满足采购文件要求的；</w:t>
      </w:r>
    </w:p>
    <w:p w14:paraId="4BEFD136">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6</w:t>
      </w:r>
      <w:r>
        <w:rPr>
          <w:rFonts w:hint="eastAsia" w:ascii="宋体" w:hAnsi="宋体" w:eastAsia="宋体" w:cs="宋体"/>
          <w:color w:val="auto"/>
          <w:sz w:val="21"/>
          <w:szCs w:val="21"/>
          <w:highlight w:val="none"/>
        </w:rPr>
        <w:t>）供应商未就工程量清单中的所有内容作完整唯一报价的；</w:t>
      </w:r>
    </w:p>
    <w:p w14:paraId="45AC7CA3">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7</w:t>
      </w:r>
      <w:r>
        <w:rPr>
          <w:rFonts w:hint="eastAsia" w:ascii="宋体" w:hAnsi="宋体" w:eastAsia="宋体" w:cs="宋体"/>
          <w:color w:val="auto"/>
          <w:sz w:val="21"/>
          <w:szCs w:val="21"/>
          <w:highlight w:val="none"/>
        </w:rPr>
        <w:t>）未在磋商小组规定的时间内提交响应文件(包括最后报价)的；</w:t>
      </w:r>
    </w:p>
    <w:p w14:paraId="6AD472E5">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8</w:t>
      </w:r>
      <w:r>
        <w:rPr>
          <w:rFonts w:hint="eastAsia" w:ascii="宋体" w:hAnsi="宋体" w:eastAsia="宋体" w:cs="宋体"/>
          <w:color w:val="auto"/>
          <w:sz w:val="21"/>
          <w:szCs w:val="21"/>
          <w:highlight w:val="none"/>
        </w:rPr>
        <w:t>）超越了按照法律法规规定必须获得行政许可或者行政审批的经营范围的；</w:t>
      </w:r>
    </w:p>
    <w:p w14:paraId="7F1B9B62">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9</w:t>
      </w:r>
      <w:r>
        <w:rPr>
          <w:rFonts w:hint="eastAsia" w:ascii="宋体" w:hAnsi="宋体" w:eastAsia="宋体" w:cs="宋体"/>
          <w:color w:val="auto"/>
          <w:sz w:val="21"/>
          <w:szCs w:val="21"/>
          <w:highlight w:val="none"/>
        </w:rPr>
        <w:t>）未满足磋商文件实质性要求的或者响应文件有采购人不能接受的附加条件的；</w:t>
      </w:r>
    </w:p>
    <w:p w14:paraId="4AFB9445">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10</w:t>
      </w:r>
      <w:r>
        <w:rPr>
          <w:rFonts w:hint="eastAsia" w:ascii="宋体" w:hAnsi="宋体" w:eastAsia="宋体" w:cs="宋体"/>
          <w:color w:val="auto"/>
          <w:sz w:val="21"/>
          <w:szCs w:val="21"/>
          <w:highlight w:val="none"/>
        </w:rPr>
        <w:t>）响应文件实质性要求未</w:t>
      </w:r>
      <w:r>
        <w:rPr>
          <w:rFonts w:hint="eastAsia" w:ascii="宋体" w:hAnsi="宋体" w:cs="宋体"/>
          <w:color w:val="auto"/>
          <w:sz w:val="21"/>
          <w:szCs w:val="21"/>
          <w:highlight w:val="none"/>
          <w:lang w:eastAsia="zh-CN"/>
        </w:rPr>
        <w:t>作</w:t>
      </w:r>
      <w:r>
        <w:rPr>
          <w:rFonts w:hint="eastAsia" w:ascii="宋体" w:hAnsi="宋体" w:eastAsia="宋体" w:cs="宋体"/>
          <w:color w:val="auto"/>
          <w:sz w:val="21"/>
          <w:szCs w:val="21"/>
          <w:highlight w:val="none"/>
        </w:rPr>
        <w:t>变动，供应商最后报价高于第一次报价的；</w:t>
      </w:r>
    </w:p>
    <w:p w14:paraId="34B18638">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r>
        <w:rPr>
          <w:rFonts w:hint="eastAsia" w:ascii="宋体" w:hAnsi="宋体" w:eastAsia="宋体" w:cs="宋体"/>
          <w:color w:val="auto"/>
          <w:sz w:val="21"/>
          <w:szCs w:val="21"/>
          <w:highlight w:val="none"/>
          <w:lang w:val="en-US" w:eastAsia="zh-CN"/>
        </w:rPr>
        <w:t>1</w:t>
      </w:r>
      <w:r>
        <w:rPr>
          <w:rFonts w:hint="eastAsia" w:ascii="宋体" w:hAnsi="宋体" w:eastAsia="宋体" w:cs="宋体"/>
          <w:color w:val="auto"/>
          <w:sz w:val="21"/>
          <w:szCs w:val="21"/>
          <w:highlight w:val="none"/>
        </w:rPr>
        <w:t>）不符合</w:t>
      </w:r>
      <w:r>
        <w:rPr>
          <w:rFonts w:hint="eastAsia" w:ascii="宋体" w:hAnsi="宋体" w:cs="宋体"/>
          <w:color w:val="auto"/>
          <w:sz w:val="21"/>
          <w:szCs w:val="21"/>
          <w:highlight w:val="none"/>
          <w:lang w:eastAsia="zh-CN"/>
        </w:rPr>
        <w:t>法律法规</w:t>
      </w:r>
      <w:r>
        <w:rPr>
          <w:rFonts w:hint="eastAsia" w:ascii="宋体" w:hAnsi="宋体" w:eastAsia="宋体" w:cs="宋体"/>
          <w:color w:val="auto"/>
          <w:sz w:val="21"/>
          <w:szCs w:val="21"/>
          <w:highlight w:val="none"/>
        </w:rPr>
        <w:t>和磋商文件规定的其他实质性要求和条件的。</w:t>
      </w:r>
    </w:p>
    <w:p w14:paraId="2A02EF1D">
      <w:pPr>
        <w:pageBreakBefore w:val="0"/>
        <w:widowControl w:val="0"/>
        <w:kinsoku/>
        <w:wordWrap/>
        <w:overflowPunct/>
        <w:topLinePunct w:val="0"/>
        <w:bidi w:val="0"/>
        <w:snapToGrid/>
        <w:spacing w:line="380" w:lineRule="exact"/>
        <w:ind w:left="0" w:leftChars="0" w:firstLine="422" w:firstLineChars="200"/>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供应商有下列情形之一的视为供应商相互串通磋商，响应文件将被视为无效</w:t>
      </w:r>
    </w:p>
    <w:p w14:paraId="3035DEE5">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（1）不同供应商的响应文件由同一单位或者个人编制；或不同供应商报名的IP地址一致的；</w:t>
      </w:r>
    </w:p>
    <w:p w14:paraId="6B280FE9">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（2）不同供应商委托同一单位或者个人办理磋商事宜；</w:t>
      </w:r>
    </w:p>
    <w:p w14:paraId="5D5E30B0">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（3）不同的供应商的响应文件载明的项目管理员为同一个人；</w:t>
      </w:r>
    </w:p>
    <w:p w14:paraId="51D24A59">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（4）不同供应商的响应文件异常一致或竞标报价呈规律性差异；</w:t>
      </w:r>
    </w:p>
    <w:p w14:paraId="7E452D05">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（5）不同供应商的响应文件相互混</w:t>
      </w:r>
      <w:r>
        <w:rPr>
          <w:rFonts w:hint="eastAsia" w:ascii="宋体" w:hAnsi="宋体" w:eastAsia="宋体" w:cs="宋体"/>
          <w:color w:val="auto"/>
          <w:sz w:val="21"/>
          <w:szCs w:val="21"/>
          <w:highlight w:val="none"/>
          <w:lang w:eastAsia="zh-CN"/>
        </w:rPr>
        <w:t>编</w:t>
      </w:r>
      <w:r>
        <w:rPr>
          <w:rFonts w:hint="eastAsia" w:ascii="宋体" w:hAnsi="宋体" w:eastAsia="宋体" w:cs="宋体"/>
          <w:color w:val="auto"/>
          <w:sz w:val="21"/>
          <w:szCs w:val="21"/>
          <w:highlight w:val="none"/>
        </w:rPr>
        <w:t>。</w:t>
      </w:r>
    </w:p>
    <w:p w14:paraId="423C328D">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113" w:name="_Toc27786"/>
      <w:bookmarkStart w:id="114" w:name="_Toc5714"/>
      <w:r>
        <w:rPr>
          <w:rFonts w:hint="eastAsia" w:ascii="宋体" w:hAnsi="宋体" w:eastAsia="宋体" w:cs="宋体"/>
          <w:color w:val="auto"/>
          <w:sz w:val="21"/>
          <w:szCs w:val="21"/>
          <w:highlight w:val="none"/>
        </w:rPr>
        <w:t>24. 出现下列情形之一的，采购人或者采购代理机构应当终止竞争性磋商采购活动，发布项目终止公告并说明原因，重新开展采购活动</w:t>
      </w:r>
      <w:bookmarkEnd w:id="113"/>
      <w:bookmarkEnd w:id="114"/>
    </w:p>
    <w:p w14:paraId="65008FF5">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（1）因情况变化，不再符合规定的竞争性磋商采购方式适用情形的；</w:t>
      </w:r>
    </w:p>
    <w:p w14:paraId="4610EA02">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（2）出现影响采购公正的违法、违规行为的； </w:t>
      </w:r>
    </w:p>
    <w:p w14:paraId="1428518C">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b/>
          <w:bCs/>
          <w:color w:val="auto"/>
          <w:sz w:val="21"/>
          <w:szCs w:val="21"/>
          <w:highlight w:val="none"/>
        </w:rPr>
      </w:pPr>
      <w:r>
        <w:rPr>
          <w:rFonts w:hint="eastAsia" w:ascii="宋体" w:hAnsi="宋体" w:eastAsia="宋体" w:cs="宋体"/>
          <w:color w:val="auto"/>
          <w:sz w:val="21"/>
          <w:szCs w:val="21"/>
          <w:highlight w:val="none"/>
        </w:rPr>
        <w:t>（3）在采购过程中符合竞争要求的供应商或者报价未超过采购预算的供应商不足3家的。</w:t>
      </w:r>
      <w:r>
        <w:rPr>
          <w:rFonts w:hint="eastAsia" w:ascii="宋体" w:hAnsi="宋体" w:eastAsia="宋体" w:cs="宋体"/>
          <w:b/>
          <w:bCs/>
          <w:color w:val="auto"/>
          <w:sz w:val="21"/>
          <w:szCs w:val="21"/>
          <w:highlight w:val="none"/>
        </w:rPr>
        <w:t xml:space="preserve">（除财库〔2014〕214 号《政府采购竞争性磋商采购方式管理暂行办法》第二十一条第三款规定的情形外） </w:t>
      </w:r>
    </w:p>
    <w:p w14:paraId="6BB09513">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115" w:name="_Toc19105"/>
      <w:bookmarkStart w:id="116" w:name="_Toc19910"/>
      <w:r>
        <w:rPr>
          <w:rFonts w:hint="eastAsia" w:ascii="宋体" w:hAnsi="宋体" w:eastAsia="宋体" w:cs="宋体"/>
          <w:color w:val="auto"/>
          <w:sz w:val="21"/>
          <w:szCs w:val="21"/>
          <w:highlight w:val="none"/>
        </w:rPr>
        <w:t>25. 磋商过程的监控</w:t>
      </w:r>
      <w:bookmarkEnd w:id="115"/>
      <w:bookmarkEnd w:id="116"/>
    </w:p>
    <w:p w14:paraId="21A6A686">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本项目磋商过程实行全程录音、录像监控，供应商在磋商过程中所进行的试图影响磋商结果的不公正活动，可能导致其磋商被拒绝。</w:t>
      </w:r>
    </w:p>
    <w:p w14:paraId="57A52DC4">
      <w:pPr>
        <w:pStyle w:val="4"/>
        <w:pageBreakBefore w:val="0"/>
        <w:widowControl w:val="0"/>
        <w:numPr>
          <w:ilvl w:val="0"/>
          <w:numId w:val="3"/>
        </w:numPr>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117" w:name="_Toc14787"/>
      <w:bookmarkStart w:id="118" w:name="_Toc26291"/>
      <w:r>
        <w:rPr>
          <w:rFonts w:hint="eastAsia" w:ascii="宋体" w:hAnsi="宋体" w:eastAsia="宋体" w:cs="宋体"/>
          <w:color w:val="auto"/>
          <w:sz w:val="21"/>
          <w:szCs w:val="21"/>
          <w:highlight w:val="none"/>
        </w:rPr>
        <w:t>信用查询</w:t>
      </w:r>
      <w:bookmarkEnd w:id="117"/>
      <w:bookmarkEnd w:id="118"/>
    </w:p>
    <w:p w14:paraId="7E3A0EDE">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根据《关于做好政府采购有关信用主体标识码登记及在政府采购活动中查询使用信用记录有关问题的通知》（桂财采〔2016〕37），由采购代理机构对第一成交候选人进行信用查询：</w:t>
      </w:r>
    </w:p>
    <w:p w14:paraId="3238DE30">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⑴查询渠道：“信用中国”网站(www.creditchina.gov.cn)、中国政府采购网(www.ccgp.gov.cn)等；</w:t>
      </w:r>
    </w:p>
    <w:p w14:paraId="1B00E4EC">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⑵查询时间：成交通知书发出前；</w:t>
      </w:r>
    </w:p>
    <w:p w14:paraId="612D5109">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⑶信用信息查询记录和证据留存方式：在查询网站中直接打印查询记录，打印材料作为采购活动资料保存；</w:t>
      </w:r>
    </w:p>
    <w:p w14:paraId="0B13F59F">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⑷信用信息使用规则：对在“信用中国”网站(www.creditchina.gov.cn)、中国政府采购网(www.ccgp.gov.cn)等渠道列入失信被执行人、重大税收违法案件当事人名单、政府采购严重违法失信行为记录名单及其他不符合《中华人民共和国政府采购法》第二十二条规定条件的供应商，取消其成交候选人资格。采购人依法按照评审报告中磋商小组推荐成交候选人排序表确定排名第二的成交候选人为成交供应商或者重新组织采购。</w:t>
      </w:r>
    </w:p>
    <w:p w14:paraId="4D8C421A">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119" w:name="_Toc25468"/>
      <w:bookmarkStart w:id="120" w:name="_Toc9438"/>
      <w:r>
        <w:rPr>
          <w:rFonts w:hint="eastAsia" w:ascii="宋体" w:hAnsi="宋体" w:eastAsia="宋体" w:cs="宋体"/>
          <w:color w:val="auto"/>
          <w:sz w:val="21"/>
          <w:szCs w:val="21"/>
          <w:highlight w:val="none"/>
        </w:rPr>
        <w:t>27. 成交结果公告及成交通知书</w:t>
      </w:r>
      <w:bookmarkEnd w:id="119"/>
      <w:bookmarkEnd w:id="120"/>
    </w:p>
    <w:p w14:paraId="15CB2190">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27.1 采购代理机构于</w:t>
      </w:r>
      <w:r>
        <w:rPr>
          <w:rFonts w:hint="eastAsia" w:ascii="宋体" w:hAnsi="宋体" w:cs="宋体"/>
          <w:color w:val="auto"/>
          <w:sz w:val="21"/>
          <w:szCs w:val="21"/>
          <w:highlight w:val="none"/>
          <w:lang w:eastAsia="zh-CN"/>
        </w:rPr>
        <w:t>评审</w:t>
      </w:r>
      <w:r>
        <w:rPr>
          <w:rFonts w:hint="eastAsia" w:ascii="宋体" w:hAnsi="宋体" w:eastAsia="宋体" w:cs="宋体"/>
          <w:color w:val="auto"/>
          <w:sz w:val="21"/>
          <w:szCs w:val="21"/>
          <w:highlight w:val="none"/>
        </w:rPr>
        <w:t>结束后两个工作日内将评审报告送交采购人，采购人应当自收到评审报告五个工作日内在评审报告推荐的成交候选</w:t>
      </w:r>
      <w:r>
        <w:rPr>
          <w:rFonts w:hint="eastAsia" w:ascii="宋体" w:hAnsi="宋体" w:cs="宋体"/>
          <w:color w:val="auto"/>
          <w:sz w:val="21"/>
          <w:szCs w:val="21"/>
          <w:highlight w:val="none"/>
          <w:lang w:eastAsia="zh-CN"/>
        </w:rPr>
        <w:t>供应商</w:t>
      </w:r>
      <w:r>
        <w:rPr>
          <w:rFonts w:hint="eastAsia" w:ascii="宋体" w:hAnsi="宋体" w:eastAsia="宋体" w:cs="宋体"/>
          <w:color w:val="auto"/>
          <w:sz w:val="21"/>
          <w:szCs w:val="21"/>
          <w:highlight w:val="none"/>
        </w:rPr>
        <w:t>中按顺序确定成交供应商，采购代理机构在成交供应商确定之日起两个工作日内发出成交通知书，并在指定媒体上公告成交信息。</w:t>
      </w:r>
    </w:p>
    <w:p w14:paraId="093FDA68">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27.2 在发布成交公告的同时，采购代理机构向成交供应商发出成交通知书。成交供应商自接到通知之日起七个工作日内，办理成交通知书领取手续。</w:t>
      </w:r>
    </w:p>
    <w:p w14:paraId="3BFC6C8C">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27.3 采购代理机构无义务向未成交的供应商解释未成交原因和退还响应文件。</w:t>
      </w:r>
    </w:p>
    <w:p w14:paraId="42AD85E1">
      <w:pPr>
        <w:pStyle w:val="3"/>
        <w:keepNext/>
        <w:keepLines/>
        <w:pageBreakBefore w:val="0"/>
        <w:widowControl w:val="0"/>
        <w:tabs>
          <w:tab w:val="left" w:pos="567"/>
        </w:tabs>
        <w:kinsoku/>
        <w:wordWrap/>
        <w:overflowPunct/>
        <w:topLinePunct w:val="0"/>
        <w:autoSpaceDE/>
        <w:autoSpaceDN/>
        <w:bidi w:val="0"/>
        <w:adjustRightInd/>
        <w:snapToGrid/>
        <w:spacing w:before="0" w:after="0" w:line="380" w:lineRule="exact"/>
        <w:ind w:left="0" w:leftChars="0"/>
        <w:jc w:val="center"/>
        <w:textAlignment w:val="auto"/>
        <w:rPr>
          <w:rFonts w:hint="eastAsia" w:ascii="宋体" w:hAnsi="宋体" w:eastAsia="宋体" w:cs="宋体"/>
          <w:b/>
          <w:bCs w:val="0"/>
          <w:color w:val="auto"/>
          <w:sz w:val="21"/>
          <w:szCs w:val="21"/>
          <w:highlight w:val="none"/>
        </w:rPr>
      </w:pPr>
      <w:bookmarkStart w:id="121" w:name="_Toc24102"/>
      <w:bookmarkStart w:id="122" w:name="_Toc25593"/>
      <w:bookmarkStart w:id="123" w:name="_Toc6064"/>
    </w:p>
    <w:p w14:paraId="2B4D4682">
      <w:pPr>
        <w:pStyle w:val="3"/>
        <w:keepNext/>
        <w:keepLines/>
        <w:pageBreakBefore w:val="0"/>
        <w:widowControl w:val="0"/>
        <w:tabs>
          <w:tab w:val="left" w:pos="567"/>
        </w:tabs>
        <w:kinsoku/>
        <w:wordWrap/>
        <w:overflowPunct/>
        <w:topLinePunct w:val="0"/>
        <w:autoSpaceDE/>
        <w:autoSpaceDN/>
        <w:bidi w:val="0"/>
        <w:adjustRightInd/>
        <w:snapToGrid/>
        <w:spacing w:before="0" w:after="0" w:line="380" w:lineRule="exact"/>
        <w:ind w:left="0" w:leftChars="0"/>
        <w:jc w:val="center"/>
        <w:textAlignment w:val="auto"/>
        <w:rPr>
          <w:rFonts w:hint="eastAsia" w:ascii="宋体" w:hAnsi="宋体" w:eastAsia="宋体" w:cs="宋体"/>
          <w:b/>
          <w:bCs w:val="0"/>
          <w:color w:val="auto"/>
          <w:sz w:val="21"/>
          <w:szCs w:val="21"/>
          <w:highlight w:val="none"/>
        </w:rPr>
      </w:pPr>
      <w:r>
        <w:rPr>
          <w:rFonts w:hint="eastAsia" w:ascii="宋体" w:hAnsi="宋体" w:eastAsia="宋体" w:cs="宋体"/>
          <w:b/>
          <w:bCs w:val="0"/>
          <w:color w:val="auto"/>
          <w:sz w:val="21"/>
          <w:szCs w:val="21"/>
          <w:highlight w:val="none"/>
        </w:rPr>
        <w:t>五、签订合同</w:t>
      </w:r>
      <w:bookmarkEnd w:id="121"/>
      <w:bookmarkEnd w:id="122"/>
      <w:bookmarkEnd w:id="123"/>
    </w:p>
    <w:p w14:paraId="22A37B32">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124" w:name="_Toc1032"/>
      <w:bookmarkStart w:id="125" w:name="_Toc26520"/>
      <w:r>
        <w:rPr>
          <w:rFonts w:hint="eastAsia" w:ascii="宋体" w:hAnsi="宋体" w:eastAsia="宋体" w:cs="宋体"/>
          <w:color w:val="auto"/>
          <w:sz w:val="21"/>
          <w:szCs w:val="21"/>
          <w:highlight w:val="none"/>
        </w:rPr>
        <w:t>28. 履约保证金</w:t>
      </w:r>
      <w:bookmarkEnd w:id="124"/>
      <w:bookmarkEnd w:id="125"/>
    </w:p>
    <w:p w14:paraId="7C19ADB8">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bookmarkStart w:id="126" w:name="_Toc4956"/>
      <w:bookmarkStart w:id="127" w:name="_Toc22004"/>
      <w:r>
        <w:rPr>
          <w:rFonts w:hint="eastAsia" w:ascii="宋体" w:hAnsi="宋体"/>
          <w:bCs/>
          <w:color w:val="auto"/>
          <w:szCs w:val="21"/>
          <w:highlight w:val="none"/>
        </w:rPr>
        <w:t>根据《桂林市财政局关于贯彻落实政府采购优化营商环境百日攻坚行动方案的通知》（市财采〔2020〕24号）第四条的规定，本项目免收履约保证金</w:t>
      </w:r>
      <w:r>
        <w:rPr>
          <w:rFonts w:hint="eastAsia" w:ascii="宋体" w:hAnsi="宋体" w:eastAsia="宋体" w:cs="宋体"/>
          <w:color w:val="auto"/>
          <w:sz w:val="21"/>
          <w:szCs w:val="21"/>
          <w:highlight w:val="none"/>
        </w:rPr>
        <w:t>。</w:t>
      </w:r>
    </w:p>
    <w:p w14:paraId="7D5109A3">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29. 签订合同</w:t>
      </w:r>
      <w:bookmarkEnd w:id="126"/>
      <w:bookmarkEnd w:id="127"/>
    </w:p>
    <w:p w14:paraId="581DC6CC">
      <w:pPr>
        <w:pageBreakBefore w:val="0"/>
        <w:widowControl w:val="0"/>
        <w:kinsoku/>
        <w:wordWrap/>
        <w:overflowPunct/>
        <w:topLinePunct w:val="0"/>
        <w:bidi w:val="0"/>
        <w:snapToGrid/>
        <w:spacing w:line="380" w:lineRule="exact"/>
        <w:ind w:left="0" w:leftChars="0" w:firstLine="422" w:firstLineChars="200"/>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29.1 签订合同时间：</w:t>
      </w:r>
      <w:r>
        <w:rPr>
          <w:rFonts w:hint="eastAsia" w:ascii="宋体" w:hAnsi="宋体" w:eastAsia="宋体" w:cs="宋体"/>
          <w:b/>
          <w:bCs/>
          <w:color w:val="auto"/>
          <w:sz w:val="21"/>
          <w:szCs w:val="21"/>
          <w:highlight w:val="none"/>
          <w:lang w:eastAsia="zh-CN"/>
        </w:rPr>
        <w:t>成交通知书</w:t>
      </w:r>
      <w:r>
        <w:rPr>
          <w:rFonts w:hint="eastAsia" w:ascii="宋体" w:hAnsi="宋体" w:eastAsia="宋体" w:cs="宋体"/>
          <w:b/>
          <w:bCs/>
          <w:color w:val="auto"/>
          <w:sz w:val="21"/>
          <w:szCs w:val="21"/>
          <w:highlight w:val="none"/>
        </w:rPr>
        <w:t>发出之日起8个工作日内签订合同。成交供应商领取成交通知书后，应按规定与采购人签订合同。</w:t>
      </w:r>
    </w:p>
    <w:p w14:paraId="290E62F5">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29.2 如成交供应商有下列情形之一的，情节严重的，由财政部门将其列入不良行为记录名单，在一至三年内禁止参加政府采购活动，并予以通报。采购代理机构可从磋商小组推荐的成交候选人中按顺序重新确定成交供应商或重新组织采购。拒绝签订政府采购合同的成交供应商不得参加对该项目重新开展的采购活动。</w:t>
      </w:r>
    </w:p>
    <w:p w14:paraId="2F89E9D6">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（1）成交后不与采购人签订合同的（不可抗力除外）；</w:t>
      </w:r>
    </w:p>
    <w:p w14:paraId="28B4F475">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（2）将成交项目转让给他人，或者在响应文件中未说明，且未经采购人同意，将成交项目分包给他人的；</w:t>
      </w:r>
    </w:p>
    <w:p w14:paraId="57C6E538">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（3）拒绝履行合同义务的。</w:t>
      </w:r>
    </w:p>
    <w:p w14:paraId="5A67E210">
      <w:pPr>
        <w:pageBreakBefore w:val="0"/>
        <w:widowControl w:val="0"/>
        <w:kinsoku/>
        <w:wordWrap/>
        <w:overflowPunct/>
        <w:topLinePunct w:val="0"/>
        <w:bidi w:val="0"/>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29.3 合同备案存档：政府采购合同双方自签订之日起一个工作日内将合同原件</w:t>
      </w:r>
      <w:r>
        <w:rPr>
          <w:rFonts w:hint="eastAsia" w:ascii="宋体" w:hAnsi="宋体" w:cs="宋体"/>
          <w:color w:val="auto"/>
          <w:sz w:val="21"/>
          <w:szCs w:val="21"/>
          <w:highlight w:val="none"/>
          <w:lang w:eastAsia="zh-CN"/>
        </w:rPr>
        <w:t>两</w:t>
      </w:r>
      <w:r>
        <w:rPr>
          <w:rFonts w:hint="eastAsia" w:ascii="宋体" w:hAnsi="宋体" w:eastAsia="宋体" w:cs="宋体"/>
          <w:color w:val="auto"/>
          <w:sz w:val="21"/>
          <w:szCs w:val="21"/>
          <w:highlight w:val="none"/>
        </w:rPr>
        <w:t>份交采购代理机构，采购代理机构将政府采购合同在省级以上人民政府财政部门指定媒体上公告。采购人于合同签订之日起七个工作日内将一份合同原件送本级财政部门备案，一份由</w:t>
      </w:r>
      <w:r>
        <w:rPr>
          <w:rFonts w:hint="eastAsia" w:ascii="宋体" w:hAnsi="宋体" w:cs="宋体"/>
          <w:color w:val="auto"/>
          <w:sz w:val="21"/>
          <w:szCs w:val="21"/>
          <w:highlight w:val="none"/>
          <w:lang w:eastAsia="zh-CN"/>
        </w:rPr>
        <w:t>广西高质建设管理咨询有限公司</w:t>
      </w:r>
      <w:r>
        <w:rPr>
          <w:rFonts w:hint="eastAsia" w:ascii="宋体" w:hAnsi="宋体" w:eastAsia="宋体" w:cs="宋体"/>
          <w:color w:val="auto"/>
          <w:sz w:val="21"/>
          <w:szCs w:val="21"/>
          <w:highlight w:val="none"/>
        </w:rPr>
        <w:t>存档。</w:t>
      </w:r>
    </w:p>
    <w:p w14:paraId="2514400A">
      <w:pPr>
        <w:pStyle w:val="3"/>
        <w:keepNext/>
        <w:keepLines/>
        <w:pageBreakBefore w:val="0"/>
        <w:widowControl w:val="0"/>
        <w:tabs>
          <w:tab w:val="left" w:pos="567"/>
        </w:tabs>
        <w:kinsoku/>
        <w:wordWrap/>
        <w:overflowPunct/>
        <w:topLinePunct w:val="0"/>
        <w:autoSpaceDE/>
        <w:autoSpaceDN/>
        <w:bidi w:val="0"/>
        <w:adjustRightInd/>
        <w:snapToGrid/>
        <w:spacing w:before="0" w:after="0" w:line="380" w:lineRule="exact"/>
        <w:ind w:left="0" w:leftChars="0"/>
        <w:jc w:val="center"/>
        <w:textAlignment w:val="auto"/>
        <w:rPr>
          <w:rFonts w:hint="eastAsia" w:ascii="宋体" w:hAnsi="宋体" w:eastAsia="宋体" w:cs="宋体"/>
          <w:b/>
          <w:bCs w:val="0"/>
          <w:color w:val="auto"/>
          <w:sz w:val="21"/>
          <w:szCs w:val="21"/>
          <w:highlight w:val="none"/>
        </w:rPr>
      </w:pPr>
      <w:bookmarkStart w:id="128" w:name="_Toc16348"/>
      <w:bookmarkStart w:id="129" w:name="_Toc26986"/>
      <w:bookmarkStart w:id="130" w:name="_Toc17898"/>
    </w:p>
    <w:p w14:paraId="4FDAE08E">
      <w:pPr>
        <w:pStyle w:val="3"/>
        <w:keepNext/>
        <w:keepLines/>
        <w:pageBreakBefore w:val="0"/>
        <w:widowControl w:val="0"/>
        <w:tabs>
          <w:tab w:val="left" w:pos="567"/>
        </w:tabs>
        <w:kinsoku/>
        <w:wordWrap/>
        <w:overflowPunct/>
        <w:topLinePunct w:val="0"/>
        <w:autoSpaceDE/>
        <w:autoSpaceDN/>
        <w:bidi w:val="0"/>
        <w:adjustRightInd/>
        <w:snapToGrid/>
        <w:spacing w:before="0" w:after="0" w:line="380" w:lineRule="exact"/>
        <w:ind w:left="0" w:leftChars="0"/>
        <w:jc w:val="center"/>
        <w:textAlignment w:val="auto"/>
        <w:rPr>
          <w:rFonts w:hint="eastAsia" w:ascii="宋体" w:hAnsi="宋体" w:eastAsia="宋体" w:cs="宋体"/>
          <w:b/>
          <w:bCs w:val="0"/>
          <w:color w:val="auto"/>
          <w:sz w:val="21"/>
          <w:szCs w:val="21"/>
          <w:highlight w:val="none"/>
        </w:rPr>
      </w:pPr>
      <w:r>
        <w:rPr>
          <w:rFonts w:hint="eastAsia" w:ascii="宋体" w:hAnsi="宋体" w:eastAsia="宋体" w:cs="宋体"/>
          <w:b/>
          <w:bCs w:val="0"/>
          <w:color w:val="auto"/>
          <w:sz w:val="21"/>
          <w:szCs w:val="21"/>
          <w:highlight w:val="none"/>
        </w:rPr>
        <w:t>六、其他事项</w:t>
      </w:r>
      <w:bookmarkEnd w:id="128"/>
      <w:bookmarkEnd w:id="129"/>
      <w:bookmarkEnd w:id="130"/>
    </w:p>
    <w:p w14:paraId="5D56E00B">
      <w:pPr>
        <w:pStyle w:val="4"/>
        <w:pageBreakBefore w:val="0"/>
        <w:widowControl w:val="0"/>
        <w:kinsoku/>
        <w:wordWrap/>
        <w:overflowPunct/>
        <w:topLinePunct w:val="0"/>
        <w:bidi w:val="0"/>
        <w:snapToGrid/>
        <w:spacing w:before="0" w:after="0" w:line="380" w:lineRule="exact"/>
        <w:ind w:left="0" w:leftChars="0" w:firstLine="422" w:firstLineChars="200"/>
        <w:textAlignment w:val="auto"/>
        <w:rPr>
          <w:rFonts w:hint="eastAsia" w:ascii="宋体" w:hAnsi="宋体" w:eastAsia="宋体" w:cs="宋体"/>
          <w:color w:val="auto"/>
          <w:sz w:val="21"/>
          <w:szCs w:val="21"/>
          <w:highlight w:val="none"/>
        </w:rPr>
      </w:pPr>
      <w:bookmarkStart w:id="131" w:name="_Toc28647"/>
      <w:bookmarkStart w:id="132" w:name="_Toc29572"/>
      <w:r>
        <w:rPr>
          <w:rFonts w:hint="eastAsia" w:ascii="宋体" w:hAnsi="宋体" w:eastAsia="宋体" w:cs="宋体"/>
          <w:color w:val="auto"/>
          <w:sz w:val="21"/>
          <w:szCs w:val="21"/>
          <w:highlight w:val="none"/>
        </w:rPr>
        <w:t>30. 采购代理服务费</w:t>
      </w:r>
      <w:bookmarkEnd w:id="131"/>
      <w:bookmarkEnd w:id="132"/>
    </w:p>
    <w:p w14:paraId="7266A8F8">
      <w:pPr>
        <w:pageBreakBefore w:val="0"/>
        <w:widowControl w:val="0"/>
        <w:kinsoku/>
        <w:wordWrap/>
        <w:overflowPunct/>
        <w:topLinePunct w:val="0"/>
        <w:bidi w:val="0"/>
        <w:snapToGrid/>
        <w:spacing w:line="380" w:lineRule="exact"/>
        <w:ind w:left="0" w:leftChars="0" w:firstLine="420"/>
        <w:textAlignment w:val="auto"/>
        <w:rPr>
          <w:rFonts w:hint="eastAsia" w:ascii="宋体" w:hAnsi="宋体" w:eastAsia="宋体" w:cs="宋体"/>
          <w:color w:val="auto"/>
          <w:sz w:val="21"/>
          <w:szCs w:val="21"/>
          <w:highlight w:val="none"/>
        </w:rPr>
      </w:pPr>
      <w:bookmarkStart w:id="133" w:name="_Toc12374"/>
      <w:r>
        <w:rPr>
          <w:rFonts w:hint="eastAsia" w:ascii="宋体" w:hAnsi="宋体" w:eastAsia="宋体" w:cs="宋体"/>
          <w:color w:val="auto"/>
          <w:sz w:val="21"/>
          <w:szCs w:val="21"/>
          <w:highlight w:val="none"/>
          <w:lang w:val="en-US" w:eastAsia="zh-CN"/>
        </w:rPr>
        <w:t>30.1</w:t>
      </w:r>
      <w:r>
        <w:rPr>
          <w:rFonts w:hint="eastAsia" w:ascii="宋体" w:hAnsi="宋体" w:eastAsia="宋体" w:cs="宋体"/>
          <w:color w:val="auto"/>
          <w:sz w:val="21"/>
          <w:szCs w:val="21"/>
          <w:highlight w:val="none"/>
        </w:rPr>
        <w:t>成交供应商领取成交通知书前，向</w:t>
      </w:r>
      <w:r>
        <w:rPr>
          <w:rFonts w:hint="eastAsia" w:ascii="宋体" w:hAnsi="宋体" w:cs="宋体"/>
          <w:color w:val="auto"/>
          <w:sz w:val="21"/>
          <w:szCs w:val="21"/>
          <w:highlight w:val="none"/>
          <w:lang w:eastAsia="zh-CN"/>
        </w:rPr>
        <w:t>广西高质建设管理咨询有限公司</w:t>
      </w:r>
      <w:r>
        <w:rPr>
          <w:rFonts w:hint="eastAsia" w:ascii="宋体" w:hAnsi="宋体" w:eastAsia="宋体" w:cs="宋体"/>
          <w:color w:val="auto"/>
          <w:sz w:val="21"/>
          <w:szCs w:val="21"/>
          <w:highlight w:val="none"/>
        </w:rPr>
        <w:t>一次性付清代理服务费。本项目招标代理服务收费标准参照计价格</w:t>
      </w:r>
      <w:r>
        <w:rPr>
          <w:rFonts w:hint="eastAsia" w:ascii="宋体" w:hAnsi="宋体" w:cs="宋体"/>
          <w:color w:val="auto"/>
          <w:sz w:val="21"/>
          <w:szCs w:val="21"/>
          <w:highlight w:val="none"/>
          <w:lang w:eastAsia="zh-CN"/>
        </w:rPr>
        <w:t>〔2002〕1980号</w:t>
      </w:r>
      <w:r>
        <w:rPr>
          <w:rFonts w:hint="eastAsia" w:ascii="宋体" w:hAnsi="宋体" w:eastAsia="宋体" w:cs="宋体"/>
          <w:color w:val="auto"/>
          <w:sz w:val="21"/>
          <w:szCs w:val="21"/>
          <w:highlight w:val="none"/>
        </w:rPr>
        <w:t>《招标代理服务收费管理暂行办法》</w:t>
      </w:r>
      <w:r>
        <w:rPr>
          <w:rFonts w:hint="eastAsia" w:ascii="宋体" w:hAnsi="宋体" w:eastAsia="宋体" w:cs="宋体"/>
          <w:color w:val="auto"/>
          <w:sz w:val="21"/>
          <w:szCs w:val="21"/>
          <w:highlight w:val="none"/>
          <w:lang w:eastAsia="zh-CN"/>
        </w:rPr>
        <w:t>工程</w:t>
      </w:r>
      <w:r>
        <w:rPr>
          <w:rFonts w:hint="eastAsia" w:ascii="宋体" w:hAnsi="宋体" w:eastAsia="宋体" w:cs="宋体"/>
          <w:color w:val="auto"/>
          <w:sz w:val="21"/>
          <w:szCs w:val="21"/>
          <w:highlight w:val="none"/>
        </w:rPr>
        <w:t>类收费标准向</w:t>
      </w:r>
      <w:r>
        <w:rPr>
          <w:rFonts w:hint="eastAsia" w:ascii="宋体" w:hAnsi="宋体" w:eastAsia="宋体" w:cs="宋体"/>
          <w:color w:val="auto"/>
          <w:sz w:val="21"/>
          <w:szCs w:val="21"/>
          <w:highlight w:val="none"/>
          <w:lang w:eastAsia="zh-CN"/>
        </w:rPr>
        <w:t>成交供应商</w:t>
      </w:r>
      <w:r>
        <w:rPr>
          <w:rFonts w:hint="eastAsia" w:ascii="宋体" w:hAnsi="宋体" w:eastAsia="宋体" w:cs="宋体"/>
          <w:color w:val="auto"/>
          <w:sz w:val="21"/>
          <w:szCs w:val="21"/>
          <w:highlight w:val="none"/>
        </w:rPr>
        <w:t>收取（不足人民币</w:t>
      </w:r>
      <w:r>
        <w:rPr>
          <w:rFonts w:hint="eastAsia" w:ascii="宋体" w:hAnsi="宋体" w:eastAsia="宋体" w:cs="宋体"/>
          <w:color w:val="auto"/>
          <w:sz w:val="21"/>
          <w:szCs w:val="21"/>
          <w:highlight w:val="none"/>
          <w:lang w:val="en-US" w:eastAsia="zh-CN"/>
        </w:rPr>
        <w:t>5</w:t>
      </w:r>
      <w:r>
        <w:rPr>
          <w:rFonts w:hint="eastAsia" w:ascii="宋体" w:hAnsi="宋体" w:eastAsia="宋体" w:cs="宋体"/>
          <w:color w:val="auto"/>
          <w:sz w:val="21"/>
          <w:szCs w:val="21"/>
          <w:highlight w:val="none"/>
        </w:rPr>
        <w:t>000元的，按</w:t>
      </w:r>
      <w:r>
        <w:rPr>
          <w:rFonts w:hint="eastAsia" w:ascii="宋体" w:hAnsi="宋体" w:eastAsia="宋体" w:cs="宋体"/>
          <w:color w:val="auto"/>
          <w:sz w:val="21"/>
          <w:szCs w:val="21"/>
          <w:highlight w:val="none"/>
          <w:lang w:val="en-US" w:eastAsia="zh-CN"/>
        </w:rPr>
        <w:t>5</w:t>
      </w:r>
      <w:r>
        <w:rPr>
          <w:rFonts w:hint="eastAsia" w:ascii="宋体" w:hAnsi="宋体" w:eastAsia="宋体" w:cs="宋体"/>
          <w:color w:val="auto"/>
          <w:sz w:val="21"/>
          <w:szCs w:val="21"/>
          <w:highlight w:val="none"/>
        </w:rPr>
        <w:t>000元支付）。</w:t>
      </w:r>
    </w:p>
    <w:tbl>
      <w:tblPr>
        <w:tblStyle w:val="18"/>
        <w:tblW w:w="9006" w:type="dxa"/>
        <w:tblInd w:w="2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0"/>
        <w:gridCol w:w="1841"/>
        <w:gridCol w:w="1992"/>
        <w:gridCol w:w="2293"/>
      </w:tblGrid>
      <w:tr w14:paraId="2DA2C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2880" w:type="dxa"/>
            <w:vAlign w:val="top"/>
          </w:tcPr>
          <w:p w14:paraId="5205CCDC">
            <w:pPr>
              <w:pageBreakBefore w:val="0"/>
              <w:widowControl w:val="0"/>
              <w:kinsoku/>
              <w:wordWrap/>
              <w:overflowPunct/>
              <w:topLinePunct w:val="0"/>
              <w:bidi w:val="0"/>
              <w:snapToGrid/>
              <w:spacing w:before="0" w:after="0" w:line="380" w:lineRule="exact"/>
              <w:ind w:left="0" w:leftChars="0" w:firstLine="0" w:firstLineChars="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mc:AlternateContent>
                <mc:Choice Requires="wps">
                  <w:drawing>
                    <wp:anchor distT="0" distB="0" distL="114300" distR="114300" simplePos="0" relativeHeight="251660288" behindDoc="0" locked="0" layoutInCell="1" allowOverlap="1">
                      <wp:simplePos x="0" y="0"/>
                      <wp:positionH relativeFrom="column">
                        <wp:posOffset>296545</wp:posOffset>
                      </wp:positionH>
                      <wp:positionV relativeFrom="paragraph">
                        <wp:posOffset>10795</wp:posOffset>
                      </wp:positionV>
                      <wp:extent cx="1463675" cy="653415"/>
                      <wp:effectExtent l="1905" t="4445" r="20320" b="8890"/>
                      <wp:wrapNone/>
                      <wp:docPr id="1026" name="直接连接符 1026"/>
                      <wp:cNvGraphicFramePr/>
                      <a:graphic xmlns:a="http://schemas.openxmlformats.org/drawingml/2006/main">
                        <a:graphicData uri="http://schemas.microsoft.com/office/word/2010/wordprocessingShape">
                          <wps:wsp>
                            <wps:cNvCnPr/>
                            <wps:spPr>
                              <a:xfrm>
                                <a:off x="0" y="0"/>
                                <a:ext cx="1463675" cy="653415"/>
                              </a:xfrm>
                              <a:prstGeom prst="line">
                                <a:avLst/>
                              </a:prstGeom>
                              <a:ln w="9525" cap="flat" cmpd="sng">
                                <a:solidFill>
                                  <a:srgbClr val="000000"/>
                                </a:solidFill>
                                <a:prstDash val="solid"/>
                                <a:round/>
                                <a:headEnd type="none" w="med" len="med"/>
                                <a:tailEnd type="none" w="med" len="med"/>
                              </a:ln>
                              <a:effectLst/>
                            </wps:spPr>
                            <wps:bodyPr/>
                          </wps:wsp>
                        </a:graphicData>
                      </a:graphic>
                    </wp:anchor>
                  </w:drawing>
                </mc:Choice>
                <mc:Fallback>
                  <w:pict>
                    <v:line id="_x0000_s1026" o:spid="_x0000_s1026" o:spt="20" style="position:absolute;left:0pt;margin-left:23.35pt;margin-top:0.85pt;height:51.45pt;width:115.25pt;z-index:251660288;mso-width-relative:page;mso-height-relative:page;" filled="f" stroked="t" coordsize="21600,21600" o:gfxdata="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gFTNNYAAAAIAQAADwAAAAAAAAABACAAAAAiAAAAZHJzL2Rvd25yZXYu&#10;eG1sUEsBAhQAFAAAAAgAh07iQDnnG0P9AQAA+wMAAA4AAAAAAAAAAQAgAAAAJQEAAGRycy9lMm9E&#10;b2MueG1sUEsFBgAAAAAGAAYAWQEAAJQFAAAAAA==&#10;">
                      <v:fill on="f" focussize="0,0"/>
                      <v:stroke color="#000000" joinstyle="round"/>
                      <v:imagedata o:title=""/>
                      <o:lock v:ext="edit" aspectratio="f"/>
                    </v:line>
                  </w:pict>
                </mc:Fallback>
              </mc:AlternateContent>
            </w:r>
            <w:r>
              <w:rPr>
                <w:rFonts w:hint="eastAsia" w:ascii="宋体" w:hAnsi="宋体" w:eastAsia="宋体" w:cs="宋体"/>
                <w:color w:val="auto"/>
                <w:sz w:val="21"/>
                <w:szCs w:val="21"/>
                <w:highlight w:val="none"/>
              </w:rPr>
              <w:t>费率           服务类型</w:t>
            </w:r>
          </w:p>
          <w:p w14:paraId="4E5ACD45">
            <w:pPr>
              <w:pageBreakBefore w:val="0"/>
              <w:widowControl w:val="0"/>
              <w:kinsoku/>
              <w:wordWrap/>
              <w:overflowPunct/>
              <w:topLinePunct w:val="0"/>
              <w:bidi w:val="0"/>
              <w:snapToGrid/>
              <w:spacing w:before="0" w:after="0" w:line="380" w:lineRule="exact"/>
              <w:ind w:left="0" w:leftChars="0" w:firstLine="0" w:firstLineChars="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mc:AlternateContent>
                <mc:Choice Requires="wps">
                  <w:drawing>
                    <wp:anchor distT="0" distB="0" distL="114300" distR="114300" simplePos="0" relativeHeight="251661312" behindDoc="0" locked="0" layoutInCell="1" allowOverlap="1">
                      <wp:simplePos x="0" y="0"/>
                      <wp:positionH relativeFrom="column">
                        <wp:posOffset>-68580</wp:posOffset>
                      </wp:positionH>
                      <wp:positionV relativeFrom="paragraph">
                        <wp:posOffset>39370</wp:posOffset>
                      </wp:positionV>
                      <wp:extent cx="1828800" cy="396240"/>
                      <wp:effectExtent l="1270" t="4445" r="17780" b="18415"/>
                      <wp:wrapNone/>
                      <wp:docPr id="1027" name="直接连接符 1027"/>
                      <wp:cNvGraphicFramePr/>
                      <a:graphic xmlns:a="http://schemas.openxmlformats.org/drawingml/2006/main">
                        <a:graphicData uri="http://schemas.microsoft.com/office/word/2010/wordprocessingShape">
                          <wps:wsp>
                            <wps:cNvCnPr/>
                            <wps:spPr>
                              <a:xfrm>
                                <a:off x="0" y="0"/>
                                <a:ext cx="1828800" cy="396239"/>
                              </a:xfrm>
                              <a:prstGeom prst="line">
                                <a:avLst/>
                              </a:prstGeom>
                              <a:ln w="9525" cap="flat" cmpd="sng">
                                <a:solidFill>
                                  <a:srgbClr val="000000"/>
                                </a:solidFill>
                                <a:prstDash val="solid"/>
                                <a:round/>
                                <a:headEnd type="none" w="med" len="med"/>
                                <a:tailEnd type="none" w="med" len="med"/>
                              </a:ln>
                              <a:effectLst/>
                            </wps:spPr>
                            <wps:bodyPr/>
                          </wps:wsp>
                        </a:graphicData>
                      </a:graphic>
                    </wp:anchor>
                  </w:drawing>
                </mc:Choice>
                <mc:Fallback>
                  <w:pict>
                    <v:line id="_x0000_s1026" o:spid="_x0000_s1026" o:spt="20" style="position:absolute;left:0pt;margin-left:-5.4pt;margin-top:3.1pt;height:31.2pt;width:144pt;z-index:251661312;mso-width-relative:page;mso-height-relative:page;" filled="f" stroked="t" coordsize="21600,21600" o:gfxdata="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EAOr0TWAAAACAEAAA8AAAAAAAAAAQAgAAAAIgAAAGRycy9kb3ducmV2&#10;LnhtbFBLAQIUABQAAAAIAIdO4kDL+yLd/gEAAPsDAAAOAAAAAAAAAAEAIAAAACUBAABkcnMvZTJv&#10;RG9jLnhtbFBLBQYAAAAABgAGAFkBAACVBQAAAAA=&#10;">
                      <v:fill on="f" focussize="0,0"/>
                      <v:stroke color="#000000" joinstyle="round"/>
                      <v:imagedata o:title=""/>
                      <o:lock v:ext="edit" aspectratio="f"/>
                    </v:line>
                  </w:pict>
                </mc:Fallback>
              </mc:AlternateContent>
            </w:r>
          </w:p>
          <w:p w14:paraId="315583F6">
            <w:pPr>
              <w:pageBreakBefore w:val="0"/>
              <w:widowControl w:val="0"/>
              <w:kinsoku/>
              <w:wordWrap/>
              <w:overflowPunct/>
              <w:topLinePunct w:val="0"/>
              <w:bidi w:val="0"/>
              <w:snapToGrid/>
              <w:spacing w:before="0" w:after="0" w:line="380" w:lineRule="exact"/>
              <w:ind w:left="0" w:leftChars="0" w:firstLine="0" w:firstLineChars="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中标金额（万元）</w:t>
            </w:r>
          </w:p>
        </w:tc>
        <w:tc>
          <w:tcPr>
            <w:tcW w:w="1841" w:type="dxa"/>
            <w:vAlign w:val="center"/>
          </w:tcPr>
          <w:p w14:paraId="01976CBB">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货物招标</w:t>
            </w:r>
          </w:p>
        </w:tc>
        <w:tc>
          <w:tcPr>
            <w:tcW w:w="1992" w:type="dxa"/>
            <w:vAlign w:val="center"/>
          </w:tcPr>
          <w:p w14:paraId="1D023487">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服务招标</w:t>
            </w:r>
          </w:p>
        </w:tc>
        <w:tc>
          <w:tcPr>
            <w:tcW w:w="2293" w:type="dxa"/>
            <w:vAlign w:val="center"/>
          </w:tcPr>
          <w:p w14:paraId="2BCF564F">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工程招标</w:t>
            </w:r>
          </w:p>
        </w:tc>
      </w:tr>
      <w:tr w14:paraId="5046A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trPr>
        <w:tc>
          <w:tcPr>
            <w:tcW w:w="2880" w:type="dxa"/>
            <w:vAlign w:val="top"/>
          </w:tcPr>
          <w:p w14:paraId="54AEF785">
            <w:pPr>
              <w:pageBreakBefore w:val="0"/>
              <w:widowControl w:val="0"/>
              <w:kinsoku/>
              <w:wordWrap/>
              <w:overflowPunct/>
              <w:topLinePunct w:val="0"/>
              <w:bidi w:val="0"/>
              <w:snapToGrid/>
              <w:spacing w:before="0" w:after="0" w:line="380" w:lineRule="exact"/>
              <w:ind w:left="0" w:leftChars="0" w:firstLine="0" w:firstLineChars="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100以下</w:t>
            </w:r>
          </w:p>
        </w:tc>
        <w:tc>
          <w:tcPr>
            <w:tcW w:w="1841" w:type="dxa"/>
            <w:vAlign w:val="top"/>
          </w:tcPr>
          <w:p w14:paraId="7A6BBABF">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1.5%</w:t>
            </w:r>
          </w:p>
        </w:tc>
        <w:tc>
          <w:tcPr>
            <w:tcW w:w="1992" w:type="dxa"/>
            <w:vAlign w:val="top"/>
          </w:tcPr>
          <w:p w14:paraId="26B4EE8C">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1.5%</w:t>
            </w:r>
          </w:p>
        </w:tc>
        <w:tc>
          <w:tcPr>
            <w:tcW w:w="2293" w:type="dxa"/>
            <w:vAlign w:val="top"/>
          </w:tcPr>
          <w:p w14:paraId="174ECA69">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w:t>
            </w:r>
          </w:p>
        </w:tc>
      </w:tr>
      <w:tr w14:paraId="5E672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 w:hRule="atLeast"/>
        </w:trPr>
        <w:tc>
          <w:tcPr>
            <w:tcW w:w="2880" w:type="dxa"/>
            <w:vAlign w:val="top"/>
          </w:tcPr>
          <w:p w14:paraId="4E9EA853">
            <w:pPr>
              <w:pageBreakBefore w:val="0"/>
              <w:widowControl w:val="0"/>
              <w:kinsoku/>
              <w:wordWrap/>
              <w:overflowPunct/>
              <w:topLinePunct w:val="0"/>
              <w:bidi w:val="0"/>
              <w:snapToGrid/>
              <w:spacing w:before="0" w:after="0" w:line="380" w:lineRule="exact"/>
              <w:ind w:left="0" w:leftChars="0" w:firstLine="0" w:firstLineChars="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100-500</w:t>
            </w:r>
          </w:p>
        </w:tc>
        <w:tc>
          <w:tcPr>
            <w:tcW w:w="1841" w:type="dxa"/>
            <w:vAlign w:val="top"/>
          </w:tcPr>
          <w:p w14:paraId="26687E34">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1.1%</w:t>
            </w:r>
          </w:p>
        </w:tc>
        <w:tc>
          <w:tcPr>
            <w:tcW w:w="1992" w:type="dxa"/>
            <w:vAlign w:val="top"/>
          </w:tcPr>
          <w:p w14:paraId="0E374E07">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0.8%</w:t>
            </w:r>
          </w:p>
        </w:tc>
        <w:tc>
          <w:tcPr>
            <w:tcW w:w="2293" w:type="dxa"/>
            <w:vAlign w:val="top"/>
          </w:tcPr>
          <w:p w14:paraId="156B63F3">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0.7%</w:t>
            </w:r>
          </w:p>
        </w:tc>
      </w:tr>
      <w:tr w14:paraId="63777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trPr>
        <w:tc>
          <w:tcPr>
            <w:tcW w:w="2880" w:type="dxa"/>
            <w:vAlign w:val="top"/>
          </w:tcPr>
          <w:p w14:paraId="7E69CE9E">
            <w:pPr>
              <w:pageBreakBefore w:val="0"/>
              <w:widowControl w:val="0"/>
              <w:kinsoku/>
              <w:wordWrap/>
              <w:overflowPunct/>
              <w:topLinePunct w:val="0"/>
              <w:bidi w:val="0"/>
              <w:snapToGrid/>
              <w:spacing w:before="0" w:after="0" w:line="380" w:lineRule="exact"/>
              <w:ind w:left="0" w:leftChars="0" w:firstLine="0" w:firstLineChars="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500-1000</w:t>
            </w:r>
          </w:p>
        </w:tc>
        <w:tc>
          <w:tcPr>
            <w:tcW w:w="1841" w:type="dxa"/>
            <w:vAlign w:val="top"/>
          </w:tcPr>
          <w:p w14:paraId="7A295B32">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0.8%</w:t>
            </w:r>
          </w:p>
        </w:tc>
        <w:tc>
          <w:tcPr>
            <w:tcW w:w="1992" w:type="dxa"/>
            <w:vAlign w:val="top"/>
          </w:tcPr>
          <w:p w14:paraId="65BFF347">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0.45%</w:t>
            </w:r>
          </w:p>
        </w:tc>
        <w:tc>
          <w:tcPr>
            <w:tcW w:w="2293" w:type="dxa"/>
            <w:vAlign w:val="top"/>
          </w:tcPr>
          <w:p w14:paraId="5FE9888B">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0.55%</w:t>
            </w:r>
          </w:p>
        </w:tc>
      </w:tr>
      <w:tr w14:paraId="5B559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trPr>
        <w:tc>
          <w:tcPr>
            <w:tcW w:w="2880" w:type="dxa"/>
            <w:vAlign w:val="top"/>
          </w:tcPr>
          <w:p w14:paraId="50D4D18B">
            <w:pPr>
              <w:pageBreakBefore w:val="0"/>
              <w:widowControl w:val="0"/>
              <w:kinsoku/>
              <w:wordWrap/>
              <w:overflowPunct/>
              <w:topLinePunct w:val="0"/>
              <w:bidi w:val="0"/>
              <w:snapToGrid/>
              <w:spacing w:before="0" w:after="0" w:line="380" w:lineRule="exact"/>
              <w:ind w:left="0" w:leftChars="0" w:firstLine="0" w:firstLineChars="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1000-5000</w:t>
            </w:r>
          </w:p>
        </w:tc>
        <w:tc>
          <w:tcPr>
            <w:tcW w:w="1841" w:type="dxa"/>
            <w:vAlign w:val="top"/>
          </w:tcPr>
          <w:p w14:paraId="4E6380A1">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0.5%</w:t>
            </w:r>
          </w:p>
        </w:tc>
        <w:tc>
          <w:tcPr>
            <w:tcW w:w="1992" w:type="dxa"/>
            <w:vAlign w:val="top"/>
          </w:tcPr>
          <w:p w14:paraId="0038B36B">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0.25%</w:t>
            </w:r>
          </w:p>
        </w:tc>
        <w:tc>
          <w:tcPr>
            <w:tcW w:w="2293" w:type="dxa"/>
            <w:vAlign w:val="top"/>
          </w:tcPr>
          <w:p w14:paraId="4E93A1F0">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0.35%</w:t>
            </w:r>
          </w:p>
        </w:tc>
      </w:tr>
      <w:tr w14:paraId="78F3C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trPr>
        <w:tc>
          <w:tcPr>
            <w:tcW w:w="2880" w:type="dxa"/>
            <w:vAlign w:val="top"/>
          </w:tcPr>
          <w:p w14:paraId="40CEDB93">
            <w:pPr>
              <w:pageBreakBefore w:val="0"/>
              <w:widowControl w:val="0"/>
              <w:kinsoku/>
              <w:wordWrap/>
              <w:overflowPunct/>
              <w:topLinePunct w:val="0"/>
              <w:bidi w:val="0"/>
              <w:snapToGrid/>
              <w:spacing w:before="0" w:after="0" w:line="380" w:lineRule="exact"/>
              <w:ind w:left="0" w:leftChars="0" w:firstLine="0" w:firstLineChars="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5000-10000</w:t>
            </w:r>
          </w:p>
        </w:tc>
        <w:tc>
          <w:tcPr>
            <w:tcW w:w="1841" w:type="dxa"/>
            <w:vAlign w:val="top"/>
          </w:tcPr>
          <w:p w14:paraId="25765418">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0.25%</w:t>
            </w:r>
          </w:p>
        </w:tc>
        <w:tc>
          <w:tcPr>
            <w:tcW w:w="1992" w:type="dxa"/>
            <w:vAlign w:val="top"/>
          </w:tcPr>
          <w:p w14:paraId="46F275C9">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0.1%</w:t>
            </w:r>
          </w:p>
        </w:tc>
        <w:tc>
          <w:tcPr>
            <w:tcW w:w="2293" w:type="dxa"/>
            <w:vAlign w:val="top"/>
          </w:tcPr>
          <w:p w14:paraId="241AA62A">
            <w:pPr>
              <w:pageBreakBefore w:val="0"/>
              <w:widowControl w:val="0"/>
              <w:kinsoku/>
              <w:wordWrap/>
              <w:overflowPunct/>
              <w:topLinePunct w:val="0"/>
              <w:bidi w:val="0"/>
              <w:snapToGrid/>
              <w:spacing w:before="0" w:after="0" w:line="380" w:lineRule="exact"/>
              <w:ind w:left="0" w:leftChars="0"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0.2%</w:t>
            </w:r>
          </w:p>
        </w:tc>
      </w:tr>
    </w:tbl>
    <w:p w14:paraId="4C2FAC21">
      <w:pPr>
        <w:pageBreakBefore w:val="0"/>
        <w:widowControl w:val="0"/>
        <w:kinsoku/>
        <w:wordWrap/>
        <w:overflowPunct/>
        <w:topLinePunct w:val="0"/>
        <w:bidi w:val="0"/>
        <w:snapToGrid/>
        <w:spacing w:before="0" w:after="0" w:line="380" w:lineRule="exact"/>
        <w:ind w:left="0" w:leftChars="0" w:firstLine="0" w:firstLineChars="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注：招标代理服务收费按差额定率累进法计算。</w:t>
      </w:r>
    </w:p>
    <w:p w14:paraId="7CEA7F01">
      <w:pPr>
        <w:pageBreakBefore w:val="0"/>
        <w:widowControl w:val="0"/>
        <w:kinsoku/>
        <w:wordWrap/>
        <w:overflowPunct/>
        <w:topLinePunct w:val="0"/>
        <w:bidi w:val="0"/>
        <w:snapToGrid/>
        <w:spacing w:before="0" w:after="0" w:line="380" w:lineRule="exact"/>
        <w:ind w:left="0" w:leftChars="0" w:firstLine="422"/>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lang w:val="en-US" w:eastAsia="zh-CN"/>
        </w:rPr>
        <w:t>30.2</w:t>
      </w:r>
      <w:r>
        <w:rPr>
          <w:rFonts w:hint="eastAsia" w:ascii="宋体" w:hAnsi="宋体" w:eastAsia="宋体" w:cs="宋体"/>
          <w:b w:val="0"/>
          <w:bCs/>
          <w:color w:val="auto"/>
          <w:sz w:val="21"/>
          <w:szCs w:val="21"/>
          <w:highlight w:val="none"/>
        </w:rPr>
        <w:t>招标代理服务费缴纳账户：</w:t>
      </w:r>
    </w:p>
    <w:p w14:paraId="06FF3D84">
      <w:pPr>
        <w:pageBreakBefore w:val="0"/>
        <w:widowControl w:val="0"/>
        <w:kinsoku/>
        <w:wordWrap/>
        <w:overflowPunct/>
        <w:topLinePunct w:val="0"/>
        <w:bidi w:val="0"/>
        <w:snapToGrid/>
        <w:spacing w:line="380" w:lineRule="exact"/>
        <w:ind w:left="0" w:leftChars="0" w:firstLine="420" w:firstLineChars="200"/>
        <w:textAlignment w:val="auto"/>
        <w:rPr>
          <w:rStyle w:val="25"/>
          <w:rFonts w:hint="eastAsia" w:ascii="宋体" w:hAnsi="宋体" w:eastAsia="宋体" w:cs="宋体"/>
          <w:b w:val="0"/>
          <w:bCs/>
          <w:color w:val="auto"/>
          <w:sz w:val="21"/>
          <w:szCs w:val="21"/>
          <w:highlight w:val="none"/>
          <w:lang w:val="en-US"/>
        </w:rPr>
      </w:pPr>
      <w:bookmarkStart w:id="134" w:name="_Toc9779"/>
      <w:r>
        <w:rPr>
          <w:rStyle w:val="25"/>
          <w:rFonts w:hint="eastAsia" w:ascii="宋体" w:hAnsi="宋体" w:eastAsia="宋体" w:cs="宋体"/>
          <w:b w:val="0"/>
          <w:bCs/>
          <w:color w:val="auto"/>
          <w:sz w:val="21"/>
          <w:szCs w:val="21"/>
          <w:highlight w:val="none"/>
          <w:lang w:val="en-US"/>
        </w:rPr>
        <w:t>开户名称：</w:t>
      </w:r>
      <w:r>
        <w:rPr>
          <w:rFonts w:hint="eastAsia" w:ascii="宋体" w:hAnsi="宋体" w:cs="宋体"/>
          <w:color w:val="auto"/>
          <w:highlight w:val="none"/>
          <w:u w:val="single"/>
          <w:lang w:val="en-US" w:eastAsia="zh-CN"/>
        </w:rPr>
        <w:t>广西高质建设管理咨询有限公司临桂分公司</w:t>
      </w:r>
    </w:p>
    <w:p w14:paraId="2A6B00FA">
      <w:pPr>
        <w:pageBreakBefore w:val="0"/>
        <w:widowControl w:val="0"/>
        <w:kinsoku/>
        <w:wordWrap/>
        <w:overflowPunct/>
        <w:topLinePunct w:val="0"/>
        <w:bidi w:val="0"/>
        <w:snapToGrid/>
        <w:spacing w:line="380" w:lineRule="exact"/>
        <w:ind w:left="0" w:leftChars="0" w:firstLine="420" w:firstLineChars="200"/>
        <w:textAlignment w:val="auto"/>
        <w:rPr>
          <w:rStyle w:val="25"/>
          <w:rFonts w:hint="eastAsia" w:ascii="宋体" w:hAnsi="宋体" w:eastAsia="宋体" w:cs="宋体"/>
          <w:b w:val="0"/>
          <w:bCs/>
          <w:color w:val="auto"/>
          <w:sz w:val="21"/>
          <w:szCs w:val="21"/>
          <w:highlight w:val="none"/>
          <w:lang w:val="en-US"/>
        </w:rPr>
      </w:pPr>
      <w:r>
        <w:rPr>
          <w:rStyle w:val="25"/>
          <w:rFonts w:hint="eastAsia" w:ascii="宋体" w:hAnsi="宋体" w:eastAsia="宋体" w:cs="宋体"/>
          <w:b w:val="0"/>
          <w:bCs/>
          <w:color w:val="auto"/>
          <w:sz w:val="21"/>
          <w:szCs w:val="21"/>
          <w:highlight w:val="none"/>
          <w:lang w:val="en-US"/>
        </w:rPr>
        <w:t>开户银行：</w:t>
      </w:r>
      <w:r>
        <w:rPr>
          <w:rFonts w:hint="eastAsia" w:ascii="宋体" w:hAnsi="宋体" w:cs="宋体"/>
          <w:color w:val="auto"/>
          <w:highlight w:val="none"/>
          <w:u w:val="single"/>
          <w:lang w:val="en-US" w:eastAsia="zh-CN"/>
        </w:rPr>
        <w:t>中行桂林高新区科技支行</w:t>
      </w:r>
    </w:p>
    <w:p w14:paraId="2D67C010">
      <w:pPr>
        <w:pageBreakBefore w:val="0"/>
        <w:widowControl w:val="0"/>
        <w:kinsoku/>
        <w:wordWrap/>
        <w:overflowPunct/>
        <w:topLinePunct w:val="0"/>
        <w:bidi w:val="0"/>
        <w:snapToGrid/>
        <w:spacing w:line="380" w:lineRule="exact"/>
        <w:ind w:left="0" w:leftChars="0" w:firstLine="420" w:firstLineChars="200"/>
        <w:textAlignment w:val="auto"/>
        <w:rPr>
          <w:rStyle w:val="25"/>
          <w:rFonts w:hint="eastAsia" w:ascii="宋体" w:hAnsi="宋体" w:eastAsia="宋体" w:cs="宋体"/>
          <w:b w:val="0"/>
          <w:bCs/>
          <w:color w:val="auto"/>
          <w:sz w:val="21"/>
          <w:szCs w:val="21"/>
          <w:highlight w:val="none"/>
          <w:lang w:val="en-US"/>
        </w:rPr>
      </w:pPr>
      <w:r>
        <w:rPr>
          <w:rStyle w:val="25"/>
          <w:rFonts w:hint="eastAsia" w:ascii="宋体" w:hAnsi="宋体" w:eastAsia="宋体" w:cs="宋体"/>
          <w:b w:val="0"/>
          <w:bCs/>
          <w:color w:val="auto"/>
          <w:sz w:val="21"/>
          <w:szCs w:val="21"/>
          <w:highlight w:val="none"/>
          <w:lang w:val="en-US"/>
        </w:rPr>
        <w:t>账    号：</w:t>
      </w:r>
      <w:r>
        <w:rPr>
          <w:rFonts w:hint="eastAsia" w:ascii="宋体" w:hAnsi="宋体" w:cs="宋体"/>
          <w:color w:val="auto"/>
          <w:highlight w:val="none"/>
          <w:u w:val="single"/>
          <w:lang w:val="en-US" w:eastAsia="zh-CN"/>
        </w:rPr>
        <w:t>6223 8272 6653</w:t>
      </w:r>
    </w:p>
    <w:p w14:paraId="3A083A42">
      <w:pPr>
        <w:pageBreakBefore w:val="0"/>
        <w:widowControl w:val="0"/>
        <w:kinsoku/>
        <w:wordWrap/>
        <w:overflowPunct/>
        <w:topLinePunct w:val="0"/>
        <w:bidi w:val="0"/>
        <w:snapToGrid/>
        <w:spacing w:line="380" w:lineRule="exact"/>
        <w:ind w:left="0" w:leftChars="0" w:firstLine="422" w:firstLineChars="200"/>
        <w:textAlignment w:val="auto"/>
        <w:rPr>
          <w:rFonts w:hint="eastAsia" w:ascii="宋体" w:hAnsi="宋体" w:eastAsia="宋体" w:cs="宋体"/>
          <w:color w:val="auto"/>
          <w:sz w:val="21"/>
          <w:szCs w:val="21"/>
          <w:highlight w:val="none"/>
        </w:rPr>
      </w:pPr>
      <w:r>
        <w:rPr>
          <w:rStyle w:val="25"/>
          <w:rFonts w:hint="eastAsia" w:ascii="宋体" w:hAnsi="宋体" w:eastAsia="宋体" w:cs="宋体"/>
          <w:color w:val="auto"/>
          <w:sz w:val="21"/>
          <w:szCs w:val="21"/>
          <w:highlight w:val="none"/>
        </w:rPr>
        <w:t>31. 解释权</w:t>
      </w:r>
      <w:bookmarkEnd w:id="133"/>
      <w:bookmarkEnd w:id="134"/>
      <w:r>
        <w:rPr>
          <w:rFonts w:hint="eastAsia" w:ascii="宋体" w:hAnsi="宋体" w:eastAsia="宋体" w:cs="宋体"/>
          <w:color w:val="auto"/>
          <w:sz w:val="21"/>
          <w:szCs w:val="21"/>
          <w:highlight w:val="none"/>
        </w:rPr>
        <w:t>：本竞争性磋商文件是根据《中华人民共和国政府采购法》《中华人民共和国政府采购法实施条例》《政府采购竞争性磋商采购方式管理暂行办法》和政府采购管理有关规定编制，本竞争性磋商文件的解释权属于采购代理机构。</w:t>
      </w:r>
    </w:p>
    <w:p w14:paraId="36B5082A">
      <w:pPr>
        <w:keepNext w:val="0"/>
        <w:keepLines w:val="0"/>
        <w:pageBreakBefore w:val="0"/>
        <w:widowControl w:val="0"/>
        <w:kinsoku/>
        <w:wordWrap/>
        <w:overflowPunct/>
        <w:topLinePunct w:val="0"/>
        <w:autoSpaceDE/>
        <w:autoSpaceDN/>
        <w:bidi w:val="0"/>
        <w:adjustRightInd/>
        <w:snapToGrid/>
        <w:spacing w:line="380" w:lineRule="exact"/>
        <w:ind w:left="0" w:leftChars="0" w:firstLine="422" w:firstLineChars="200"/>
        <w:textAlignment w:val="auto"/>
        <w:rPr>
          <w:rFonts w:hint="eastAsia" w:ascii="宋体" w:hAnsi="宋体" w:eastAsia="宋体" w:cs="宋体"/>
          <w:color w:val="auto"/>
          <w:sz w:val="21"/>
          <w:szCs w:val="21"/>
          <w:highlight w:val="none"/>
        </w:rPr>
      </w:pPr>
      <w:bookmarkStart w:id="135" w:name="_Toc32738"/>
      <w:r>
        <w:rPr>
          <w:rStyle w:val="25"/>
          <w:rFonts w:hint="eastAsia" w:ascii="宋体" w:hAnsi="宋体" w:eastAsia="宋体" w:cs="宋体"/>
          <w:color w:val="auto"/>
          <w:sz w:val="21"/>
          <w:szCs w:val="21"/>
          <w:highlight w:val="none"/>
        </w:rPr>
        <w:t>32. 监督管理机构</w:t>
      </w:r>
      <w:bookmarkEnd w:id="135"/>
      <w:r>
        <w:rPr>
          <w:rFonts w:hint="eastAsia" w:ascii="宋体" w:hAnsi="宋体" w:eastAsia="宋体" w:cs="宋体"/>
          <w:color w:val="auto"/>
          <w:sz w:val="21"/>
          <w:szCs w:val="21"/>
          <w:highlight w:val="none"/>
        </w:rPr>
        <w:t>：</w:t>
      </w:r>
      <w:r>
        <w:rPr>
          <w:rFonts w:hint="eastAsia" w:ascii="宋体" w:hAnsi="宋体" w:eastAsia="宋体" w:cs="宋体"/>
          <w:color w:val="auto"/>
          <w:szCs w:val="21"/>
          <w:highlight w:val="none"/>
          <w:lang w:val="en-US" w:eastAsia="zh-CN"/>
        </w:rPr>
        <w:t>资源县政府采购管理办公室</w:t>
      </w:r>
      <w:r>
        <w:rPr>
          <w:rFonts w:hint="eastAsia" w:ascii="宋体" w:hAnsi="宋体" w:eastAsia="宋体" w:cs="宋体"/>
          <w:color w:val="auto"/>
          <w:sz w:val="21"/>
          <w:szCs w:val="21"/>
          <w:highlight w:val="none"/>
          <w:lang w:val="en-US" w:eastAsia="zh-CN"/>
        </w:rPr>
        <w:t xml:space="preserve">     </w:t>
      </w:r>
      <w:r>
        <w:rPr>
          <w:rFonts w:hint="eastAsia" w:ascii="宋体" w:hAnsi="宋体" w:eastAsia="宋体" w:cs="宋体"/>
          <w:color w:val="auto"/>
          <w:sz w:val="21"/>
          <w:szCs w:val="21"/>
          <w:highlight w:val="none"/>
        </w:rPr>
        <w:t>联系电话：</w:t>
      </w:r>
      <w:r>
        <w:rPr>
          <w:rFonts w:hint="eastAsia" w:ascii="宋体" w:hAnsi="宋体" w:eastAsia="宋体" w:cs="宋体"/>
          <w:color w:val="auto"/>
          <w:szCs w:val="21"/>
          <w:highlight w:val="none"/>
        </w:rPr>
        <w:t>电话：</w:t>
      </w:r>
      <w:r>
        <w:rPr>
          <w:rFonts w:hint="eastAsia" w:ascii="宋体" w:hAnsi="宋体" w:eastAsia="宋体" w:cs="宋体"/>
          <w:color w:val="auto"/>
          <w:szCs w:val="21"/>
          <w:highlight w:val="none"/>
          <w:lang w:val="en-US" w:eastAsia="zh-CN"/>
        </w:rPr>
        <w:t>0773-4315648</w:t>
      </w:r>
    </w:p>
    <w:p w14:paraId="54F5A6B7">
      <w:pPr>
        <w:pageBreakBefore w:val="0"/>
        <w:widowControl w:val="0"/>
        <w:kinsoku/>
        <w:wordWrap/>
        <w:overflowPunct/>
        <w:topLinePunct w:val="0"/>
        <w:bidi w:val="0"/>
        <w:snapToGrid w:val="0"/>
        <w:spacing w:line="440" w:lineRule="exact"/>
        <w:ind w:firstLine="422" w:firstLineChars="200"/>
        <w:textAlignment w:val="auto"/>
        <w:rPr>
          <w:rFonts w:hint="default" w:ascii="宋体" w:hAnsi="宋体" w:eastAsia="宋体" w:cs="宋体"/>
          <w:color w:val="auto"/>
          <w:sz w:val="21"/>
          <w:szCs w:val="21"/>
          <w:highlight w:val="none"/>
          <w:lang w:val="en-US" w:eastAsia="zh-CN"/>
        </w:rPr>
      </w:pPr>
      <w:r>
        <w:rPr>
          <w:rFonts w:hint="eastAsia" w:ascii="宋体" w:hAnsi="宋体" w:cs="宋体"/>
          <w:b/>
          <w:bCs/>
          <w:color w:val="auto"/>
          <w:sz w:val="21"/>
          <w:szCs w:val="21"/>
          <w:highlight w:val="none"/>
          <w:lang w:val="en-US" w:eastAsia="zh-CN"/>
        </w:rPr>
        <w:t>33.</w:t>
      </w:r>
      <w:r>
        <w:rPr>
          <w:rStyle w:val="25"/>
          <w:rFonts w:hint="eastAsia" w:ascii="宋体" w:hAnsi="宋体" w:eastAsia="宋体" w:cs="宋体"/>
          <w:color w:val="auto"/>
          <w:sz w:val="21"/>
          <w:szCs w:val="21"/>
          <w:highlight w:val="none"/>
        </w:rPr>
        <w:t xml:space="preserve"> </w:t>
      </w:r>
      <w:r>
        <w:rPr>
          <w:rFonts w:hint="eastAsia" w:ascii="宋体" w:hAnsi="宋体" w:cs="宋体"/>
          <w:b/>
          <w:bCs/>
          <w:color w:val="auto"/>
          <w:sz w:val="21"/>
          <w:szCs w:val="21"/>
          <w:highlight w:val="none"/>
          <w:lang w:val="en-US" w:eastAsia="zh-CN"/>
        </w:rPr>
        <w:t xml:space="preserve">《广西线上“政采贷”政策告知函》详见附表4。 </w:t>
      </w:r>
      <w:r>
        <w:rPr>
          <w:rFonts w:hint="eastAsia" w:ascii="宋体" w:hAnsi="宋体" w:cs="宋体"/>
          <w:color w:val="auto"/>
          <w:sz w:val="21"/>
          <w:szCs w:val="21"/>
          <w:highlight w:val="none"/>
          <w:lang w:val="en-US" w:eastAsia="zh-CN"/>
        </w:rPr>
        <w:t xml:space="preserve"> </w:t>
      </w:r>
    </w:p>
    <w:p w14:paraId="1637E87C">
      <w:pPr>
        <w:pageBreakBefore w:val="0"/>
        <w:widowControl w:val="0"/>
        <w:kinsoku/>
        <w:wordWrap/>
        <w:overflowPunct/>
        <w:topLinePunct w:val="0"/>
        <w:bidi w:val="0"/>
        <w:spacing w:line="440" w:lineRule="exact"/>
        <w:textAlignment w:val="auto"/>
        <w:rPr>
          <w:rFonts w:hint="eastAsia" w:ascii="宋体" w:hAnsi="宋体" w:eastAsia="宋体" w:cs="宋体"/>
          <w:color w:val="auto"/>
          <w:sz w:val="21"/>
          <w:szCs w:val="21"/>
          <w:highlight w:val="none"/>
          <w:lang w:eastAsia="zh-CN"/>
        </w:rPr>
      </w:pPr>
    </w:p>
    <w:p w14:paraId="363D73F1">
      <w:pPr>
        <w:pStyle w:val="10"/>
        <w:rPr>
          <w:rFonts w:hint="eastAsia" w:ascii="宋体" w:hAnsi="宋体" w:eastAsia="宋体" w:cs="宋体"/>
          <w:color w:val="auto"/>
          <w:sz w:val="21"/>
          <w:szCs w:val="21"/>
          <w:highlight w:val="none"/>
          <w:lang w:eastAsia="zh-CN"/>
        </w:rPr>
      </w:pPr>
    </w:p>
    <w:p w14:paraId="56E7756D">
      <w:pPr>
        <w:pStyle w:val="10"/>
        <w:rPr>
          <w:rFonts w:hint="eastAsia" w:ascii="宋体" w:hAnsi="宋体" w:eastAsia="宋体" w:cs="宋体"/>
          <w:color w:val="auto"/>
          <w:sz w:val="21"/>
          <w:szCs w:val="21"/>
          <w:highlight w:val="none"/>
          <w:lang w:eastAsia="zh-CN"/>
        </w:rPr>
      </w:pPr>
    </w:p>
    <w:p w14:paraId="4DB5D108">
      <w:pPr>
        <w:pStyle w:val="10"/>
        <w:rPr>
          <w:rFonts w:hint="eastAsia" w:ascii="宋体" w:hAnsi="宋体" w:eastAsia="宋体" w:cs="宋体"/>
          <w:color w:val="auto"/>
          <w:sz w:val="21"/>
          <w:szCs w:val="21"/>
          <w:highlight w:val="none"/>
          <w:lang w:eastAsia="zh-CN"/>
        </w:rPr>
      </w:pPr>
    </w:p>
    <w:p w14:paraId="4403ABC5">
      <w:pPr>
        <w:snapToGrid w:val="0"/>
        <w:rPr>
          <w:rFonts w:hint="eastAsia" w:ascii="宋体" w:hAnsi="宋体" w:eastAsia="宋体" w:cs="宋体"/>
          <w:b/>
          <w:color w:val="auto"/>
          <w:kern w:val="0"/>
          <w:sz w:val="21"/>
          <w:szCs w:val="21"/>
          <w:highlight w:val="none"/>
        </w:rPr>
      </w:pPr>
    </w:p>
    <w:p w14:paraId="089BA4A5">
      <w:pPr>
        <w:snapToGrid w:val="0"/>
        <w:rPr>
          <w:rFonts w:hint="eastAsia" w:ascii="宋体" w:hAnsi="宋体" w:eastAsia="宋体" w:cs="宋体"/>
          <w:b/>
          <w:color w:val="auto"/>
          <w:kern w:val="0"/>
          <w:sz w:val="21"/>
          <w:szCs w:val="21"/>
          <w:highlight w:val="none"/>
        </w:rPr>
      </w:pPr>
    </w:p>
    <w:p w14:paraId="32872309">
      <w:pPr>
        <w:snapToGrid w:val="0"/>
        <w:rPr>
          <w:rFonts w:hint="eastAsia" w:ascii="宋体" w:hAnsi="宋体" w:eastAsia="宋体" w:cs="宋体"/>
          <w:b/>
          <w:color w:val="auto"/>
          <w:kern w:val="0"/>
          <w:sz w:val="21"/>
          <w:szCs w:val="21"/>
          <w:highlight w:val="none"/>
        </w:rPr>
        <w:sectPr>
          <w:pgSz w:w="11906" w:h="16838"/>
          <w:pgMar w:top="1418" w:right="1115" w:bottom="1418" w:left="1131" w:header="851" w:footer="992" w:gutter="0"/>
          <w:pgNumType w:fmt="decimal"/>
          <w:cols w:space="720" w:num="1"/>
          <w:titlePg/>
          <w:docGrid w:type="lines" w:linePitch="312" w:charSpace="0"/>
        </w:sectPr>
      </w:pPr>
    </w:p>
    <w:p w14:paraId="6D240053">
      <w:pPr>
        <w:snapToGrid w:val="0"/>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附表1：</w:t>
      </w:r>
    </w:p>
    <w:p w14:paraId="7A3F6FB5">
      <w:pPr>
        <w:spacing w:line="460" w:lineRule="exact"/>
        <w:jc w:val="center"/>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质疑函（格式）</w:t>
      </w:r>
    </w:p>
    <w:p w14:paraId="20697606">
      <w:pPr>
        <w:snapToGrid w:val="0"/>
        <w:spacing w:line="360" w:lineRule="exact"/>
        <w:ind w:firstLine="422" w:firstLineChars="200"/>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一、质疑供应商基本信息：</w:t>
      </w:r>
    </w:p>
    <w:p w14:paraId="0ED9144D">
      <w:pPr>
        <w:snapToGrid w:val="0"/>
        <w:spacing w:line="360" w:lineRule="exact"/>
        <w:ind w:firstLine="420" w:firstLineChars="200"/>
        <w:rPr>
          <w:rFonts w:hint="eastAsia" w:ascii="宋体" w:hAnsi="宋体" w:eastAsia="宋体" w:cs="宋体"/>
          <w:bCs/>
          <w:color w:val="auto"/>
          <w:kern w:val="0"/>
          <w:sz w:val="21"/>
          <w:szCs w:val="21"/>
          <w:highlight w:val="none"/>
          <w:u w:val="single"/>
        </w:rPr>
      </w:pPr>
      <w:r>
        <w:rPr>
          <w:rFonts w:hint="eastAsia" w:ascii="宋体" w:hAnsi="宋体" w:eastAsia="宋体" w:cs="宋体"/>
          <w:bCs/>
          <w:color w:val="auto"/>
          <w:kern w:val="0"/>
          <w:sz w:val="21"/>
          <w:szCs w:val="21"/>
          <w:highlight w:val="none"/>
        </w:rPr>
        <w:t>质疑供应商：</w:t>
      </w:r>
    </w:p>
    <w:p w14:paraId="64959269">
      <w:pPr>
        <w:snapToGrid w:val="0"/>
        <w:spacing w:line="360" w:lineRule="exact"/>
        <w:ind w:firstLine="420" w:firstLineChars="200"/>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地址：邮编：</w:t>
      </w:r>
    </w:p>
    <w:p w14:paraId="3149BFB3">
      <w:pPr>
        <w:snapToGrid w:val="0"/>
        <w:spacing w:line="360" w:lineRule="exact"/>
        <w:ind w:firstLine="420" w:firstLineChars="200"/>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联系人：联系电话：</w:t>
      </w:r>
    </w:p>
    <w:p w14:paraId="71B2D13B">
      <w:pPr>
        <w:snapToGrid w:val="0"/>
        <w:spacing w:line="360" w:lineRule="exact"/>
        <w:ind w:firstLine="420" w:firstLineChars="200"/>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授权代表：</w:t>
      </w:r>
    </w:p>
    <w:p w14:paraId="73FA797A">
      <w:pPr>
        <w:snapToGrid w:val="0"/>
        <w:spacing w:line="360" w:lineRule="exact"/>
        <w:ind w:firstLine="420" w:firstLineChars="200"/>
        <w:rPr>
          <w:rFonts w:hint="eastAsia" w:ascii="宋体" w:hAnsi="宋体" w:eastAsia="宋体" w:cs="宋体"/>
          <w:bCs/>
          <w:color w:val="auto"/>
          <w:kern w:val="0"/>
          <w:sz w:val="21"/>
          <w:szCs w:val="21"/>
          <w:highlight w:val="none"/>
          <w:u w:val="single"/>
        </w:rPr>
      </w:pPr>
      <w:r>
        <w:rPr>
          <w:rFonts w:hint="eastAsia" w:ascii="宋体" w:hAnsi="宋体" w:eastAsia="宋体" w:cs="宋体"/>
          <w:bCs/>
          <w:color w:val="auto"/>
          <w:kern w:val="0"/>
          <w:sz w:val="21"/>
          <w:szCs w:val="21"/>
          <w:highlight w:val="none"/>
        </w:rPr>
        <w:t>联系电话：</w:t>
      </w:r>
    </w:p>
    <w:p w14:paraId="010089D8">
      <w:pPr>
        <w:snapToGrid w:val="0"/>
        <w:spacing w:line="360" w:lineRule="exact"/>
        <w:ind w:firstLine="420" w:firstLineChars="200"/>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地址：邮编：</w:t>
      </w:r>
    </w:p>
    <w:p w14:paraId="52555CC6">
      <w:pPr>
        <w:snapToGrid w:val="0"/>
        <w:spacing w:line="360" w:lineRule="exact"/>
        <w:ind w:firstLine="422" w:firstLineChars="200"/>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二、质疑项目基本情况：</w:t>
      </w:r>
    </w:p>
    <w:p w14:paraId="2CEC742F">
      <w:pPr>
        <w:spacing w:line="36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bCs/>
          <w:color w:val="auto"/>
          <w:kern w:val="0"/>
          <w:sz w:val="21"/>
          <w:szCs w:val="21"/>
          <w:highlight w:val="none"/>
        </w:rPr>
        <w:t>质疑</w:t>
      </w:r>
      <w:r>
        <w:rPr>
          <w:rFonts w:hint="eastAsia" w:ascii="宋体" w:hAnsi="宋体" w:eastAsia="宋体" w:cs="宋体"/>
          <w:color w:val="auto"/>
          <w:kern w:val="0"/>
          <w:sz w:val="21"/>
          <w:szCs w:val="21"/>
          <w:highlight w:val="none"/>
        </w:rPr>
        <w:t>项目的名称：</w:t>
      </w:r>
    </w:p>
    <w:p w14:paraId="384ECAED">
      <w:pPr>
        <w:spacing w:line="36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bCs/>
          <w:color w:val="auto"/>
          <w:kern w:val="0"/>
          <w:sz w:val="21"/>
          <w:szCs w:val="21"/>
          <w:highlight w:val="none"/>
        </w:rPr>
        <w:t>质疑</w:t>
      </w:r>
      <w:r>
        <w:rPr>
          <w:rFonts w:hint="eastAsia" w:ascii="宋体" w:hAnsi="宋体" w:eastAsia="宋体" w:cs="宋体"/>
          <w:color w:val="auto"/>
          <w:kern w:val="0"/>
          <w:sz w:val="21"/>
          <w:szCs w:val="21"/>
          <w:highlight w:val="none"/>
        </w:rPr>
        <w:t>项目的编号：</w:t>
      </w:r>
    </w:p>
    <w:p w14:paraId="1C82A359">
      <w:pPr>
        <w:spacing w:line="36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采购人名称：</w:t>
      </w:r>
    </w:p>
    <w:p w14:paraId="4C060BE9">
      <w:pPr>
        <w:spacing w:line="36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质疑事项：</w:t>
      </w:r>
    </w:p>
    <w:p w14:paraId="2070A40D">
      <w:pPr>
        <w:spacing w:line="360" w:lineRule="exact"/>
        <w:ind w:left="25" w:leftChars="12" w:firstLine="308" w:firstLineChars="14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□采购文件   采购文件获取日期：</w:t>
      </w:r>
    </w:p>
    <w:p w14:paraId="00A40044">
      <w:pPr>
        <w:spacing w:line="360" w:lineRule="exact"/>
        <w:ind w:left="25" w:leftChars="12" w:firstLine="308" w:firstLineChars="14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 xml:space="preserve">□采购过程   </w:t>
      </w:r>
    </w:p>
    <w:p w14:paraId="41891DBC">
      <w:pPr>
        <w:spacing w:line="360" w:lineRule="exact"/>
        <w:ind w:left="25" w:leftChars="12" w:firstLine="308" w:firstLineChars="147"/>
        <w:rPr>
          <w:rFonts w:hint="eastAsia" w:ascii="宋体" w:hAnsi="宋体" w:eastAsia="宋体" w:cs="宋体"/>
          <w:bCs/>
          <w:color w:val="auto"/>
          <w:kern w:val="0"/>
          <w:sz w:val="21"/>
          <w:szCs w:val="21"/>
          <w:highlight w:val="none"/>
          <w:u w:val="single"/>
        </w:rPr>
      </w:pPr>
      <w:r>
        <w:rPr>
          <w:rFonts w:hint="eastAsia" w:ascii="宋体" w:hAnsi="宋体" w:eastAsia="宋体" w:cs="宋体"/>
          <w:color w:val="auto"/>
          <w:kern w:val="0"/>
          <w:sz w:val="21"/>
          <w:szCs w:val="21"/>
          <w:highlight w:val="none"/>
        </w:rPr>
        <w:t xml:space="preserve">□成交结果   </w:t>
      </w:r>
    </w:p>
    <w:p w14:paraId="39A5A9E9">
      <w:pPr>
        <w:spacing w:line="360" w:lineRule="exact"/>
        <w:ind w:left="25" w:leftChars="12" w:firstLine="413" w:firstLineChars="196"/>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三、质疑事项具体内容</w:t>
      </w:r>
    </w:p>
    <w:p w14:paraId="2EC28D33">
      <w:pPr>
        <w:spacing w:line="36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质疑事项1：</w:t>
      </w:r>
    </w:p>
    <w:p w14:paraId="684D4781">
      <w:pPr>
        <w:spacing w:line="36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事实依据：</w:t>
      </w:r>
    </w:p>
    <w:p w14:paraId="2341F071">
      <w:pPr>
        <w:spacing w:line="36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法律依据：</w:t>
      </w:r>
    </w:p>
    <w:p w14:paraId="53D5C941">
      <w:pPr>
        <w:spacing w:line="36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质疑事项2</w:t>
      </w:r>
    </w:p>
    <w:p w14:paraId="60AB87B2">
      <w:pPr>
        <w:spacing w:line="36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p w14:paraId="00798D0B">
      <w:pPr>
        <w:spacing w:line="36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四、与质疑事项相关的质疑请求：</w:t>
      </w:r>
    </w:p>
    <w:p w14:paraId="275D1746">
      <w:pPr>
        <w:spacing w:line="36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请求：</w:t>
      </w:r>
    </w:p>
    <w:p w14:paraId="379EAE73">
      <w:pPr>
        <w:spacing w:line="360" w:lineRule="exact"/>
        <w:ind w:left="25" w:leftChars="12" w:firstLine="308" w:firstLineChars="147"/>
        <w:rPr>
          <w:rFonts w:hint="eastAsia" w:ascii="宋体" w:hAnsi="宋体" w:eastAsia="宋体" w:cs="宋体"/>
          <w:color w:val="auto"/>
          <w:kern w:val="0"/>
          <w:sz w:val="21"/>
          <w:szCs w:val="21"/>
          <w:highlight w:val="none"/>
        </w:rPr>
      </w:pPr>
    </w:p>
    <w:p w14:paraId="61849E1C">
      <w:pPr>
        <w:spacing w:line="36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签字（签章）：                                       公章：</w:t>
      </w:r>
    </w:p>
    <w:p w14:paraId="5074619C">
      <w:pPr>
        <w:spacing w:line="360" w:lineRule="exact"/>
        <w:ind w:left="25" w:leftChars="12" w:firstLine="308" w:firstLineChars="147"/>
        <w:rPr>
          <w:rFonts w:hint="eastAsia" w:ascii="宋体" w:hAnsi="宋体" w:eastAsia="宋体" w:cs="宋体"/>
          <w:color w:val="auto"/>
          <w:kern w:val="0"/>
          <w:sz w:val="21"/>
          <w:szCs w:val="21"/>
          <w:highlight w:val="none"/>
        </w:rPr>
      </w:pPr>
    </w:p>
    <w:p w14:paraId="32E30004">
      <w:pPr>
        <w:spacing w:line="36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日期：</w:t>
      </w:r>
    </w:p>
    <w:p w14:paraId="2E01AC00">
      <w:pPr>
        <w:snapToGrid w:val="0"/>
        <w:spacing w:line="340" w:lineRule="exact"/>
        <w:rPr>
          <w:rFonts w:hint="eastAsia" w:ascii="宋体" w:hAnsi="宋体" w:eastAsia="宋体" w:cs="宋体"/>
          <w:b/>
          <w:color w:val="auto"/>
          <w:kern w:val="0"/>
          <w:sz w:val="21"/>
          <w:szCs w:val="21"/>
          <w:highlight w:val="none"/>
        </w:rPr>
      </w:pPr>
    </w:p>
    <w:p w14:paraId="2B15C1FF">
      <w:pPr>
        <w:snapToGrid w:val="0"/>
        <w:spacing w:line="340" w:lineRule="exact"/>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说明：</w:t>
      </w:r>
    </w:p>
    <w:p w14:paraId="191BB6B0">
      <w:pPr>
        <w:spacing w:line="340" w:lineRule="exact"/>
        <w:ind w:left="25" w:leftChars="12" w:firstLine="310" w:firstLineChars="147"/>
        <w:rPr>
          <w:rFonts w:hint="eastAsia" w:ascii="宋体" w:hAnsi="宋体" w:eastAsia="宋体" w:cs="宋体"/>
          <w:b/>
          <w:bCs/>
          <w:color w:val="auto"/>
          <w:kern w:val="0"/>
          <w:sz w:val="21"/>
          <w:szCs w:val="21"/>
          <w:highlight w:val="none"/>
        </w:rPr>
      </w:pPr>
      <w:r>
        <w:rPr>
          <w:rFonts w:hint="eastAsia" w:ascii="宋体" w:hAnsi="宋体" w:eastAsia="宋体" w:cs="宋体"/>
          <w:b/>
          <w:color w:val="auto"/>
          <w:kern w:val="0"/>
          <w:sz w:val="21"/>
          <w:szCs w:val="21"/>
          <w:highlight w:val="none"/>
        </w:rPr>
        <w:t>1.供应商提出质疑时，应提交质疑函和必要的证明材料</w:t>
      </w:r>
      <w:r>
        <w:rPr>
          <w:rFonts w:hint="eastAsia" w:ascii="宋体" w:hAnsi="宋体" w:eastAsia="宋体" w:cs="宋体"/>
          <w:b/>
          <w:bCs/>
          <w:color w:val="auto"/>
          <w:kern w:val="0"/>
          <w:sz w:val="21"/>
          <w:szCs w:val="21"/>
          <w:highlight w:val="none"/>
        </w:rPr>
        <w:t>。</w:t>
      </w:r>
    </w:p>
    <w:p w14:paraId="0317EF94">
      <w:pPr>
        <w:spacing w:line="340" w:lineRule="exact"/>
        <w:ind w:left="25" w:leftChars="12" w:firstLine="310" w:firstLineChars="147"/>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14:paraId="323ECCF6">
      <w:pPr>
        <w:spacing w:line="340" w:lineRule="exact"/>
        <w:ind w:left="25" w:leftChars="12" w:firstLine="310" w:firstLineChars="147"/>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3.质疑函的质疑事项应具体、明确，并有必要的事实依据和法律依据。</w:t>
      </w:r>
    </w:p>
    <w:p w14:paraId="7E7F275F">
      <w:pPr>
        <w:spacing w:line="340" w:lineRule="exact"/>
        <w:ind w:left="25" w:leftChars="12" w:firstLine="310" w:firstLineChars="147"/>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4.质疑函的质疑请求应与质疑事项相关。</w:t>
      </w:r>
    </w:p>
    <w:p w14:paraId="266C8C2A">
      <w:pPr>
        <w:spacing w:line="340" w:lineRule="exact"/>
        <w:ind w:left="25" w:leftChars="12" w:firstLine="310" w:firstLineChars="147"/>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6.质疑供应商为法人或者其他组织的，质疑函应由法定代表人、主要负责人，或者其授权代表签字或者盖章，并加盖公章。</w:t>
      </w:r>
    </w:p>
    <w:p w14:paraId="08BBFB28">
      <w:pPr>
        <w:snapToGrid w:val="0"/>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附表2：</w:t>
      </w:r>
    </w:p>
    <w:p w14:paraId="090869E4">
      <w:pPr>
        <w:spacing w:line="460" w:lineRule="exact"/>
        <w:jc w:val="center"/>
        <w:rPr>
          <w:rFonts w:hint="eastAsia" w:ascii="宋体" w:hAnsi="宋体" w:eastAsia="宋体" w:cs="宋体"/>
          <w:color w:val="auto"/>
          <w:kern w:val="0"/>
          <w:sz w:val="21"/>
          <w:szCs w:val="21"/>
          <w:highlight w:val="none"/>
        </w:rPr>
      </w:pPr>
    </w:p>
    <w:p w14:paraId="6BA7FF71">
      <w:pPr>
        <w:spacing w:line="460" w:lineRule="exact"/>
        <w:jc w:val="center"/>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投诉书（格式）</w:t>
      </w:r>
    </w:p>
    <w:p w14:paraId="2F8D0168">
      <w:pPr>
        <w:snapToGrid w:val="0"/>
        <w:spacing w:line="400" w:lineRule="exact"/>
        <w:ind w:firstLine="422" w:firstLineChars="200"/>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一、投诉相关主体基本情况：</w:t>
      </w:r>
    </w:p>
    <w:p w14:paraId="4A90DD11">
      <w:pPr>
        <w:snapToGrid w:val="0"/>
        <w:spacing w:line="400" w:lineRule="exact"/>
        <w:ind w:firstLine="420" w:firstLineChars="200"/>
        <w:rPr>
          <w:rFonts w:hint="eastAsia" w:ascii="宋体" w:hAnsi="宋体" w:eastAsia="宋体" w:cs="宋体"/>
          <w:bCs/>
          <w:color w:val="auto"/>
          <w:kern w:val="0"/>
          <w:sz w:val="21"/>
          <w:szCs w:val="21"/>
          <w:highlight w:val="none"/>
          <w:u w:val="single"/>
        </w:rPr>
      </w:pPr>
      <w:r>
        <w:rPr>
          <w:rFonts w:hint="eastAsia" w:ascii="宋体" w:hAnsi="宋体" w:eastAsia="宋体" w:cs="宋体"/>
          <w:bCs/>
          <w:color w:val="auto"/>
          <w:kern w:val="0"/>
          <w:sz w:val="21"/>
          <w:szCs w:val="21"/>
          <w:highlight w:val="none"/>
        </w:rPr>
        <w:t>供应商：</w:t>
      </w:r>
    </w:p>
    <w:p w14:paraId="12302013">
      <w:pPr>
        <w:snapToGrid w:val="0"/>
        <w:spacing w:line="400" w:lineRule="exact"/>
        <w:ind w:firstLine="420" w:firstLineChars="200"/>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地址：邮编：</w:t>
      </w:r>
    </w:p>
    <w:p w14:paraId="64590470">
      <w:pPr>
        <w:snapToGrid w:val="0"/>
        <w:spacing w:line="400" w:lineRule="exact"/>
        <w:ind w:firstLine="420" w:firstLineChars="200"/>
        <w:rPr>
          <w:rFonts w:hint="eastAsia" w:ascii="宋体" w:hAnsi="宋体" w:eastAsia="宋体" w:cs="宋体"/>
          <w:bCs/>
          <w:color w:val="auto"/>
          <w:kern w:val="0"/>
          <w:sz w:val="21"/>
          <w:szCs w:val="21"/>
          <w:highlight w:val="none"/>
          <w:u w:val="single"/>
        </w:rPr>
      </w:pPr>
      <w:r>
        <w:rPr>
          <w:rFonts w:hint="eastAsia" w:ascii="宋体" w:hAnsi="宋体" w:eastAsia="宋体" w:cs="宋体"/>
          <w:bCs/>
          <w:color w:val="auto"/>
          <w:kern w:val="0"/>
          <w:sz w:val="21"/>
          <w:szCs w:val="21"/>
          <w:highlight w:val="none"/>
        </w:rPr>
        <w:t>法定代表人/主要负责人：</w:t>
      </w:r>
    </w:p>
    <w:p w14:paraId="4626BE8C">
      <w:pPr>
        <w:snapToGrid w:val="0"/>
        <w:spacing w:line="400" w:lineRule="exact"/>
        <w:ind w:firstLine="420" w:firstLineChars="200"/>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联系电话：</w:t>
      </w:r>
    </w:p>
    <w:p w14:paraId="51EC3C87">
      <w:pPr>
        <w:snapToGrid w:val="0"/>
        <w:spacing w:line="400" w:lineRule="exact"/>
        <w:ind w:firstLine="420" w:firstLineChars="200"/>
        <w:rPr>
          <w:rFonts w:hint="eastAsia" w:ascii="宋体" w:hAnsi="宋体" w:eastAsia="宋体" w:cs="宋体"/>
          <w:bCs/>
          <w:color w:val="auto"/>
          <w:kern w:val="0"/>
          <w:sz w:val="21"/>
          <w:szCs w:val="21"/>
          <w:highlight w:val="none"/>
          <w:u w:val="single"/>
        </w:rPr>
      </w:pPr>
      <w:r>
        <w:rPr>
          <w:rFonts w:hint="eastAsia" w:ascii="宋体" w:hAnsi="宋体" w:eastAsia="宋体" w:cs="宋体"/>
          <w:bCs/>
          <w:color w:val="auto"/>
          <w:kern w:val="0"/>
          <w:sz w:val="21"/>
          <w:szCs w:val="21"/>
          <w:highlight w:val="none"/>
        </w:rPr>
        <w:t>授权代表：联系电话：</w:t>
      </w:r>
    </w:p>
    <w:p w14:paraId="2ADF721B">
      <w:pPr>
        <w:snapToGrid w:val="0"/>
        <w:spacing w:line="400" w:lineRule="exact"/>
        <w:ind w:firstLine="420" w:firstLineChars="200"/>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地址：邮编：</w:t>
      </w:r>
    </w:p>
    <w:p w14:paraId="1FAEC579">
      <w:pPr>
        <w:snapToGrid w:val="0"/>
        <w:spacing w:line="400" w:lineRule="exact"/>
        <w:ind w:firstLine="420" w:firstLineChars="200"/>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被投诉人1：</w:t>
      </w:r>
    </w:p>
    <w:p w14:paraId="32E07259">
      <w:pPr>
        <w:snapToGrid w:val="0"/>
        <w:spacing w:line="400" w:lineRule="exact"/>
        <w:ind w:firstLine="420" w:firstLineChars="200"/>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地址：邮编：</w:t>
      </w:r>
    </w:p>
    <w:p w14:paraId="774407BB">
      <w:pPr>
        <w:snapToGrid w:val="0"/>
        <w:spacing w:line="400" w:lineRule="exact"/>
        <w:ind w:firstLine="420" w:firstLineChars="200"/>
        <w:rPr>
          <w:rFonts w:hint="eastAsia" w:ascii="宋体" w:hAnsi="宋体" w:eastAsia="宋体" w:cs="宋体"/>
          <w:bCs/>
          <w:color w:val="auto"/>
          <w:kern w:val="0"/>
          <w:sz w:val="21"/>
          <w:szCs w:val="21"/>
          <w:highlight w:val="none"/>
          <w:u w:val="single"/>
        </w:rPr>
      </w:pPr>
      <w:r>
        <w:rPr>
          <w:rFonts w:hint="eastAsia" w:ascii="宋体" w:hAnsi="宋体" w:eastAsia="宋体" w:cs="宋体"/>
          <w:bCs/>
          <w:color w:val="auto"/>
          <w:kern w:val="0"/>
          <w:sz w:val="21"/>
          <w:szCs w:val="21"/>
          <w:highlight w:val="none"/>
        </w:rPr>
        <w:t>联系人：联系电话：</w:t>
      </w:r>
    </w:p>
    <w:p w14:paraId="528834E9">
      <w:pPr>
        <w:snapToGrid w:val="0"/>
        <w:spacing w:line="400" w:lineRule="exact"/>
        <w:ind w:firstLine="420" w:firstLineChars="200"/>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被投诉人2：</w:t>
      </w:r>
    </w:p>
    <w:p w14:paraId="6039AF8A">
      <w:pPr>
        <w:snapToGrid w:val="0"/>
        <w:spacing w:line="400" w:lineRule="exact"/>
        <w:ind w:firstLine="420" w:firstLineChars="200"/>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w:t>
      </w:r>
    </w:p>
    <w:p w14:paraId="63CEE0D6">
      <w:pPr>
        <w:snapToGrid w:val="0"/>
        <w:spacing w:line="400" w:lineRule="exact"/>
        <w:ind w:firstLine="420" w:firstLineChars="200"/>
        <w:rPr>
          <w:rFonts w:hint="eastAsia" w:ascii="宋体" w:hAnsi="宋体" w:eastAsia="宋体" w:cs="宋体"/>
          <w:bCs/>
          <w:color w:val="auto"/>
          <w:kern w:val="0"/>
          <w:sz w:val="21"/>
          <w:szCs w:val="21"/>
          <w:highlight w:val="none"/>
          <w:u w:val="single"/>
        </w:rPr>
      </w:pPr>
      <w:r>
        <w:rPr>
          <w:rFonts w:hint="eastAsia" w:ascii="宋体" w:hAnsi="宋体" w:eastAsia="宋体" w:cs="宋体"/>
          <w:bCs/>
          <w:color w:val="auto"/>
          <w:kern w:val="0"/>
          <w:sz w:val="21"/>
          <w:szCs w:val="21"/>
          <w:highlight w:val="none"/>
        </w:rPr>
        <w:t>相关供应商：</w:t>
      </w:r>
    </w:p>
    <w:p w14:paraId="2C853A62">
      <w:pPr>
        <w:snapToGrid w:val="0"/>
        <w:spacing w:line="400" w:lineRule="exact"/>
        <w:ind w:firstLine="420" w:firstLineChars="200"/>
        <w:rPr>
          <w:rFonts w:hint="eastAsia" w:ascii="宋体" w:hAnsi="宋体" w:eastAsia="宋体" w:cs="宋体"/>
          <w:bCs/>
          <w:color w:val="auto"/>
          <w:kern w:val="0"/>
          <w:sz w:val="21"/>
          <w:szCs w:val="21"/>
          <w:highlight w:val="none"/>
          <w:u w:val="single"/>
        </w:rPr>
      </w:pPr>
      <w:r>
        <w:rPr>
          <w:rFonts w:hint="eastAsia" w:ascii="宋体" w:hAnsi="宋体" w:eastAsia="宋体" w:cs="宋体"/>
          <w:bCs/>
          <w:color w:val="auto"/>
          <w:kern w:val="0"/>
          <w:sz w:val="21"/>
          <w:szCs w:val="21"/>
          <w:highlight w:val="none"/>
        </w:rPr>
        <w:t>地址：邮编：</w:t>
      </w:r>
    </w:p>
    <w:p w14:paraId="2FA4AF70">
      <w:pPr>
        <w:snapToGrid w:val="0"/>
        <w:spacing w:line="400" w:lineRule="exact"/>
        <w:ind w:firstLine="420" w:firstLineChars="200"/>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联系人：联系电话：</w:t>
      </w:r>
    </w:p>
    <w:p w14:paraId="7E2CDBEC">
      <w:pPr>
        <w:snapToGrid w:val="0"/>
        <w:spacing w:line="400" w:lineRule="exact"/>
        <w:ind w:firstLine="422" w:firstLineChars="200"/>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二、投诉项目基本情况：</w:t>
      </w:r>
    </w:p>
    <w:p w14:paraId="32BECFD1">
      <w:pPr>
        <w:spacing w:line="40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bCs/>
          <w:color w:val="auto"/>
          <w:kern w:val="0"/>
          <w:sz w:val="21"/>
          <w:szCs w:val="21"/>
          <w:highlight w:val="none"/>
        </w:rPr>
        <w:t>采购</w:t>
      </w:r>
      <w:r>
        <w:rPr>
          <w:rFonts w:hint="eastAsia" w:ascii="宋体" w:hAnsi="宋体" w:eastAsia="宋体" w:cs="宋体"/>
          <w:color w:val="auto"/>
          <w:kern w:val="0"/>
          <w:sz w:val="21"/>
          <w:szCs w:val="21"/>
          <w:highlight w:val="none"/>
        </w:rPr>
        <w:t>项目的名称：</w:t>
      </w:r>
    </w:p>
    <w:p w14:paraId="31E428C0">
      <w:pPr>
        <w:spacing w:line="40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bCs/>
          <w:color w:val="auto"/>
          <w:kern w:val="0"/>
          <w:sz w:val="21"/>
          <w:szCs w:val="21"/>
          <w:highlight w:val="none"/>
        </w:rPr>
        <w:t>采购</w:t>
      </w:r>
      <w:r>
        <w:rPr>
          <w:rFonts w:hint="eastAsia" w:ascii="宋体" w:hAnsi="宋体" w:eastAsia="宋体" w:cs="宋体"/>
          <w:color w:val="auto"/>
          <w:kern w:val="0"/>
          <w:sz w:val="21"/>
          <w:szCs w:val="21"/>
          <w:highlight w:val="none"/>
        </w:rPr>
        <w:t>项目的编号：</w:t>
      </w:r>
    </w:p>
    <w:p w14:paraId="67FDBF2B">
      <w:pPr>
        <w:spacing w:line="400" w:lineRule="exact"/>
        <w:ind w:left="25" w:leftChars="12" w:firstLine="413" w:firstLineChars="197"/>
        <w:rPr>
          <w:rFonts w:hint="eastAsia" w:ascii="宋体" w:hAnsi="宋体" w:eastAsia="宋体" w:cs="宋体"/>
          <w:bCs/>
          <w:color w:val="auto"/>
          <w:kern w:val="0"/>
          <w:sz w:val="21"/>
          <w:szCs w:val="21"/>
          <w:highlight w:val="none"/>
          <w:u w:val="single"/>
        </w:rPr>
      </w:pPr>
      <w:r>
        <w:rPr>
          <w:rFonts w:hint="eastAsia" w:ascii="宋体" w:hAnsi="宋体" w:eastAsia="宋体" w:cs="宋体"/>
          <w:color w:val="auto"/>
          <w:kern w:val="0"/>
          <w:sz w:val="21"/>
          <w:szCs w:val="21"/>
          <w:highlight w:val="none"/>
        </w:rPr>
        <w:t>采购人名称：</w:t>
      </w:r>
    </w:p>
    <w:p w14:paraId="2BDEEA16">
      <w:pPr>
        <w:spacing w:line="400" w:lineRule="exact"/>
        <w:ind w:left="25" w:leftChars="12" w:firstLine="413" w:firstLineChars="197"/>
        <w:rPr>
          <w:rFonts w:hint="eastAsia" w:ascii="宋体" w:hAnsi="宋体" w:eastAsia="宋体" w:cs="宋体"/>
          <w:bCs/>
          <w:color w:val="auto"/>
          <w:kern w:val="0"/>
          <w:sz w:val="21"/>
          <w:szCs w:val="21"/>
          <w:highlight w:val="none"/>
          <w:u w:val="single"/>
        </w:rPr>
      </w:pPr>
      <w:r>
        <w:rPr>
          <w:rFonts w:hint="eastAsia" w:ascii="宋体" w:hAnsi="宋体" w:eastAsia="宋体" w:cs="宋体"/>
          <w:color w:val="auto"/>
          <w:kern w:val="0"/>
          <w:sz w:val="21"/>
          <w:szCs w:val="21"/>
          <w:highlight w:val="none"/>
        </w:rPr>
        <w:t>代理机构名称：</w:t>
      </w:r>
    </w:p>
    <w:p w14:paraId="7A64F8E4">
      <w:pPr>
        <w:spacing w:line="400" w:lineRule="exact"/>
        <w:ind w:left="25" w:leftChars="12" w:firstLine="413" w:firstLineChars="197"/>
        <w:rPr>
          <w:rFonts w:hint="eastAsia" w:ascii="宋体" w:hAnsi="宋体" w:eastAsia="宋体" w:cs="宋体"/>
          <w:bCs/>
          <w:color w:val="auto"/>
          <w:kern w:val="0"/>
          <w:sz w:val="21"/>
          <w:szCs w:val="21"/>
          <w:highlight w:val="none"/>
          <w:u w:val="single"/>
        </w:rPr>
      </w:pPr>
      <w:r>
        <w:rPr>
          <w:rFonts w:hint="eastAsia" w:ascii="宋体" w:hAnsi="宋体" w:eastAsia="宋体" w:cs="宋体"/>
          <w:bCs/>
          <w:color w:val="auto"/>
          <w:kern w:val="0"/>
          <w:sz w:val="21"/>
          <w:szCs w:val="21"/>
          <w:highlight w:val="none"/>
        </w:rPr>
        <w:t>采购文件公告：</w:t>
      </w:r>
      <w:r>
        <w:rPr>
          <w:rFonts w:hint="eastAsia" w:ascii="宋体" w:hAnsi="宋体" w:eastAsia="宋体" w:cs="宋体"/>
          <w:bCs/>
          <w:color w:val="auto"/>
          <w:kern w:val="0"/>
          <w:sz w:val="21"/>
          <w:szCs w:val="21"/>
          <w:highlight w:val="none"/>
          <w:u w:val="single"/>
        </w:rPr>
        <w:t>是/否</w:t>
      </w:r>
      <w:r>
        <w:rPr>
          <w:rFonts w:hint="eastAsia" w:ascii="宋体" w:hAnsi="宋体" w:eastAsia="宋体" w:cs="宋体"/>
          <w:bCs/>
          <w:color w:val="auto"/>
          <w:kern w:val="0"/>
          <w:sz w:val="21"/>
          <w:szCs w:val="21"/>
          <w:highlight w:val="none"/>
        </w:rPr>
        <w:t>公告期限：</w:t>
      </w:r>
    </w:p>
    <w:p w14:paraId="72037A36">
      <w:pPr>
        <w:spacing w:line="400" w:lineRule="exact"/>
        <w:ind w:left="25" w:leftChars="12" w:firstLine="413" w:firstLineChars="197"/>
        <w:rPr>
          <w:rFonts w:hint="eastAsia" w:ascii="宋体" w:hAnsi="宋体" w:eastAsia="宋体" w:cs="宋体"/>
          <w:b/>
          <w:color w:val="auto"/>
          <w:kern w:val="0"/>
          <w:sz w:val="21"/>
          <w:szCs w:val="21"/>
          <w:highlight w:val="none"/>
        </w:rPr>
      </w:pPr>
      <w:r>
        <w:rPr>
          <w:rFonts w:hint="eastAsia" w:ascii="宋体" w:hAnsi="宋体" w:eastAsia="宋体" w:cs="宋体"/>
          <w:bCs/>
          <w:color w:val="auto"/>
          <w:kern w:val="0"/>
          <w:sz w:val="21"/>
          <w:szCs w:val="21"/>
          <w:highlight w:val="none"/>
        </w:rPr>
        <w:t>采购结果公告：</w:t>
      </w:r>
      <w:r>
        <w:rPr>
          <w:rFonts w:hint="eastAsia" w:ascii="宋体" w:hAnsi="宋体" w:eastAsia="宋体" w:cs="宋体"/>
          <w:bCs/>
          <w:color w:val="auto"/>
          <w:kern w:val="0"/>
          <w:sz w:val="21"/>
          <w:szCs w:val="21"/>
          <w:highlight w:val="none"/>
          <w:u w:val="single"/>
        </w:rPr>
        <w:t>是/否</w:t>
      </w:r>
      <w:r>
        <w:rPr>
          <w:rFonts w:hint="eastAsia" w:ascii="宋体" w:hAnsi="宋体" w:eastAsia="宋体" w:cs="宋体"/>
          <w:bCs/>
          <w:color w:val="auto"/>
          <w:kern w:val="0"/>
          <w:sz w:val="21"/>
          <w:szCs w:val="21"/>
          <w:highlight w:val="none"/>
        </w:rPr>
        <w:t>公告期限：</w:t>
      </w:r>
    </w:p>
    <w:p w14:paraId="0D9A793B">
      <w:pPr>
        <w:spacing w:line="400" w:lineRule="exact"/>
        <w:ind w:left="25" w:leftChars="12" w:firstLine="413" w:firstLineChars="196"/>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三、质疑基本情况</w:t>
      </w:r>
    </w:p>
    <w:p w14:paraId="41DAD576">
      <w:pPr>
        <w:spacing w:line="400" w:lineRule="exact"/>
        <w:ind w:left="25" w:leftChars="12" w:firstLine="833" w:firstLineChars="39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投诉人于年月日，向提出质疑，质疑事项为：</w:t>
      </w:r>
    </w:p>
    <w:p w14:paraId="7A7D7654">
      <w:pPr>
        <w:spacing w:line="400" w:lineRule="exact"/>
        <w:rPr>
          <w:rFonts w:hint="eastAsia" w:ascii="宋体" w:hAnsi="宋体" w:eastAsia="宋体" w:cs="宋体"/>
          <w:bCs/>
          <w:color w:val="auto"/>
          <w:kern w:val="0"/>
          <w:sz w:val="21"/>
          <w:szCs w:val="21"/>
          <w:highlight w:val="none"/>
          <w:u w:val="single"/>
        </w:rPr>
      </w:pPr>
    </w:p>
    <w:p w14:paraId="79791061">
      <w:pPr>
        <w:spacing w:line="400" w:lineRule="exact"/>
        <w:rPr>
          <w:rFonts w:hint="eastAsia" w:ascii="宋体" w:hAnsi="宋体" w:eastAsia="宋体" w:cs="宋体"/>
          <w:bCs/>
          <w:color w:val="auto"/>
          <w:kern w:val="0"/>
          <w:sz w:val="21"/>
          <w:szCs w:val="21"/>
          <w:highlight w:val="none"/>
          <w:u w:val="single"/>
        </w:rPr>
      </w:pPr>
    </w:p>
    <w:p w14:paraId="6D1189A1">
      <w:pPr>
        <w:spacing w:line="400" w:lineRule="exact"/>
        <w:rPr>
          <w:rFonts w:hint="eastAsia" w:ascii="宋体" w:hAnsi="宋体" w:eastAsia="宋体" w:cs="宋体"/>
          <w:color w:val="auto"/>
          <w:kern w:val="0"/>
          <w:sz w:val="21"/>
          <w:szCs w:val="21"/>
          <w:highlight w:val="none"/>
        </w:rPr>
      </w:pPr>
      <w:r>
        <w:rPr>
          <w:rFonts w:hint="eastAsia" w:ascii="宋体" w:hAnsi="宋体" w:eastAsia="宋体" w:cs="宋体"/>
          <w:bCs/>
          <w:color w:val="auto"/>
          <w:kern w:val="0"/>
          <w:sz w:val="21"/>
          <w:szCs w:val="21"/>
          <w:highlight w:val="none"/>
          <w:u w:val="single"/>
        </w:rPr>
        <w:t>采购人/代理机构</w:t>
      </w:r>
      <w:r>
        <w:rPr>
          <w:rFonts w:hint="eastAsia" w:ascii="宋体" w:hAnsi="宋体" w:eastAsia="宋体" w:cs="宋体"/>
          <w:bCs/>
          <w:color w:val="auto"/>
          <w:kern w:val="0"/>
          <w:sz w:val="21"/>
          <w:szCs w:val="21"/>
          <w:highlight w:val="none"/>
        </w:rPr>
        <w:t>于</w:t>
      </w:r>
      <w:r>
        <w:rPr>
          <w:rFonts w:hint="eastAsia" w:ascii="宋体" w:hAnsi="宋体" w:eastAsia="宋体" w:cs="宋体"/>
          <w:color w:val="auto"/>
          <w:kern w:val="0"/>
          <w:sz w:val="21"/>
          <w:szCs w:val="21"/>
          <w:highlight w:val="none"/>
        </w:rPr>
        <w:t>年月日，</w:t>
      </w:r>
      <w:r>
        <w:rPr>
          <w:rFonts w:hint="eastAsia" w:ascii="宋体" w:hAnsi="宋体" w:eastAsia="宋体" w:cs="宋体"/>
          <w:bCs/>
          <w:color w:val="auto"/>
          <w:kern w:val="0"/>
          <w:sz w:val="21"/>
          <w:szCs w:val="21"/>
          <w:highlight w:val="none"/>
        </w:rPr>
        <w:t xml:space="preserve">就质疑事项作出了答复/没有在法定期限内作出答复。                                                                                             </w:t>
      </w:r>
    </w:p>
    <w:p w14:paraId="529562E7">
      <w:pPr>
        <w:spacing w:line="400" w:lineRule="exact"/>
        <w:ind w:left="25" w:leftChars="12" w:firstLine="413" w:firstLineChars="196"/>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四、投诉事项具体内容</w:t>
      </w:r>
    </w:p>
    <w:p w14:paraId="7E11D3E8">
      <w:pPr>
        <w:spacing w:line="400" w:lineRule="exact"/>
        <w:ind w:left="25" w:leftChars="12" w:firstLine="413" w:firstLineChars="197"/>
        <w:rPr>
          <w:rFonts w:hint="eastAsia" w:ascii="宋体" w:hAnsi="宋体" w:eastAsia="宋体" w:cs="宋体"/>
          <w:bCs/>
          <w:color w:val="auto"/>
          <w:kern w:val="0"/>
          <w:sz w:val="21"/>
          <w:szCs w:val="21"/>
          <w:highlight w:val="none"/>
          <w:u w:val="single"/>
        </w:rPr>
      </w:pPr>
      <w:r>
        <w:rPr>
          <w:rFonts w:hint="eastAsia" w:ascii="宋体" w:hAnsi="宋体" w:eastAsia="宋体" w:cs="宋体"/>
          <w:color w:val="auto"/>
          <w:kern w:val="0"/>
          <w:sz w:val="21"/>
          <w:szCs w:val="21"/>
          <w:highlight w:val="none"/>
        </w:rPr>
        <w:t>投诉事项1：</w:t>
      </w:r>
    </w:p>
    <w:p w14:paraId="43ABA6C6">
      <w:pPr>
        <w:spacing w:line="400" w:lineRule="exact"/>
        <w:ind w:firstLine="420" w:firstLineChars="200"/>
        <w:rPr>
          <w:rFonts w:hint="eastAsia" w:ascii="宋体" w:hAnsi="宋体" w:eastAsia="宋体" w:cs="宋体"/>
          <w:bCs/>
          <w:color w:val="auto"/>
          <w:kern w:val="0"/>
          <w:sz w:val="21"/>
          <w:szCs w:val="21"/>
          <w:highlight w:val="none"/>
          <w:u w:val="single"/>
        </w:rPr>
      </w:pPr>
      <w:r>
        <w:rPr>
          <w:rFonts w:hint="eastAsia" w:ascii="宋体" w:hAnsi="宋体" w:eastAsia="宋体" w:cs="宋体"/>
          <w:bCs/>
          <w:color w:val="auto"/>
          <w:kern w:val="0"/>
          <w:sz w:val="21"/>
          <w:szCs w:val="21"/>
          <w:highlight w:val="none"/>
        </w:rPr>
        <w:t>事实依据：</w:t>
      </w:r>
    </w:p>
    <w:p w14:paraId="62878FF4">
      <w:pPr>
        <w:spacing w:line="400" w:lineRule="exact"/>
        <w:ind w:left="25" w:leftChars="12" w:firstLine="413" w:firstLineChars="197"/>
        <w:rPr>
          <w:rFonts w:hint="eastAsia" w:ascii="宋体" w:hAnsi="宋体" w:eastAsia="宋体" w:cs="宋体"/>
          <w:color w:val="auto"/>
          <w:kern w:val="0"/>
          <w:sz w:val="21"/>
          <w:szCs w:val="21"/>
          <w:highlight w:val="none"/>
        </w:rPr>
      </w:pPr>
    </w:p>
    <w:p w14:paraId="064BFD64">
      <w:pPr>
        <w:spacing w:line="400" w:lineRule="exact"/>
        <w:ind w:firstLine="420" w:firstLineChars="200"/>
        <w:rPr>
          <w:rFonts w:hint="eastAsia" w:ascii="宋体" w:hAnsi="宋体" w:eastAsia="宋体" w:cs="宋体"/>
          <w:bCs/>
          <w:color w:val="auto"/>
          <w:kern w:val="0"/>
          <w:sz w:val="21"/>
          <w:szCs w:val="21"/>
          <w:highlight w:val="none"/>
          <w:u w:val="single"/>
        </w:rPr>
      </w:pPr>
      <w:r>
        <w:rPr>
          <w:rFonts w:hint="eastAsia" w:ascii="宋体" w:hAnsi="宋体" w:eastAsia="宋体" w:cs="宋体"/>
          <w:bCs/>
          <w:color w:val="auto"/>
          <w:kern w:val="0"/>
          <w:sz w:val="21"/>
          <w:szCs w:val="21"/>
          <w:highlight w:val="none"/>
        </w:rPr>
        <w:t>法律依据：</w:t>
      </w:r>
    </w:p>
    <w:p w14:paraId="16E6C221">
      <w:pPr>
        <w:spacing w:line="400" w:lineRule="exact"/>
        <w:ind w:left="25" w:leftChars="12" w:firstLine="308" w:firstLineChars="147"/>
        <w:rPr>
          <w:rFonts w:hint="eastAsia" w:ascii="宋体" w:hAnsi="宋体" w:eastAsia="宋体" w:cs="宋体"/>
          <w:bCs/>
          <w:color w:val="auto"/>
          <w:kern w:val="0"/>
          <w:sz w:val="21"/>
          <w:szCs w:val="21"/>
          <w:highlight w:val="none"/>
          <w:u w:val="single"/>
        </w:rPr>
      </w:pPr>
    </w:p>
    <w:p w14:paraId="0866DAC9">
      <w:pPr>
        <w:spacing w:line="400" w:lineRule="exact"/>
        <w:ind w:left="25" w:leftChars="12" w:firstLine="413" w:firstLineChars="197"/>
        <w:rPr>
          <w:rFonts w:hint="eastAsia" w:ascii="宋体" w:hAnsi="宋体" w:eastAsia="宋体" w:cs="宋体"/>
          <w:bCs/>
          <w:color w:val="auto"/>
          <w:kern w:val="0"/>
          <w:sz w:val="21"/>
          <w:szCs w:val="21"/>
          <w:highlight w:val="none"/>
        </w:rPr>
      </w:pPr>
      <w:r>
        <w:rPr>
          <w:rFonts w:hint="eastAsia" w:ascii="宋体" w:hAnsi="宋体" w:eastAsia="宋体" w:cs="宋体"/>
          <w:color w:val="auto"/>
          <w:kern w:val="0"/>
          <w:sz w:val="21"/>
          <w:szCs w:val="21"/>
          <w:highlight w:val="none"/>
        </w:rPr>
        <w:t xml:space="preserve">投诉事项2  </w:t>
      </w:r>
    </w:p>
    <w:p w14:paraId="6AA42CA5">
      <w:pPr>
        <w:spacing w:line="400" w:lineRule="exact"/>
        <w:ind w:left="25" w:leftChars="12" w:firstLine="413" w:firstLineChars="197"/>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w:t>
      </w:r>
    </w:p>
    <w:p w14:paraId="5D2E5D20">
      <w:pPr>
        <w:spacing w:line="400" w:lineRule="exact"/>
        <w:ind w:left="25" w:leftChars="12" w:firstLine="413" w:firstLineChars="196"/>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五、与投诉事项相关的投诉请求：</w:t>
      </w:r>
    </w:p>
    <w:p w14:paraId="73400292">
      <w:pPr>
        <w:spacing w:line="40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请求：</w:t>
      </w:r>
    </w:p>
    <w:p w14:paraId="70F2D4F0">
      <w:pPr>
        <w:spacing w:line="400" w:lineRule="exact"/>
        <w:ind w:left="25" w:leftChars="12" w:firstLine="308" w:firstLineChars="147"/>
        <w:rPr>
          <w:rFonts w:hint="eastAsia" w:ascii="宋体" w:hAnsi="宋体" w:eastAsia="宋体" w:cs="宋体"/>
          <w:color w:val="auto"/>
          <w:kern w:val="0"/>
          <w:sz w:val="21"/>
          <w:szCs w:val="21"/>
          <w:highlight w:val="none"/>
        </w:rPr>
      </w:pPr>
    </w:p>
    <w:p w14:paraId="157867BD">
      <w:pPr>
        <w:spacing w:line="40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签字（签章）：                                       公章：</w:t>
      </w:r>
    </w:p>
    <w:p w14:paraId="4D3DEB8E">
      <w:pPr>
        <w:spacing w:line="400" w:lineRule="exact"/>
        <w:ind w:left="25" w:leftChars="12" w:firstLine="308" w:firstLineChars="147"/>
        <w:rPr>
          <w:rFonts w:hint="eastAsia" w:ascii="宋体" w:hAnsi="宋体" w:eastAsia="宋体" w:cs="宋体"/>
          <w:color w:val="auto"/>
          <w:kern w:val="0"/>
          <w:sz w:val="21"/>
          <w:szCs w:val="21"/>
          <w:highlight w:val="none"/>
        </w:rPr>
      </w:pPr>
    </w:p>
    <w:p w14:paraId="294F3BD4">
      <w:pPr>
        <w:spacing w:line="400" w:lineRule="exact"/>
        <w:ind w:left="25" w:leftChars="12" w:firstLine="413" w:firstLineChars="197"/>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日期：</w:t>
      </w:r>
    </w:p>
    <w:p w14:paraId="7C97F370">
      <w:pPr>
        <w:spacing w:line="360" w:lineRule="exact"/>
        <w:ind w:left="25" w:leftChars="12" w:firstLine="413" w:firstLineChars="197"/>
        <w:rPr>
          <w:rFonts w:hint="eastAsia" w:ascii="宋体" w:hAnsi="宋体" w:eastAsia="宋体" w:cs="宋体"/>
          <w:color w:val="auto"/>
          <w:kern w:val="0"/>
          <w:sz w:val="21"/>
          <w:szCs w:val="21"/>
          <w:highlight w:val="none"/>
        </w:rPr>
      </w:pPr>
    </w:p>
    <w:p w14:paraId="6687AE0C">
      <w:pPr>
        <w:snapToGrid w:val="0"/>
        <w:spacing w:line="340" w:lineRule="exact"/>
        <w:rPr>
          <w:rFonts w:hint="eastAsia" w:ascii="宋体" w:hAnsi="宋体" w:eastAsia="宋体" w:cs="宋体"/>
          <w:b/>
          <w:color w:val="auto"/>
          <w:kern w:val="0"/>
          <w:sz w:val="21"/>
          <w:szCs w:val="21"/>
          <w:highlight w:val="none"/>
        </w:rPr>
      </w:pPr>
    </w:p>
    <w:p w14:paraId="080C07D5">
      <w:pPr>
        <w:snapToGrid w:val="0"/>
        <w:spacing w:line="340" w:lineRule="exact"/>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说明：</w:t>
      </w:r>
    </w:p>
    <w:p w14:paraId="78DEAA44">
      <w:pPr>
        <w:spacing w:line="340" w:lineRule="exact"/>
        <w:ind w:left="25" w:leftChars="12" w:firstLine="310" w:firstLineChars="147"/>
        <w:rPr>
          <w:rFonts w:hint="eastAsia" w:ascii="宋体" w:hAnsi="宋体" w:eastAsia="宋体" w:cs="宋体"/>
          <w:b/>
          <w:bCs/>
          <w:color w:val="auto"/>
          <w:kern w:val="0"/>
          <w:sz w:val="21"/>
          <w:szCs w:val="21"/>
          <w:highlight w:val="none"/>
        </w:rPr>
      </w:pPr>
      <w:r>
        <w:rPr>
          <w:rFonts w:hint="eastAsia" w:ascii="宋体" w:hAnsi="宋体" w:eastAsia="宋体" w:cs="宋体"/>
          <w:b/>
          <w:color w:val="auto"/>
          <w:kern w:val="0"/>
          <w:sz w:val="21"/>
          <w:szCs w:val="21"/>
          <w:highlight w:val="none"/>
        </w:rPr>
        <w:t>1.投诉人提起投诉时，应当提交投诉书和必要的证明材料，并按照被投诉人和与投诉事项有关的供应商数量提供投诉书副本</w:t>
      </w:r>
      <w:r>
        <w:rPr>
          <w:rFonts w:hint="eastAsia" w:ascii="宋体" w:hAnsi="宋体" w:eastAsia="宋体" w:cs="宋体"/>
          <w:b/>
          <w:bCs/>
          <w:color w:val="auto"/>
          <w:kern w:val="0"/>
          <w:sz w:val="21"/>
          <w:szCs w:val="21"/>
          <w:highlight w:val="none"/>
        </w:rPr>
        <w:t>。</w:t>
      </w:r>
    </w:p>
    <w:p w14:paraId="58E53029">
      <w:pPr>
        <w:spacing w:line="340" w:lineRule="exact"/>
        <w:ind w:left="25" w:leftChars="12" w:firstLine="310" w:firstLineChars="147"/>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2.投诉人若委托代理人进行投诉的，投诉书应按要求列明“授权代表”的有关内容，并在附件中提交由投诉人签署的授权委托书。授权委托书应当载明代理人的姓名或者名称、代理事项、具体权限、期限和相关事项。</w:t>
      </w:r>
    </w:p>
    <w:p w14:paraId="3463D2FB">
      <w:pPr>
        <w:spacing w:line="340" w:lineRule="exact"/>
        <w:ind w:left="25" w:leftChars="12" w:firstLine="310" w:firstLineChars="147"/>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3.投诉书应简要列明质疑事项，质疑函、质疑答复等作为附件材料提供。</w:t>
      </w:r>
    </w:p>
    <w:p w14:paraId="45A4AE01">
      <w:pPr>
        <w:spacing w:line="340" w:lineRule="exact"/>
        <w:ind w:left="25" w:leftChars="12" w:firstLine="310" w:firstLineChars="147"/>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4.投诉书的投诉事项应具体、明确，并有必要的事实依据和法律依据。</w:t>
      </w:r>
    </w:p>
    <w:p w14:paraId="217F0DBC">
      <w:pPr>
        <w:spacing w:line="340" w:lineRule="exact"/>
        <w:ind w:left="25" w:leftChars="12" w:firstLine="310" w:firstLineChars="147"/>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5.投诉书的投诉请求应与投诉事项相关。</w:t>
      </w:r>
    </w:p>
    <w:p w14:paraId="7AF07529">
      <w:pPr>
        <w:spacing w:line="340" w:lineRule="exact"/>
        <w:ind w:left="25" w:leftChars="12" w:firstLine="310" w:firstLineChars="147"/>
        <w:rPr>
          <w:rFonts w:hint="eastAsia" w:ascii="宋体" w:hAnsi="宋体" w:eastAsia="宋体" w:cs="宋体"/>
          <w:b/>
          <w:color w:val="auto"/>
          <w:sz w:val="21"/>
          <w:szCs w:val="21"/>
          <w:highlight w:val="none"/>
        </w:rPr>
      </w:pPr>
      <w:r>
        <w:rPr>
          <w:rFonts w:hint="eastAsia" w:ascii="宋体" w:hAnsi="宋体" w:eastAsia="宋体" w:cs="宋体"/>
          <w:b/>
          <w:color w:val="auto"/>
          <w:kern w:val="0"/>
          <w:sz w:val="21"/>
          <w:szCs w:val="21"/>
          <w:highlight w:val="none"/>
        </w:rPr>
        <w:t>6.</w:t>
      </w:r>
      <w:r>
        <w:rPr>
          <w:rFonts w:hint="eastAsia" w:ascii="宋体" w:hAnsi="宋体" w:eastAsia="宋体" w:cs="宋体"/>
          <w:b/>
          <w:color w:val="auto"/>
          <w:sz w:val="21"/>
          <w:szCs w:val="21"/>
          <w:highlight w:val="none"/>
        </w:rPr>
        <w:t>投诉人为法人或者其他组织的，投诉书应由法定代表人、主要负责人，或者其授权代表签字或者盖章，并加盖公章。</w:t>
      </w:r>
    </w:p>
    <w:p w14:paraId="2BB20010">
      <w:pPr>
        <w:spacing w:line="340" w:lineRule="exact"/>
        <w:ind w:left="25" w:leftChars="12" w:firstLine="310" w:firstLineChars="147"/>
        <w:rPr>
          <w:rFonts w:hint="eastAsia" w:ascii="宋体" w:hAnsi="宋体" w:eastAsia="宋体" w:cs="宋体"/>
          <w:b/>
          <w:color w:val="auto"/>
          <w:kern w:val="0"/>
          <w:sz w:val="21"/>
          <w:szCs w:val="21"/>
          <w:highlight w:val="none"/>
        </w:rPr>
      </w:pPr>
    </w:p>
    <w:p w14:paraId="5FD42FBB">
      <w:pPr>
        <w:pStyle w:val="8"/>
        <w:spacing w:before="191" w:line="219" w:lineRule="auto"/>
        <w:ind w:left="9"/>
        <w:rPr>
          <w:color w:val="auto"/>
          <w:spacing w:val="-8"/>
          <w:sz w:val="24"/>
          <w:szCs w:val="24"/>
          <w:highlight w:val="none"/>
          <w14:textOutline w14:w="4358" w14:cap="sq" w14:cmpd="sng">
            <w14:solidFill>
              <w14:srgbClr w14:val="000000"/>
            </w14:solidFill>
            <w14:prstDash w14:val="solid"/>
            <w14:bevel/>
          </w14:textOutline>
        </w:rPr>
      </w:pPr>
    </w:p>
    <w:p w14:paraId="55562BA3">
      <w:pPr>
        <w:pStyle w:val="8"/>
        <w:spacing w:before="191" w:line="219" w:lineRule="auto"/>
        <w:ind w:left="9"/>
        <w:rPr>
          <w:color w:val="auto"/>
          <w:spacing w:val="-8"/>
          <w:sz w:val="24"/>
          <w:szCs w:val="24"/>
          <w:highlight w:val="none"/>
          <w14:textOutline w14:w="4358" w14:cap="sq" w14:cmpd="sng">
            <w14:solidFill>
              <w14:srgbClr w14:val="000000"/>
            </w14:solidFill>
            <w14:prstDash w14:val="solid"/>
            <w14:bevel/>
          </w14:textOutline>
        </w:rPr>
      </w:pPr>
    </w:p>
    <w:p w14:paraId="6CF31F52">
      <w:pPr>
        <w:pStyle w:val="8"/>
        <w:spacing w:before="191" w:line="219" w:lineRule="auto"/>
        <w:ind w:left="9"/>
        <w:rPr>
          <w:color w:val="auto"/>
          <w:spacing w:val="-8"/>
          <w:sz w:val="24"/>
          <w:szCs w:val="24"/>
          <w:highlight w:val="none"/>
          <w14:textOutline w14:w="4358" w14:cap="sq" w14:cmpd="sng">
            <w14:solidFill>
              <w14:srgbClr w14:val="000000"/>
            </w14:solidFill>
            <w14:prstDash w14:val="solid"/>
            <w14:bevel/>
          </w14:textOutline>
        </w:rPr>
      </w:pPr>
    </w:p>
    <w:p w14:paraId="1FF8B1E7">
      <w:pPr>
        <w:pStyle w:val="8"/>
        <w:spacing w:before="191" w:line="219" w:lineRule="auto"/>
        <w:ind w:left="9"/>
        <w:rPr>
          <w:color w:val="auto"/>
          <w:spacing w:val="-8"/>
          <w:sz w:val="24"/>
          <w:szCs w:val="24"/>
          <w:highlight w:val="none"/>
          <w14:textOutline w14:w="4358" w14:cap="sq" w14:cmpd="sng">
            <w14:solidFill>
              <w14:srgbClr w14:val="000000"/>
            </w14:solidFill>
            <w14:prstDash w14:val="solid"/>
            <w14:bevel/>
          </w14:textOutline>
        </w:rPr>
      </w:pPr>
    </w:p>
    <w:p w14:paraId="2970E949">
      <w:pPr>
        <w:pStyle w:val="8"/>
        <w:spacing w:before="191" w:line="219" w:lineRule="auto"/>
        <w:ind w:left="9"/>
        <w:rPr>
          <w:color w:val="auto"/>
          <w:spacing w:val="-8"/>
          <w:sz w:val="24"/>
          <w:szCs w:val="24"/>
          <w:highlight w:val="none"/>
          <w14:textOutline w14:w="4358" w14:cap="sq" w14:cmpd="sng">
            <w14:solidFill>
              <w14:srgbClr w14:val="000000"/>
            </w14:solidFill>
            <w14:prstDash w14:val="solid"/>
            <w14:bevel/>
          </w14:textOutline>
        </w:rPr>
      </w:pPr>
    </w:p>
    <w:p w14:paraId="003B0991">
      <w:pPr>
        <w:pStyle w:val="8"/>
        <w:spacing w:before="191" w:line="219" w:lineRule="auto"/>
        <w:ind w:left="9"/>
        <w:rPr>
          <w:color w:val="auto"/>
          <w:spacing w:val="-8"/>
          <w:sz w:val="24"/>
          <w:szCs w:val="24"/>
          <w:highlight w:val="none"/>
          <w14:textOutline w14:w="4358" w14:cap="sq" w14:cmpd="sng">
            <w14:solidFill>
              <w14:srgbClr w14:val="000000"/>
            </w14:solidFill>
            <w14:prstDash w14:val="solid"/>
            <w14:bevel/>
          </w14:textOutline>
        </w:rPr>
      </w:pPr>
    </w:p>
    <w:p w14:paraId="0E24D264">
      <w:pPr>
        <w:pStyle w:val="8"/>
        <w:spacing w:before="191" w:line="219" w:lineRule="auto"/>
        <w:ind w:left="9"/>
        <w:rPr>
          <w:color w:val="auto"/>
          <w:spacing w:val="-8"/>
          <w:sz w:val="24"/>
          <w:szCs w:val="24"/>
          <w:highlight w:val="none"/>
          <w14:textOutline w14:w="4358" w14:cap="sq" w14:cmpd="sng">
            <w14:solidFill>
              <w14:srgbClr w14:val="000000"/>
            </w14:solidFill>
            <w14:prstDash w14:val="solid"/>
            <w14:bevel/>
          </w14:textOutline>
        </w:rPr>
      </w:pPr>
    </w:p>
    <w:p w14:paraId="21D82E86">
      <w:pPr>
        <w:pStyle w:val="8"/>
        <w:spacing w:before="191" w:line="219" w:lineRule="auto"/>
        <w:ind w:left="9"/>
        <w:rPr>
          <w:color w:val="auto"/>
          <w:spacing w:val="-8"/>
          <w:sz w:val="24"/>
          <w:szCs w:val="24"/>
          <w:highlight w:val="none"/>
          <w14:textOutline w14:w="4358" w14:cap="sq" w14:cmpd="sng">
            <w14:solidFill>
              <w14:srgbClr w14:val="000000"/>
            </w14:solidFill>
            <w14:prstDash w14:val="solid"/>
            <w14:bevel/>
          </w14:textOutline>
        </w:rPr>
      </w:pPr>
    </w:p>
    <w:p w14:paraId="08343276">
      <w:pPr>
        <w:pStyle w:val="8"/>
        <w:spacing w:before="191" w:line="219" w:lineRule="auto"/>
        <w:ind w:left="9"/>
        <w:rPr>
          <w:color w:val="auto"/>
          <w:spacing w:val="-8"/>
          <w:sz w:val="24"/>
          <w:szCs w:val="24"/>
          <w:highlight w:val="none"/>
          <w14:textOutline w14:w="4358" w14:cap="sq" w14:cmpd="sng">
            <w14:solidFill>
              <w14:srgbClr w14:val="000000"/>
            </w14:solidFill>
            <w14:prstDash w14:val="solid"/>
            <w14:bevel/>
          </w14:textOutline>
        </w:rPr>
      </w:pPr>
    </w:p>
    <w:p w14:paraId="1989FFDA">
      <w:pPr>
        <w:pStyle w:val="8"/>
        <w:spacing w:before="191" w:line="219" w:lineRule="auto"/>
        <w:ind w:left="9"/>
        <w:rPr>
          <w:color w:val="auto"/>
          <w:spacing w:val="-8"/>
          <w:sz w:val="24"/>
          <w:szCs w:val="24"/>
          <w:highlight w:val="none"/>
          <w14:textOutline w14:w="4358" w14:cap="sq" w14:cmpd="sng">
            <w14:solidFill>
              <w14:srgbClr w14:val="000000"/>
            </w14:solidFill>
            <w14:prstDash w14:val="solid"/>
            <w14:bevel/>
          </w14:textOutline>
        </w:rPr>
      </w:pPr>
    </w:p>
    <w:p w14:paraId="0C0E546E">
      <w:pPr>
        <w:pStyle w:val="8"/>
        <w:spacing w:before="191" w:line="219" w:lineRule="auto"/>
        <w:ind w:left="9"/>
        <w:rPr>
          <w:color w:val="auto"/>
          <w:spacing w:val="-8"/>
          <w:sz w:val="24"/>
          <w:szCs w:val="24"/>
          <w:highlight w:val="none"/>
          <w14:textOutline w14:w="4358" w14:cap="sq" w14:cmpd="sng">
            <w14:solidFill>
              <w14:srgbClr w14:val="000000"/>
            </w14:solidFill>
            <w14:prstDash w14:val="solid"/>
            <w14:bevel/>
          </w14:textOutline>
        </w:rPr>
      </w:pPr>
    </w:p>
    <w:p w14:paraId="182029E0">
      <w:pPr>
        <w:rPr>
          <w:color w:val="auto"/>
          <w:highlight w:val="none"/>
        </w:rPr>
      </w:pPr>
    </w:p>
    <w:p w14:paraId="55636695">
      <w:pPr>
        <w:pStyle w:val="8"/>
        <w:rPr>
          <w:color w:val="auto"/>
          <w:highlight w:val="none"/>
        </w:rPr>
      </w:pPr>
    </w:p>
    <w:p w14:paraId="5EEBAFBF">
      <w:pPr>
        <w:snapToGrid w:val="0"/>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附表 3:</w:t>
      </w:r>
    </w:p>
    <w:p w14:paraId="558E8C75">
      <w:pPr>
        <w:pStyle w:val="8"/>
        <w:keepNext w:val="0"/>
        <w:keepLines w:val="0"/>
        <w:pageBreakBefore w:val="0"/>
        <w:widowControl w:val="0"/>
        <w:kinsoku/>
        <w:wordWrap/>
        <w:overflowPunct/>
        <w:topLinePunct w:val="0"/>
        <w:autoSpaceDE/>
        <w:autoSpaceDN/>
        <w:bidi w:val="0"/>
        <w:adjustRightInd/>
        <w:snapToGrid/>
        <w:spacing w:after="0" w:line="400" w:lineRule="atLeast"/>
        <w:ind w:left="0"/>
        <w:jc w:val="center"/>
        <w:textAlignment w:val="auto"/>
        <w:rPr>
          <w:color w:val="auto"/>
          <w:sz w:val="24"/>
          <w:szCs w:val="24"/>
          <w:highlight w:val="none"/>
        </w:rPr>
      </w:pPr>
      <w:r>
        <w:rPr>
          <w:color w:val="auto"/>
          <w:spacing w:val="9"/>
          <w:sz w:val="24"/>
          <w:szCs w:val="24"/>
          <w:highlight w:val="none"/>
          <w14:textOutline w14:w="5793" w14:cap="sq" w14:cmpd="sng">
            <w14:solidFill>
              <w14:srgbClr w14:val="000000"/>
            </w14:solidFill>
            <w14:prstDash w14:val="solid"/>
            <w14:bevel/>
          </w14:textOutline>
        </w:rPr>
        <w:t>政府采购项目合同验收报告（格式）</w:t>
      </w:r>
    </w:p>
    <w:p w14:paraId="67C0F8A4">
      <w:pPr>
        <w:spacing w:line="242" w:lineRule="auto"/>
        <w:rPr>
          <w:rFonts w:ascii="Arial"/>
          <w:color w:val="auto"/>
          <w:sz w:val="21"/>
          <w:highlight w:val="none"/>
        </w:rPr>
      </w:pPr>
    </w:p>
    <w:p w14:paraId="2F9458ED">
      <w:pPr>
        <w:spacing w:line="243" w:lineRule="auto"/>
        <w:rPr>
          <w:rFonts w:ascii="Arial"/>
          <w:color w:val="auto"/>
          <w:sz w:val="21"/>
          <w:highlight w:val="none"/>
        </w:rPr>
      </w:pPr>
    </w:p>
    <w:p w14:paraId="31FDFBC8">
      <w:pPr>
        <w:spacing w:line="243" w:lineRule="auto"/>
        <w:rPr>
          <w:rFonts w:ascii="Arial"/>
          <w:color w:val="auto"/>
          <w:sz w:val="21"/>
          <w:highlight w:val="none"/>
        </w:rPr>
      </w:pPr>
    </w:p>
    <w:p w14:paraId="1F042E01">
      <w:pPr>
        <w:spacing w:before="65" w:line="229" w:lineRule="auto"/>
        <w:jc w:val="right"/>
        <w:rPr>
          <w:rFonts w:hint="eastAsia" w:ascii="宋体" w:hAnsi="宋体" w:eastAsia="宋体" w:cs="宋体"/>
          <w:color w:val="auto"/>
          <w:sz w:val="20"/>
          <w:szCs w:val="20"/>
          <w:highlight w:val="none"/>
        </w:rPr>
      </w:pPr>
      <w:r>
        <w:rPr>
          <w:rFonts w:hint="eastAsia" w:ascii="宋体" w:hAnsi="宋体" w:eastAsia="宋体" w:cs="宋体"/>
          <w:color w:val="auto"/>
          <w:spacing w:val="7"/>
          <w:sz w:val="20"/>
          <w:szCs w:val="20"/>
          <w:highlight w:val="none"/>
        </w:rPr>
        <w:t>根据政府采购项目（</w:t>
      </w:r>
      <w:r>
        <w:rPr>
          <w:rFonts w:hint="eastAsia" w:ascii="宋体" w:hAnsi="宋体" w:eastAsia="宋体" w:cs="宋体"/>
          <w:color w:val="auto"/>
          <w:spacing w:val="7"/>
          <w:sz w:val="20"/>
          <w:szCs w:val="20"/>
          <w:highlight w:val="none"/>
          <w:u w:val="single" w:color="auto"/>
        </w:rPr>
        <w:t>采购合同编号</w:t>
      </w:r>
      <w:r>
        <w:rPr>
          <w:rFonts w:hint="eastAsia" w:ascii="宋体" w:hAnsi="宋体" w:eastAsia="宋体" w:cs="宋体"/>
          <w:color w:val="auto"/>
          <w:spacing w:val="2"/>
          <w:sz w:val="20"/>
          <w:szCs w:val="20"/>
          <w:highlight w:val="none"/>
          <w:u w:val="single" w:color="auto"/>
        </w:rPr>
        <w:t>：</w:t>
      </w:r>
      <w:r>
        <w:rPr>
          <w:rFonts w:hint="eastAsia" w:ascii="宋体" w:hAnsi="宋体" w:eastAsia="宋体" w:cs="宋体"/>
          <w:color w:val="auto"/>
          <w:spacing w:val="17"/>
          <w:sz w:val="20"/>
          <w:szCs w:val="20"/>
          <w:highlight w:val="none"/>
          <w:u w:val="single" w:color="auto"/>
        </w:rPr>
        <w:t xml:space="preserve"> </w:t>
      </w:r>
      <w:r>
        <w:rPr>
          <w:rFonts w:hint="eastAsia" w:ascii="宋体" w:hAnsi="宋体" w:eastAsia="宋体" w:cs="宋体"/>
          <w:color w:val="auto"/>
          <w:spacing w:val="-70"/>
          <w:sz w:val="20"/>
          <w:szCs w:val="20"/>
          <w:highlight w:val="none"/>
        </w:rPr>
        <w:t xml:space="preserve"> </w:t>
      </w:r>
      <w:r>
        <w:rPr>
          <w:rFonts w:hint="eastAsia" w:ascii="宋体" w:hAnsi="宋体" w:eastAsia="宋体" w:cs="宋体"/>
          <w:color w:val="auto"/>
          <w:spacing w:val="2"/>
          <w:sz w:val="20"/>
          <w:szCs w:val="20"/>
          <w:highlight w:val="none"/>
        </w:rPr>
        <w:t>）</w:t>
      </w:r>
      <w:r>
        <w:rPr>
          <w:rFonts w:hint="eastAsia" w:ascii="宋体" w:hAnsi="宋体" w:eastAsia="宋体" w:cs="宋体"/>
          <w:color w:val="auto"/>
          <w:spacing w:val="7"/>
          <w:sz w:val="20"/>
          <w:szCs w:val="20"/>
          <w:highlight w:val="none"/>
        </w:rPr>
        <w:t>的约定，我单位对（</w:t>
      </w:r>
      <w:r>
        <w:rPr>
          <w:rFonts w:hint="eastAsia" w:ascii="宋体" w:hAnsi="宋体" w:eastAsia="宋体" w:cs="宋体"/>
          <w:color w:val="auto"/>
          <w:spacing w:val="53"/>
          <w:sz w:val="20"/>
          <w:szCs w:val="20"/>
          <w:highlight w:val="none"/>
          <w:u w:val="single" w:color="auto"/>
        </w:rPr>
        <w:t xml:space="preserve"> </w:t>
      </w:r>
      <w:r>
        <w:rPr>
          <w:rFonts w:hint="eastAsia" w:ascii="宋体" w:hAnsi="宋体" w:eastAsia="宋体" w:cs="宋体"/>
          <w:color w:val="auto"/>
          <w:spacing w:val="7"/>
          <w:sz w:val="20"/>
          <w:szCs w:val="20"/>
          <w:highlight w:val="none"/>
          <w:u w:val="single" w:color="auto"/>
        </w:rPr>
        <w:t>项目名称</w:t>
      </w:r>
      <w:r>
        <w:rPr>
          <w:rFonts w:hint="eastAsia" w:ascii="宋体" w:hAnsi="宋体" w:eastAsia="宋体" w:cs="宋体"/>
          <w:color w:val="auto"/>
          <w:spacing w:val="38"/>
          <w:sz w:val="20"/>
          <w:szCs w:val="20"/>
          <w:highlight w:val="none"/>
          <w:u w:val="single" w:color="auto"/>
        </w:rPr>
        <w:t xml:space="preserve"> </w:t>
      </w:r>
      <w:r>
        <w:rPr>
          <w:rFonts w:hint="eastAsia" w:ascii="宋体" w:hAnsi="宋体" w:eastAsia="宋体" w:cs="宋体"/>
          <w:color w:val="auto"/>
          <w:spacing w:val="7"/>
          <w:sz w:val="20"/>
          <w:szCs w:val="20"/>
          <w:highlight w:val="none"/>
        </w:rPr>
        <w:t>）政府采购项目中</w:t>
      </w:r>
      <w:r>
        <w:rPr>
          <w:rFonts w:hint="eastAsia" w:ascii="宋体" w:hAnsi="宋体" w:eastAsia="宋体" w:cs="宋体"/>
          <w:color w:val="auto"/>
          <w:spacing w:val="6"/>
          <w:sz w:val="20"/>
          <w:szCs w:val="20"/>
          <w:highlight w:val="none"/>
        </w:rPr>
        <w:t>标（或成</w:t>
      </w:r>
    </w:p>
    <w:p w14:paraId="136BD21B">
      <w:pPr>
        <w:spacing w:before="73" w:line="221" w:lineRule="auto"/>
        <w:rPr>
          <w:rFonts w:hint="eastAsia" w:ascii="宋体" w:hAnsi="宋体" w:eastAsia="宋体" w:cs="宋体"/>
          <w:color w:val="auto"/>
          <w:sz w:val="20"/>
          <w:szCs w:val="20"/>
          <w:highlight w:val="none"/>
        </w:rPr>
      </w:pPr>
      <w:r>
        <w:rPr>
          <w:rFonts w:hint="eastAsia" w:ascii="宋体" w:hAnsi="宋体" w:eastAsia="宋体" w:cs="宋体"/>
          <w:color w:val="auto"/>
          <w:spacing w:val="6"/>
          <w:sz w:val="20"/>
          <w:szCs w:val="20"/>
          <w:highlight w:val="none"/>
        </w:rPr>
        <w:t>交）供应商</w:t>
      </w:r>
      <w:r>
        <w:rPr>
          <w:rFonts w:hint="eastAsia" w:ascii="宋体" w:hAnsi="宋体" w:eastAsia="宋体" w:cs="宋体"/>
          <w:color w:val="auto"/>
          <w:spacing w:val="6"/>
          <w:sz w:val="20"/>
          <w:szCs w:val="20"/>
          <w:highlight w:val="none"/>
          <w:u w:val="single" w:color="auto"/>
        </w:rPr>
        <w:t>（</w:t>
      </w:r>
      <w:r>
        <w:rPr>
          <w:rFonts w:hint="eastAsia" w:ascii="宋体" w:hAnsi="宋体" w:eastAsia="宋体" w:cs="宋体"/>
          <w:color w:val="auto"/>
          <w:spacing w:val="72"/>
          <w:sz w:val="20"/>
          <w:szCs w:val="20"/>
          <w:highlight w:val="none"/>
          <w:u w:val="single" w:color="auto"/>
        </w:rPr>
        <w:t xml:space="preserve"> </w:t>
      </w:r>
      <w:r>
        <w:rPr>
          <w:rFonts w:hint="eastAsia" w:ascii="宋体" w:hAnsi="宋体" w:eastAsia="宋体" w:cs="宋体"/>
          <w:color w:val="auto"/>
          <w:spacing w:val="6"/>
          <w:sz w:val="20"/>
          <w:szCs w:val="20"/>
          <w:highlight w:val="none"/>
          <w:u w:val="single" w:color="auto"/>
        </w:rPr>
        <w:t>公司名称</w:t>
      </w:r>
      <w:r>
        <w:rPr>
          <w:rFonts w:hint="eastAsia" w:ascii="宋体" w:hAnsi="宋体" w:eastAsia="宋体" w:cs="宋体"/>
          <w:color w:val="auto"/>
          <w:spacing w:val="38"/>
          <w:sz w:val="20"/>
          <w:szCs w:val="20"/>
          <w:highlight w:val="none"/>
          <w:u w:val="single" w:color="auto"/>
        </w:rPr>
        <w:t xml:space="preserve"> </w:t>
      </w:r>
      <w:r>
        <w:rPr>
          <w:rFonts w:hint="eastAsia" w:ascii="宋体" w:hAnsi="宋体" w:eastAsia="宋体" w:cs="宋体"/>
          <w:color w:val="auto"/>
          <w:spacing w:val="6"/>
          <w:sz w:val="20"/>
          <w:szCs w:val="20"/>
          <w:highlight w:val="none"/>
          <w:u w:val="single" w:color="auto"/>
        </w:rPr>
        <w:t xml:space="preserve">） </w:t>
      </w:r>
      <w:r>
        <w:rPr>
          <w:rFonts w:hint="eastAsia" w:ascii="宋体" w:hAnsi="宋体" w:eastAsia="宋体" w:cs="宋体"/>
          <w:color w:val="auto"/>
          <w:spacing w:val="-84"/>
          <w:sz w:val="20"/>
          <w:szCs w:val="20"/>
          <w:highlight w:val="none"/>
        </w:rPr>
        <w:t xml:space="preserve"> </w:t>
      </w:r>
      <w:r>
        <w:rPr>
          <w:rFonts w:hint="eastAsia" w:ascii="宋体" w:hAnsi="宋体" w:eastAsia="宋体" w:cs="宋体"/>
          <w:color w:val="auto"/>
          <w:spacing w:val="6"/>
          <w:sz w:val="20"/>
          <w:szCs w:val="20"/>
          <w:highlight w:val="none"/>
        </w:rPr>
        <w:t>提供的货物（或工程、服务）进行了验收，验收情况如下：</w:t>
      </w:r>
    </w:p>
    <w:tbl>
      <w:tblPr>
        <w:tblStyle w:val="47"/>
        <w:tblW w:w="8449" w:type="dxa"/>
        <w:tblInd w:w="576"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338"/>
        <w:gridCol w:w="1917"/>
        <w:gridCol w:w="695"/>
        <w:gridCol w:w="102"/>
        <w:gridCol w:w="2100"/>
        <w:gridCol w:w="178"/>
        <w:gridCol w:w="684"/>
        <w:gridCol w:w="1435"/>
      </w:tblGrid>
      <w:tr w14:paraId="561949C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11" w:hRule="atLeast"/>
        </w:trPr>
        <w:tc>
          <w:tcPr>
            <w:tcW w:w="3255" w:type="dxa"/>
            <w:gridSpan w:val="2"/>
            <w:vAlign w:val="top"/>
          </w:tcPr>
          <w:p w14:paraId="257605B6">
            <w:pPr>
              <w:pStyle w:val="46"/>
              <w:spacing w:before="172" w:line="228" w:lineRule="auto"/>
              <w:ind w:left="1103"/>
              <w:rPr>
                <w:rFonts w:hint="eastAsia" w:ascii="宋体" w:hAnsi="宋体" w:eastAsia="宋体" w:cs="宋体"/>
                <w:color w:val="auto"/>
                <w:highlight w:val="none"/>
              </w:rPr>
            </w:pPr>
            <w:r>
              <w:rPr>
                <w:rFonts w:hint="eastAsia" w:ascii="宋体" w:hAnsi="宋体" w:eastAsia="宋体" w:cs="宋体"/>
                <w:color w:val="auto"/>
                <w:spacing w:val="6"/>
                <w:highlight w:val="none"/>
              </w:rPr>
              <w:t>验收方式：</w:t>
            </w:r>
          </w:p>
        </w:tc>
        <w:tc>
          <w:tcPr>
            <w:tcW w:w="5194" w:type="dxa"/>
            <w:gridSpan w:val="6"/>
            <w:vAlign w:val="top"/>
          </w:tcPr>
          <w:p w14:paraId="1C24ABC7">
            <w:pPr>
              <w:pStyle w:val="46"/>
              <w:spacing w:before="172" w:line="196" w:lineRule="auto"/>
              <w:ind w:left="1823"/>
              <w:rPr>
                <w:rFonts w:hint="eastAsia" w:ascii="宋体" w:hAnsi="宋体" w:eastAsia="宋体" w:cs="宋体"/>
                <w:color w:val="auto"/>
                <w:highlight w:val="none"/>
              </w:rPr>
            </w:pPr>
            <w:r>
              <w:rPr>
                <w:rFonts w:hint="eastAsia" w:ascii="宋体" w:hAnsi="宋体" w:eastAsia="宋体" w:cs="宋体"/>
                <w:color w:val="auto"/>
                <w:spacing w:val="-15"/>
                <w:highlight w:val="none"/>
              </w:rPr>
              <w:t>口</w:t>
            </w:r>
            <w:r>
              <w:rPr>
                <w:rFonts w:hint="eastAsia" w:ascii="宋体" w:hAnsi="宋体" w:eastAsia="宋体" w:cs="宋体"/>
                <w:color w:val="auto"/>
                <w:spacing w:val="-13"/>
                <w:highlight w:val="none"/>
              </w:rPr>
              <w:t xml:space="preserve"> </w:t>
            </w:r>
            <w:r>
              <w:rPr>
                <w:rFonts w:hint="eastAsia" w:ascii="宋体" w:hAnsi="宋体" w:eastAsia="宋体" w:cs="宋体"/>
                <w:color w:val="auto"/>
                <w:spacing w:val="-15"/>
                <w:highlight w:val="none"/>
              </w:rPr>
              <w:t>自行验收</w:t>
            </w:r>
            <w:r>
              <w:rPr>
                <w:rFonts w:hint="eastAsia" w:ascii="宋体" w:hAnsi="宋体" w:eastAsia="宋体" w:cs="宋体"/>
                <w:color w:val="auto"/>
                <w:spacing w:val="23"/>
                <w:highlight w:val="none"/>
              </w:rPr>
              <w:t xml:space="preserve"> </w:t>
            </w:r>
            <w:r>
              <w:rPr>
                <w:rFonts w:hint="eastAsia" w:ascii="宋体" w:hAnsi="宋体" w:eastAsia="宋体" w:cs="宋体"/>
                <w:color w:val="auto"/>
                <w:spacing w:val="-15"/>
                <w:highlight w:val="none"/>
              </w:rPr>
              <w:t>口委托验收</w:t>
            </w:r>
          </w:p>
        </w:tc>
      </w:tr>
      <w:tr w14:paraId="5642A37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44" w:hRule="atLeast"/>
        </w:trPr>
        <w:tc>
          <w:tcPr>
            <w:tcW w:w="1338" w:type="dxa"/>
            <w:vAlign w:val="top"/>
          </w:tcPr>
          <w:p w14:paraId="0E7FF674">
            <w:pPr>
              <w:pStyle w:val="46"/>
              <w:spacing w:before="234" w:line="229" w:lineRule="auto"/>
              <w:ind w:left="458"/>
              <w:rPr>
                <w:rFonts w:hint="eastAsia" w:ascii="宋体" w:hAnsi="宋体" w:eastAsia="宋体" w:cs="宋体"/>
                <w:color w:val="auto"/>
                <w:highlight w:val="none"/>
              </w:rPr>
            </w:pPr>
            <w:r>
              <w:rPr>
                <w:rFonts w:hint="eastAsia" w:ascii="宋体" w:hAnsi="宋体" w:eastAsia="宋体" w:cs="宋体"/>
                <w:color w:val="auto"/>
                <w:spacing w:val="5"/>
                <w:highlight w:val="none"/>
              </w:rPr>
              <w:t>序号</w:t>
            </w:r>
          </w:p>
        </w:tc>
        <w:tc>
          <w:tcPr>
            <w:tcW w:w="1917" w:type="dxa"/>
            <w:vAlign w:val="top"/>
          </w:tcPr>
          <w:p w14:paraId="4F221A93">
            <w:pPr>
              <w:pStyle w:val="46"/>
              <w:spacing w:before="234" w:line="230" w:lineRule="auto"/>
              <w:ind w:left="698"/>
              <w:rPr>
                <w:rFonts w:hint="eastAsia" w:ascii="宋体" w:hAnsi="宋体" w:eastAsia="宋体" w:cs="宋体"/>
                <w:color w:val="auto"/>
                <w:highlight w:val="none"/>
              </w:rPr>
            </w:pPr>
            <w:r>
              <w:rPr>
                <w:rFonts w:hint="eastAsia" w:ascii="宋体" w:hAnsi="宋体" w:eastAsia="宋体" w:cs="宋体"/>
                <w:color w:val="auto"/>
                <w:highlight w:val="none"/>
              </w:rPr>
              <w:t>名</w:t>
            </w:r>
            <w:r>
              <w:rPr>
                <w:rFonts w:hint="eastAsia" w:ascii="宋体" w:hAnsi="宋体" w:eastAsia="宋体" w:cs="宋体"/>
                <w:color w:val="auto"/>
                <w:spacing w:val="12"/>
                <w:highlight w:val="none"/>
              </w:rPr>
              <w:t xml:space="preserve"> </w:t>
            </w:r>
            <w:r>
              <w:rPr>
                <w:rFonts w:hint="eastAsia" w:ascii="宋体" w:hAnsi="宋体" w:eastAsia="宋体" w:cs="宋体"/>
                <w:color w:val="auto"/>
                <w:highlight w:val="none"/>
              </w:rPr>
              <w:t>称</w:t>
            </w:r>
          </w:p>
        </w:tc>
        <w:tc>
          <w:tcPr>
            <w:tcW w:w="2897" w:type="dxa"/>
            <w:gridSpan w:val="3"/>
            <w:vAlign w:val="top"/>
          </w:tcPr>
          <w:p w14:paraId="76424861">
            <w:pPr>
              <w:pStyle w:val="46"/>
              <w:spacing w:before="75" w:line="227" w:lineRule="auto"/>
              <w:ind w:left="91"/>
              <w:rPr>
                <w:rFonts w:hint="eastAsia" w:ascii="宋体" w:hAnsi="宋体" w:eastAsia="宋体" w:cs="宋体"/>
                <w:color w:val="auto"/>
                <w:highlight w:val="none"/>
              </w:rPr>
            </w:pPr>
            <w:r>
              <w:rPr>
                <w:rFonts w:hint="eastAsia" w:ascii="宋体" w:hAnsi="宋体" w:eastAsia="宋体" w:cs="宋体"/>
                <w:color w:val="auto"/>
                <w:spacing w:val="8"/>
                <w:highlight w:val="none"/>
              </w:rPr>
              <w:t>货物型号规格、标准及配置等</w:t>
            </w:r>
          </w:p>
          <w:p w14:paraId="792A899A">
            <w:pPr>
              <w:pStyle w:val="46"/>
              <w:spacing w:before="73" w:line="220" w:lineRule="auto"/>
              <w:ind w:left="411"/>
              <w:rPr>
                <w:rFonts w:hint="eastAsia" w:ascii="宋体" w:hAnsi="宋体" w:eastAsia="宋体" w:cs="宋体"/>
                <w:color w:val="auto"/>
                <w:highlight w:val="none"/>
              </w:rPr>
            </w:pPr>
            <w:r>
              <w:rPr>
                <w:rFonts w:hint="eastAsia" w:ascii="宋体" w:hAnsi="宋体" w:eastAsia="宋体" w:cs="宋体"/>
                <w:color w:val="auto"/>
                <w:spacing w:val="7"/>
                <w:highlight w:val="none"/>
              </w:rPr>
              <w:t>（或服务内容、标准）</w:t>
            </w:r>
          </w:p>
        </w:tc>
        <w:tc>
          <w:tcPr>
            <w:tcW w:w="862" w:type="dxa"/>
            <w:gridSpan w:val="2"/>
            <w:vAlign w:val="top"/>
          </w:tcPr>
          <w:p w14:paraId="5956FA23">
            <w:pPr>
              <w:pStyle w:val="46"/>
              <w:spacing w:before="234" w:line="228" w:lineRule="auto"/>
              <w:ind w:left="227"/>
              <w:rPr>
                <w:rFonts w:hint="eastAsia" w:ascii="宋体" w:hAnsi="宋体" w:eastAsia="宋体" w:cs="宋体"/>
                <w:color w:val="auto"/>
                <w:highlight w:val="none"/>
              </w:rPr>
            </w:pPr>
            <w:r>
              <w:rPr>
                <w:rFonts w:hint="eastAsia" w:ascii="宋体" w:hAnsi="宋体" w:eastAsia="宋体" w:cs="宋体"/>
                <w:color w:val="auto"/>
                <w:spacing w:val="3"/>
                <w:highlight w:val="none"/>
              </w:rPr>
              <w:t>数量</w:t>
            </w:r>
          </w:p>
        </w:tc>
        <w:tc>
          <w:tcPr>
            <w:tcW w:w="1435" w:type="dxa"/>
            <w:vAlign w:val="top"/>
          </w:tcPr>
          <w:p w14:paraId="75FC192A">
            <w:pPr>
              <w:pStyle w:val="46"/>
              <w:spacing w:before="234" w:line="228" w:lineRule="auto"/>
              <w:ind w:left="459"/>
              <w:rPr>
                <w:rFonts w:hint="eastAsia" w:ascii="宋体" w:hAnsi="宋体" w:eastAsia="宋体" w:cs="宋体"/>
                <w:color w:val="auto"/>
                <w:highlight w:val="none"/>
              </w:rPr>
            </w:pPr>
            <w:r>
              <w:rPr>
                <w:rFonts w:hint="eastAsia" w:ascii="宋体" w:hAnsi="宋体" w:eastAsia="宋体" w:cs="宋体"/>
                <w:color w:val="auto"/>
                <w:highlight w:val="none"/>
              </w:rPr>
              <w:t>金</w:t>
            </w:r>
            <w:r>
              <w:rPr>
                <w:rFonts w:hint="eastAsia" w:ascii="宋体" w:hAnsi="宋体" w:eastAsia="宋体" w:cs="宋体"/>
                <w:color w:val="auto"/>
                <w:spacing w:val="13"/>
                <w:highlight w:val="none"/>
              </w:rPr>
              <w:t xml:space="preserve"> </w:t>
            </w:r>
            <w:r>
              <w:rPr>
                <w:rFonts w:hint="eastAsia" w:ascii="宋体" w:hAnsi="宋体" w:eastAsia="宋体" w:cs="宋体"/>
                <w:color w:val="auto"/>
                <w:highlight w:val="none"/>
              </w:rPr>
              <w:t>额</w:t>
            </w:r>
          </w:p>
        </w:tc>
      </w:tr>
      <w:tr w14:paraId="09964E5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1" w:hRule="atLeast"/>
        </w:trPr>
        <w:tc>
          <w:tcPr>
            <w:tcW w:w="1338" w:type="dxa"/>
            <w:vAlign w:val="top"/>
          </w:tcPr>
          <w:p w14:paraId="4B6447CA">
            <w:pPr>
              <w:rPr>
                <w:rFonts w:hint="eastAsia" w:ascii="宋体" w:hAnsi="宋体" w:eastAsia="宋体" w:cs="宋体"/>
                <w:color w:val="auto"/>
                <w:sz w:val="21"/>
                <w:highlight w:val="none"/>
              </w:rPr>
            </w:pPr>
          </w:p>
        </w:tc>
        <w:tc>
          <w:tcPr>
            <w:tcW w:w="1917" w:type="dxa"/>
            <w:vAlign w:val="top"/>
          </w:tcPr>
          <w:p w14:paraId="06C58B61">
            <w:pPr>
              <w:rPr>
                <w:rFonts w:hint="eastAsia" w:ascii="宋体" w:hAnsi="宋体" w:eastAsia="宋体" w:cs="宋体"/>
                <w:color w:val="auto"/>
                <w:sz w:val="21"/>
                <w:highlight w:val="none"/>
              </w:rPr>
            </w:pPr>
          </w:p>
        </w:tc>
        <w:tc>
          <w:tcPr>
            <w:tcW w:w="2897" w:type="dxa"/>
            <w:gridSpan w:val="3"/>
            <w:vAlign w:val="top"/>
          </w:tcPr>
          <w:p w14:paraId="76EC4F77">
            <w:pPr>
              <w:rPr>
                <w:rFonts w:hint="eastAsia" w:ascii="宋体" w:hAnsi="宋体" w:eastAsia="宋体" w:cs="宋体"/>
                <w:color w:val="auto"/>
                <w:sz w:val="21"/>
                <w:highlight w:val="none"/>
              </w:rPr>
            </w:pPr>
          </w:p>
        </w:tc>
        <w:tc>
          <w:tcPr>
            <w:tcW w:w="862" w:type="dxa"/>
            <w:gridSpan w:val="2"/>
            <w:vAlign w:val="top"/>
          </w:tcPr>
          <w:p w14:paraId="5D28E00A">
            <w:pPr>
              <w:rPr>
                <w:rFonts w:hint="eastAsia" w:ascii="宋体" w:hAnsi="宋体" w:eastAsia="宋体" w:cs="宋体"/>
                <w:color w:val="auto"/>
                <w:sz w:val="21"/>
                <w:highlight w:val="none"/>
              </w:rPr>
            </w:pPr>
          </w:p>
        </w:tc>
        <w:tc>
          <w:tcPr>
            <w:tcW w:w="1435" w:type="dxa"/>
            <w:vAlign w:val="top"/>
          </w:tcPr>
          <w:p w14:paraId="37AB5EA7">
            <w:pPr>
              <w:rPr>
                <w:rFonts w:hint="eastAsia" w:ascii="宋体" w:hAnsi="宋体" w:eastAsia="宋体" w:cs="宋体"/>
                <w:color w:val="auto"/>
                <w:sz w:val="21"/>
                <w:highlight w:val="none"/>
              </w:rPr>
            </w:pPr>
          </w:p>
        </w:tc>
      </w:tr>
      <w:tr w14:paraId="3425469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1" w:hRule="atLeast"/>
        </w:trPr>
        <w:tc>
          <w:tcPr>
            <w:tcW w:w="1338" w:type="dxa"/>
            <w:vAlign w:val="top"/>
          </w:tcPr>
          <w:p w14:paraId="1CE6CCF5">
            <w:pPr>
              <w:rPr>
                <w:rFonts w:hint="eastAsia" w:ascii="宋体" w:hAnsi="宋体" w:eastAsia="宋体" w:cs="宋体"/>
                <w:color w:val="auto"/>
                <w:sz w:val="21"/>
                <w:highlight w:val="none"/>
              </w:rPr>
            </w:pPr>
          </w:p>
        </w:tc>
        <w:tc>
          <w:tcPr>
            <w:tcW w:w="1917" w:type="dxa"/>
            <w:vAlign w:val="top"/>
          </w:tcPr>
          <w:p w14:paraId="3139736C">
            <w:pPr>
              <w:rPr>
                <w:rFonts w:hint="eastAsia" w:ascii="宋体" w:hAnsi="宋体" w:eastAsia="宋体" w:cs="宋体"/>
                <w:color w:val="auto"/>
                <w:sz w:val="21"/>
                <w:highlight w:val="none"/>
              </w:rPr>
            </w:pPr>
          </w:p>
        </w:tc>
        <w:tc>
          <w:tcPr>
            <w:tcW w:w="2897" w:type="dxa"/>
            <w:gridSpan w:val="3"/>
            <w:vAlign w:val="top"/>
          </w:tcPr>
          <w:p w14:paraId="1EE1D06A">
            <w:pPr>
              <w:rPr>
                <w:rFonts w:hint="eastAsia" w:ascii="宋体" w:hAnsi="宋体" w:eastAsia="宋体" w:cs="宋体"/>
                <w:color w:val="auto"/>
                <w:sz w:val="21"/>
                <w:highlight w:val="none"/>
              </w:rPr>
            </w:pPr>
          </w:p>
        </w:tc>
        <w:tc>
          <w:tcPr>
            <w:tcW w:w="862" w:type="dxa"/>
            <w:gridSpan w:val="2"/>
            <w:vAlign w:val="top"/>
          </w:tcPr>
          <w:p w14:paraId="21F94E4A">
            <w:pPr>
              <w:rPr>
                <w:rFonts w:hint="eastAsia" w:ascii="宋体" w:hAnsi="宋体" w:eastAsia="宋体" w:cs="宋体"/>
                <w:color w:val="auto"/>
                <w:sz w:val="21"/>
                <w:highlight w:val="none"/>
              </w:rPr>
            </w:pPr>
          </w:p>
        </w:tc>
        <w:tc>
          <w:tcPr>
            <w:tcW w:w="1435" w:type="dxa"/>
            <w:vAlign w:val="top"/>
          </w:tcPr>
          <w:p w14:paraId="6DCB8736">
            <w:pPr>
              <w:rPr>
                <w:rFonts w:hint="eastAsia" w:ascii="宋体" w:hAnsi="宋体" w:eastAsia="宋体" w:cs="宋体"/>
                <w:color w:val="auto"/>
                <w:sz w:val="21"/>
                <w:highlight w:val="none"/>
              </w:rPr>
            </w:pPr>
          </w:p>
        </w:tc>
      </w:tr>
      <w:tr w14:paraId="00079B1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2" w:hRule="atLeast"/>
        </w:trPr>
        <w:tc>
          <w:tcPr>
            <w:tcW w:w="1338" w:type="dxa"/>
            <w:vAlign w:val="top"/>
          </w:tcPr>
          <w:p w14:paraId="0115B63E">
            <w:pPr>
              <w:rPr>
                <w:rFonts w:hint="eastAsia" w:ascii="宋体" w:hAnsi="宋体" w:eastAsia="宋体" w:cs="宋体"/>
                <w:color w:val="auto"/>
                <w:sz w:val="21"/>
                <w:highlight w:val="none"/>
              </w:rPr>
            </w:pPr>
          </w:p>
        </w:tc>
        <w:tc>
          <w:tcPr>
            <w:tcW w:w="1917" w:type="dxa"/>
            <w:vAlign w:val="top"/>
          </w:tcPr>
          <w:p w14:paraId="3541134F">
            <w:pPr>
              <w:rPr>
                <w:rFonts w:hint="eastAsia" w:ascii="宋体" w:hAnsi="宋体" w:eastAsia="宋体" w:cs="宋体"/>
                <w:color w:val="auto"/>
                <w:sz w:val="21"/>
                <w:highlight w:val="none"/>
              </w:rPr>
            </w:pPr>
          </w:p>
        </w:tc>
        <w:tc>
          <w:tcPr>
            <w:tcW w:w="2897" w:type="dxa"/>
            <w:gridSpan w:val="3"/>
            <w:vAlign w:val="top"/>
          </w:tcPr>
          <w:p w14:paraId="364ADA88">
            <w:pPr>
              <w:rPr>
                <w:rFonts w:hint="eastAsia" w:ascii="宋体" w:hAnsi="宋体" w:eastAsia="宋体" w:cs="宋体"/>
                <w:color w:val="auto"/>
                <w:sz w:val="21"/>
                <w:highlight w:val="none"/>
              </w:rPr>
            </w:pPr>
          </w:p>
        </w:tc>
        <w:tc>
          <w:tcPr>
            <w:tcW w:w="862" w:type="dxa"/>
            <w:gridSpan w:val="2"/>
            <w:vAlign w:val="top"/>
          </w:tcPr>
          <w:p w14:paraId="28B91FE0">
            <w:pPr>
              <w:rPr>
                <w:rFonts w:hint="eastAsia" w:ascii="宋体" w:hAnsi="宋体" w:eastAsia="宋体" w:cs="宋体"/>
                <w:color w:val="auto"/>
                <w:sz w:val="21"/>
                <w:highlight w:val="none"/>
              </w:rPr>
            </w:pPr>
          </w:p>
        </w:tc>
        <w:tc>
          <w:tcPr>
            <w:tcW w:w="1435" w:type="dxa"/>
            <w:vAlign w:val="top"/>
          </w:tcPr>
          <w:p w14:paraId="3E343338">
            <w:pPr>
              <w:rPr>
                <w:rFonts w:hint="eastAsia" w:ascii="宋体" w:hAnsi="宋体" w:eastAsia="宋体" w:cs="宋体"/>
                <w:color w:val="auto"/>
                <w:sz w:val="21"/>
                <w:highlight w:val="none"/>
              </w:rPr>
            </w:pPr>
          </w:p>
        </w:tc>
      </w:tr>
      <w:tr w14:paraId="6248025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1" w:hRule="atLeast"/>
        </w:trPr>
        <w:tc>
          <w:tcPr>
            <w:tcW w:w="6152" w:type="dxa"/>
            <w:gridSpan w:val="5"/>
            <w:vAlign w:val="top"/>
          </w:tcPr>
          <w:p w14:paraId="4D316CE9">
            <w:pPr>
              <w:pStyle w:val="46"/>
              <w:spacing w:before="161" w:line="229" w:lineRule="auto"/>
              <w:ind w:left="2821"/>
              <w:rPr>
                <w:rFonts w:hint="eastAsia" w:ascii="宋体" w:hAnsi="宋体" w:eastAsia="宋体" w:cs="宋体"/>
                <w:color w:val="auto"/>
                <w:highlight w:val="none"/>
              </w:rPr>
            </w:pPr>
            <w:r>
              <w:rPr>
                <w:rFonts w:hint="eastAsia" w:ascii="宋体" w:hAnsi="宋体" w:eastAsia="宋体" w:cs="宋体"/>
                <w:color w:val="auto"/>
                <w:highlight w:val="none"/>
              </w:rPr>
              <w:t>合</w:t>
            </w:r>
            <w:r>
              <w:rPr>
                <w:rFonts w:hint="eastAsia" w:ascii="宋体" w:hAnsi="宋体" w:eastAsia="宋体" w:cs="宋体"/>
                <w:color w:val="auto"/>
                <w:spacing w:val="13"/>
                <w:highlight w:val="none"/>
              </w:rPr>
              <w:t xml:space="preserve"> </w:t>
            </w:r>
            <w:r>
              <w:rPr>
                <w:rFonts w:hint="eastAsia" w:ascii="宋体" w:hAnsi="宋体" w:eastAsia="宋体" w:cs="宋体"/>
                <w:color w:val="auto"/>
                <w:highlight w:val="none"/>
              </w:rPr>
              <w:t>计</w:t>
            </w:r>
          </w:p>
        </w:tc>
        <w:tc>
          <w:tcPr>
            <w:tcW w:w="862" w:type="dxa"/>
            <w:gridSpan w:val="2"/>
            <w:vAlign w:val="top"/>
          </w:tcPr>
          <w:p w14:paraId="393B7217">
            <w:pPr>
              <w:rPr>
                <w:rFonts w:hint="eastAsia" w:ascii="宋体" w:hAnsi="宋体" w:eastAsia="宋体" w:cs="宋体"/>
                <w:color w:val="auto"/>
                <w:sz w:val="21"/>
                <w:highlight w:val="none"/>
              </w:rPr>
            </w:pPr>
          </w:p>
        </w:tc>
        <w:tc>
          <w:tcPr>
            <w:tcW w:w="1435" w:type="dxa"/>
            <w:vAlign w:val="top"/>
          </w:tcPr>
          <w:p w14:paraId="7E129BCC">
            <w:pPr>
              <w:rPr>
                <w:rFonts w:hint="eastAsia" w:ascii="宋体" w:hAnsi="宋体" w:eastAsia="宋体" w:cs="宋体"/>
                <w:color w:val="auto"/>
                <w:sz w:val="21"/>
                <w:highlight w:val="none"/>
              </w:rPr>
            </w:pPr>
          </w:p>
        </w:tc>
      </w:tr>
      <w:tr w14:paraId="1326959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45" w:hRule="atLeast"/>
        </w:trPr>
        <w:tc>
          <w:tcPr>
            <w:tcW w:w="8449" w:type="dxa"/>
            <w:gridSpan w:val="8"/>
            <w:vAlign w:val="top"/>
          </w:tcPr>
          <w:p w14:paraId="3E5A0154">
            <w:pPr>
              <w:pStyle w:val="46"/>
              <w:spacing w:before="238" w:line="228" w:lineRule="auto"/>
              <w:ind w:left="15"/>
              <w:rPr>
                <w:rFonts w:hint="eastAsia" w:ascii="宋体" w:hAnsi="宋体" w:eastAsia="宋体" w:cs="宋体"/>
                <w:color w:val="auto"/>
                <w:highlight w:val="none"/>
              </w:rPr>
            </w:pPr>
            <w:r>
              <w:rPr>
                <w:rFonts w:hint="eastAsia" w:ascii="宋体" w:hAnsi="宋体" w:eastAsia="宋体" w:cs="宋体"/>
                <w:color w:val="auto"/>
                <w:spacing w:val="6"/>
                <w:highlight w:val="none"/>
              </w:rPr>
              <w:t>合计大写金额：</w:t>
            </w:r>
          </w:p>
        </w:tc>
      </w:tr>
      <w:tr w14:paraId="05BB41D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45" w:hRule="atLeast"/>
        </w:trPr>
        <w:tc>
          <w:tcPr>
            <w:tcW w:w="1338" w:type="dxa"/>
            <w:vAlign w:val="top"/>
          </w:tcPr>
          <w:p w14:paraId="66678668">
            <w:pPr>
              <w:pStyle w:val="46"/>
              <w:spacing w:before="240" w:line="227" w:lineRule="auto"/>
              <w:ind w:left="44"/>
              <w:rPr>
                <w:rFonts w:hint="eastAsia" w:ascii="宋体" w:hAnsi="宋体" w:eastAsia="宋体" w:cs="宋体"/>
                <w:color w:val="auto"/>
                <w:highlight w:val="none"/>
              </w:rPr>
            </w:pPr>
            <w:r>
              <w:rPr>
                <w:rFonts w:hint="eastAsia" w:ascii="宋体" w:hAnsi="宋体" w:eastAsia="宋体" w:cs="宋体"/>
                <w:color w:val="auto"/>
                <w:spacing w:val="7"/>
                <w:highlight w:val="none"/>
              </w:rPr>
              <w:t>实际供货日期</w:t>
            </w:r>
          </w:p>
        </w:tc>
        <w:tc>
          <w:tcPr>
            <w:tcW w:w="2714" w:type="dxa"/>
            <w:gridSpan w:val="3"/>
            <w:vAlign w:val="top"/>
          </w:tcPr>
          <w:p w14:paraId="60A07B7D">
            <w:pPr>
              <w:rPr>
                <w:rFonts w:hint="eastAsia" w:ascii="宋体" w:hAnsi="宋体" w:eastAsia="宋体" w:cs="宋体"/>
                <w:color w:val="auto"/>
                <w:sz w:val="21"/>
                <w:highlight w:val="none"/>
              </w:rPr>
            </w:pPr>
          </w:p>
        </w:tc>
        <w:tc>
          <w:tcPr>
            <w:tcW w:w="2278" w:type="dxa"/>
            <w:gridSpan w:val="2"/>
            <w:vAlign w:val="top"/>
          </w:tcPr>
          <w:p w14:paraId="16D78C05">
            <w:pPr>
              <w:pStyle w:val="46"/>
              <w:spacing w:before="240" w:line="227" w:lineRule="auto"/>
              <w:ind w:left="324"/>
              <w:rPr>
                <w:rFonts w:hint="eastAsia" w:ascii="宋体" w:hAnsi="宋体" w:eastAsia="宋体" w:cs="宋体"/>
                <w:color w:val="auto"/>
                <w:highlight w:val="none"/>
              </w:rPr>
            </w:pPr>
            <w:r>
              <w:rPr>
                <w:rFonts w:hint="eastAsia" w:ascii="宋体" w:hAnsi="宋体" w:eastAsia="宋体" w:cs="宋体"/>
                <w:color w:val="auto"/>
                <w:spacing w:val="8"/>
                <w:highlight w:val="none"/>
              </w:rPr>
              <w:t>合同交货验收日期</w:t>
            </w:r>
          </w:p>
        </w:tc>
        <w:tc>
          <w:tcPr>
            <w:tcW w:w="2119" w:type="dxa"/>
            <w:gridSpan w:val="2"/>
            <w:vAlign w:val="top"/>
          </w:tcPr>
          <w:p w14:paraId="698AB094">
            <w:pPr>
              <w:rPr>
                <w:rFonts w:hint="eastAsia" w:ascii="宋体" w:hAnsi="宋体" w:eastAsia="宋体" w:cs="宋体"/>
                <w:color w:val="auto"/>
                <w:sz w:val="21"/>
                <w:highlight w:val="none"/>
              </w:rPr>
            </w:pPr>
          </w:p>
        </w:tc>
      </w:tr>
      <w:tr w14:paraId="3910478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9" w:hRule="atLeast"/>
        </w:trPr>
        <w:tc>
          <w:tcPr>
            <w:tcW w:w="1338" w:type="dxa"/>
            <w:vAlign w:val="top"/>
          </w:tcPr>
          <w:p w14:paraId="31504A70">
            <w:pPr>
              <w:rPr>
                <w:rFonts w:hint="eastAsia" w:ascii="宋体" w:hAnsi="宋体" w:eastAsia="宋体" w:cs="宋体"/>
                <w:color w:val="auto"/>
                <w:sz w:val="21"/>
                <w:highlight w:val="none"/>
              </w:rPr>
            </w:pPr>
          </w:p>
        </w:tc>
        <w:tc>
          <w:tcPr>
            <w:tcW w:w="2714" w:type="dxa"/>
            <w:gridSpan w:val="3"/>
            <w:vAlign w:val="top"/>
          </w:tcPr>
          <w:p w14:paraId="48685772">
            <w:pPr>
              <w:rPr>
                <w:rFonts w:hint="eastAsia" w:ascii="宋体" w:hAnsi="宋体" w:eastAsia="宋体" w:cs="宋体"/>
                <w:color w:val="auto"/>
                <w:sz w:val="21"/>
                <w:highlight w:val="none"/>
              </w:rPr>
            </w:pPr>
          </w:p>
        </w:tc>
        <w:tc>
          <w:tcPr>
            <w:tcW w:w="2278" w:type="dxa"/>
            <w:gridSpan w:val="2"/>
            <w:vAlign w:val="top"/>
          </w:tcPr>
          <w:p w14:paraId="139696F9">
            <w:pPr>
              <w:rPr>
                <w:rFonts w:hint="eastAsia" w:ascii="宋体" w:hAnsi="宋体" w:eastAsia="宋体" w:cs="宋体"/>
                <w:color w:val="auto"/>
                <w:sz w:val="21"/>
                <w:highlight w:val="none"/>
              </w:rPr>
            </w:pPr>
          </w:p>
        </w:tc>
        <w:tc>
          <w:tcPr>
            <w:tcW w:w="2119" w:type="dxa"/>
            <w:gridSpan w:val="2"/>
            <w:vAlign w:val="top"/>
          </w:tcPr>
          <w:p w14:paraId="19D2460E">
            <w:pPr>
              <w:rPr>
                <w:rFonts w:hint="eastAsia" w:ascii="宋体" w:hAnsi="宋体" w:eastAsia="宋体" w:cs="宋体"/>
                <w:color w:val="auto"/>
                <w:sz w:val="21"/>
                <w:highlight w:val="none"/>
              </w:rPr>
            </w:pPr>
          </w:p>
        </w:tc>
      </w:tr>
      <w:tr w14:paraId="0AC5B6F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283" w:hRule="atLeast"/>
        </w:trPr>
        <w:tc>
          <w:tcPr>
            <w:tcW w:w="1338" w:type="dxa"/>
            <w:vAlign w:val="top"/>
          </w:tcPr>
          <w:p w14:paraId="6303D351">
            <w:pPr>
              <w:spacing w:line="332" w:lineRule="auto"/>
              <w:rPr>
                <w:rFonts w:hint="eastAsia" w:ascii="宋体" w:hAnsi="宋体" w:eastAsia="宋体" w:cs="宋体"/>
                <w:color w:val="auto"/>
                <w:sz w:val="21"/>
                <w:highlight w:val="none"/>
              </w:rPr>
            </w:pPr>
          </w:p>
          <w:p w14:paraId="6C0A20D9">
            <w:pPr>
              <w:pStyle w:val="46"/>
              <w:spacing w:before="65" w:line="263" w:lineRule="auto"/>
              <w:ind w:left="113" w:right="171" w:hanging="3"/>
              <w:rPr>
                <w:rFonts w:hint="eastAsia" w:ascii="宋体" w:hAnsi="宋体" w:eastAsia="宋体" w:cs="宋体"/>
                <w:color w:val="auto"/>
                <w:highlight w:val="none"/>
              </w:rPr>
            </w:pPr>
            <w:r>
              <w:rPr>
                <w:rFonts w:hint="eastAsia" w:ascii="宋体" w:hAnsi="宋体" w:eastAsia="宋体" w:cs="宋体"/>
                <w:color w:val="auto"/>
                <w:spacing w:val="8"/>
                <w:highlight w:val="none"/>
              </w:rPr>
              <w:t>验收具体内</w:t>
            </w:r>
            <w:r>
              <w:rPr>
                <w:rFonts w:hint="eastAsia" w:ascii="宋体" w:hAnsi="宋体" w:eastAsia="宋体" w:cs="宋体"/>
                <w:color w:val="auto"/>
                <w:highlight w:val="none"/>
              </w:rPr>
              <w:t xml:space="preserve"> 容</w:t>
            </w:r>
          </w:p>
        </w:tc>
        <w:tc>
          <w:tcPr>
            <w:tcW w:w="7111" w:type="dxa"/>
            <w:gridSpan w:val="7"/>
            <w:vAlign w:val="top"/>
          </w:tcPr>
          <w:p w14:paraId="5518FFA0">
            <w:pPr>
              <w:pStyle w:val="46"/>
              <w:spacing w:before="79" w:line="255" w:lineRule="auto"/>
              <w:ind w:left="103" w:right="103" w:firstLine="9"/>
              <w:rPr>
                <w:rFonts w:hint="eastAsia" w:ascii="宋体" w:hAnsi="宋体" w:eastAsia="宋体" w:cs="宋体"/>
                <w:color w:val="auto"/>
                <w:highlight w:val="none"/>
              </w:rPr>
            </w:pPr>
            <w:r>
              <w:rPr>
                <w:rFonts w:hint="eastAsia" w:ascii="宋体" w:hAnsi="宋体" w:eastAsia="宋体" w:cs="宋体"/>
                <w:color w:val="auto"/>
                <w:spacing w:val="8"/>
                <w:highlight w:val="none"/>
              </w:rPr>
              <w:t>（应按采购合同、采购文件、投标响应文件及验收方案等进行验收；并核对</w:t>
            </w:r>
            <w:r>
              <w:rPr>
                <w:rFonts w:hint="eastAsia" w:ascii="宋体" w:hAnsi="宋体" w:eastAsia="宋体" w:cs="宋体"/>
                <w:color w:val="auto"/>
                <w:spacing w:val="9"/>
                <w:highlight w:val="none"/>
              </w:rPr>
              <w:t>中标或者成交供应商在安装调试等方面是否违反合同</w:t>
            </w:r>
            <w:r>
              <w:rPr>
                <w:rFonts w:hint="eastAsia" w:ascii="宋体" w:hAnsi="宋体" w:eastAsia="宋体" w:cs="宋体"/>
                <w:color w:val="auto"/>
                <w:spacing w:val="8"/>
                <w:highlight w:val="none"/>
              </w:rPr>
              <w:t>约定或服务规范要求、</w:t>
            </w:r>
            <w:r>
              <w:rPr>
                <w:rFonts w:hint="eastAsia" w:ascii="宋体" w:hAnsi="宋体" w:eastAsia="宋体" w:cs="宋体"/>
                <w:color w:val="auto"/>
                <w:spacing w:val="9"/>
                <w:highlight w:val="none"/>
              </w:rPr>
              <w:t>提供的质量保证证明材料是否齐全、应有的配件及附件是否达到合同约定</w:t>
            </w:r>
            <w:r>
              <w:rPr>
                <w:rFonts w:hint="eastAsia" w:ascii="宋体" w:hAnsi="宋体" w:eastAsia="宋体" w:cs="宋体"/>
                <w:color w:val="auto"/>
                <w:spacing w:val="11"/>
                <w:highlight w:val="none"/>
              </w:rPr>
              <w:t>等。可附件)</w:t>
            </w:r>
          </w:p>
        </w:tc>
      </w:tr>
      <w:tr w14:paraId="283D7E4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284" w:hRule="atLeast"/>
        </w:trPr>
        <w:tc>
          <w:tcPr>
            <w:tcW w:w="1338" w:type="dxa"/>
            <w:vMerge w:val="restart"/>
            <w:tcBorders>
              <w:bottom w:val="nil"/>
            </w:tcBorders>
            <w:vAlign w:val="top"/>
          </w:tcPr>
          <w:p w14:paraId="517B6B78">
            <w:pPr>
              <w:spacing w:line="267" w:lineRule="auto"/>
              <w:rPr>
                <w:rFonts w:hint="eastAsia" w:ascii="宋体" w:hAnsi="宋体" w:eastAsia="宋体" w:cs="宋体"/>
                <w:color w:val="auto"/>
                <w:sz w:val="21"/>
                <w:highlight w:val="none"/>
              </w:rPr>
            </w:pPr>
          </w:p>
          <w:p w14:paraId="78A42D8E">
            <w:pPr>
              <w:spacing w:line="268" w:lineRule="auto"/>
              <w:rPr>
                <w:rFonts w:hint="eastAsia" w:ascii="宋体" w:hAnsi="宋体" w:eastAsia="宋体" w:cs="宋体"/>
                <w:color w:val="auto"/>
                <w:sz w:val="21"/>
                <w:highlight w:val="none"/>
              </w:rPr>
            </w:pPr>
          </w:p>
          <w:p w14:paraId="13A40165">
            <w:pPr>
              <w:spacing w:line="268" w:lineRule="auto"/>
              <w:rPr>
                <w:rFonts w:hint="eastAsia" w:ascii="宋体" w:hAnsi="宋体" w:eastAsia="宋体" w:cs="宋体"/>
                <w:color w:val="auto"/>
                <w:sz w:val="21"/>
                <w:highlight w:val="none"/>
              </w:rPr>
            </w:pPr>
          </w:p>
          <w:p w14:paraId="333618AD">
            <w:pPr>
              <w:pStyle w:val="46"/>
              <w:spacing w:before="66" w:line="261" w:lineRule="auto"/>
              <w:ind w:left="114" w:right="171" w:hanging="4"/>
              <w:rPr>
                <w:rFonts w:hint="eastAsia" w:ascii="宋体" w:hAnsi="宋体" w:eastAsia="宋体" w:cs="宋体"/>
                <w:color w:val="auto"/>
                <w:highlight w:val="none"/>
              </w:rPr>
            </w:pPr>
            <w:r>
              <w:rPr>
                <w:rFonts w:hint="eastAsia" w:ascii="宋体" w:hAnsi="宋体" w:eastAsia="宋体" w:cs="宋体"/>
                <w:color w:val="auto"/>
                <w:spacing w:val="8"/>
                <w:highlight w:val="none"/>
              </w:rPr>
              <w:t>验收小组意</w:t>
            </w:r>
            <w:r>
              <w:rPr>
                <w:rFonts w:hint="eastAsia" w:ascii="宋体" w:hAnsi="宋体" w:eastAsia="宋体" w:cs="宋体"/>
                <w:color w:val="auto"/>
                <w:highlight w:val="none"/>
              </w:rPr>
              <w:t xml:space="preserve"> 见</w:t>
            </w:r>
          </w:p>
        </w:tc>
        <w:tc>
          <w:tcPr>
            <w:tcW w:w="7111" w:type="dxa"/>
            <w:gridSpan w:val="7"/>
            <w:vAlign w:val="top"/>
          </w:tcPr>
          <w:p w14:paraId="178CE2B5">
            <w:pPr>
              <w:spacing w:line="247" w:lineRule="auto"/>
              <w:rPr>
                <w:rFonts w:hint="eastAsia" w:ascii="宋体" w:hAnsi="宋体" w:eastAsia="宋体" w:cs="宋体"/>
                <w:color w:val="auto"/>
                <w:sz w:val="21"/>
                <w:highlight w:val="none"/>
              </w:rPr>
            </w:pPr>
          </w:p>
          <w:p w14:paraId="4ADDF83B">
            <w:pPr>
              <w:spacing w:line="248" w:lineRule="auto"/>
              <w:rPr>
                <w:rFonts w:hint="eastAsia" w:ascii="宋体" w:hAnsi="宋体" w:eastAsia="宋体" w:cs="宋体"/>
                <w:color w:val="auto"/>
                <w:sz w:val="21"/>
                <w:highlight w:val="none"/>
              </w:rPr>
            </w:pPr>
          </w:p>
          <w:p w14:paraId="1D1D0E54">
            <w:pPr>
              <w:pStyle w:val="46"/>
              <w:spacing w:before="65" w:line="228" w:lineRule="auto"/>
              <w:ind w:left="5"/>
              <w:rPr>
                <w:rFonts w:hint="eastAsia" w:ascii="宋体" w:hAnsi="宋体" w:eastAsia="宋体" w:cs="宋体"/>
                <w:color w:val="auto"/>
                <w:highlight w:val="none"/>
              </w:rPr>
            </w:pPr>
            <w:r>
              <w:rPr>
                <w:rFonts w:hint="eastAsia" w:ascii="宋体" w:hAnsi="宋体" w:eastAsia="宋体" w:cs="宋体"/>
                <w:color w:val="auto"/>
                <w:spacing w:val="7"/>
                <w:highlight w:val="none"/>
              </w:rPr>
              <w:t>验收结论性意见：</w:t>
            </w:r>
          </w:p>
        </w:tc>
      </w:tr>
      <w:tr w14:paraId="702862E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24" w:hRule="atLeast"/>
        </w:trPr>
        <w:tc>
          <w:tcPr>
            <w:tcW w:w="1338" w:type="dxa"/>
            <w:vMerge w:val="continue"/>
            <w:tcBorders>
              <w:top w:val="nil"/>
            </w:tcBorders>
            <w:vAlign w:val="top"/>
          </w:tcPr>
          <w:p w14:paraId="244A2D72">
            <w:pPr>
              <w:rPr>
                <w:rFonts w:hint="eastAsia" w:ascii="宋体" w:hAnsi="宋体" w:eastAsia="宋体" w:cs="宋体"/>
                <w:color w:val="auto"/>
                <w:sz w:val="21"/>
                <w:highlight w:val="none"/>
              </w:rPr>
            </w:pPr>
          </w:p>
        </w:tc>
        <w:tc>
          <w:tcPr>
            <w:tcW w:w="7111" w:type="dxa"/>
            <w:gridSpan w:val="7"/>
            <w:vAlign w:val="top"/>
          </w:tcPr>
          <w:p w14:paraId="33E76903">
            <w:pPr>
              <w:pStyle w:val="46"/>
              <w:spacing w:before="85" w:line="600" w:lineRule="exact"/>
              <w:ind w:left="7"/>
              <w:rPr>
                <w:rFonts w:hint="eastAsia" w:ascii="宋体" w:hAnsi="宋体" w:eastAsia="宋体" w:cs="宋体"/>
                <w:color w:val="auto"/>
                <w:highlight w:val="none"/>
              </w:rPr>
            </w:pPr>
            <w:r>
              <w:rPr>
                <w:rFonts w:hint="eastAsia" w:ascii="宋体" w:hAnsi="宋体" w:eastAsia="宋体" w:cs="宋体"/>
                <w:color w:val="auto"/>
                <w:spacing w:val="8"/>
                <w:position w:val="30"/>
                <w:highlight w:val="none"/>
              </w:rPr>
              <w:t>有异议的意见和说明理由：</w:t>
            </w:r>
          </w:p>
          <w:p w14:paraId="67602417">
            <w:pPr>
              <w:pStyle w:val="46"/>
              <w:spacing w:line="210" w:lineRule="auto"/>
              <w:ind w:left="6"/>
              <w:rPr>
                <w:rFonts w:hint="eastAsia" w:ascii="宋体" w:hAnsi="宋体" w:eastAsia="宋体" w:cs="宋体"/>
                <w:color w:val="auto"/>
                <w:highlight w:val="none"/>
              </w:rPr>
            </w:pPr>
            <w:r>
              <w:rPr>
                <w:rFonts w:hint="eastAsia" w:ascii="宋体" w:hAnsi="宋体" w:eastAsia="宋体" w:cs="宋体"/>
                <w:color w:val="auto"/>
                <w:spacing w:val="3"/>
                <w:highlight w:val="none"/>
              </w:rPr>
              <w:t>签字：</w:t>
            </w:r>
          </w:p>
        </w:tc>
      </w:tr>
      <w:tr w14:paraId="341A452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11" w:hRule="atLeast"/>
        </w:trPr>
        <w:tc>
          <w:tcPr>
            <w:tcW w:w="8449" w:type="dxa"/>
            <w:gridSpan w:val="8"/>
            <w:vAlign w:val="top"/>
          </w:tcPr>
          <w:p w14:paraId="4DC72342">
            <w:pPr>
              <w:pStyle w:val="46"/>
              <w:spacing w:before="178" w:line="228" w:lineRule="auto"/>
              <w:ind w:left="110"/>
              <w:rPr>
                <w:rFonts w:hint="eastAsia" w:ascii="宋体" w:hAnsi="宋体" w:eastAsia="宋体" w:cs="宋体"/>
                <w:color w:val="auto"/>
                <w:highlight w:val="none"/>
              </w:rPr>
            </w:pPr>
            <w:r>
              <w:rPr>
                <w:rFonts w:hint="eastAsia" w:ascii="宋体" w:hAnsi="宋体" w:eastAsia="宋体" w:cs="宋体"/>
                <w:color w:val="auto"/>
                <w:spacing w:val="7"/>
                <w:highlight w:val="none"/>
              </w:rPr>
              <w:t>验收小组成员签字：</w:t>
            </w:r>
          </w:p>
        </w:tc>
      </w:tr>
      <w:tr w14:paraId="19978B0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24" w:hRule="atLeast"/>
        </w:trPr>
        <w:tc>
          <w:tcPr>
            <w:tcW w:w="8449" w:type="dxa"/>
            <w:gridSpan w:val="8"/>
            <w:vAlign w:val="top"/>
          </w:tcPr>
          <w:p w14:paraId="1B1B8B5B">
            <w:pPr>
              <w:pStyle w:val="46"/>
              <w:spacing w:before="87" w:line="600" w:lineRule="exact"/>
              <w:ind w:left="111"/>
              <w:rPr>
                <w:rFonts w:hint="eastAsia" w:ascii="宋体" w:hAnsi="宋体" w:eastAsia="宋体" w:cs="宋体"/>
                <w:color w:val="auto"/>
                <w:highlight w:val="none"/>
              </w:rPr>
            </w:pPr>
            <w:r>
              <w:rPr>
                <w:rFonts w:hint="eastAsia" w:ascii="宋体" w:hAnsi="宋体" w:eastAsia="宋体" w:cs="宋体"/>
                <w:color w:val="auto"/>
                <w:spacing w:val="8"/>
                <w:position w:val="30"/>
                <w:highlight w:val="none"/>
              </w:rPr>
              <w:t>监督人员或其他相关人员签字：</w:t>
            </w:r>
          </w:p>
          <w:p w14:paraId="53ED439D">
            <w:pPr>
              <w:pStyle w:val="46"/>
              <w:spacing w:line="209" w:lineRule="auto"/>
              <w:ind w:left="113"/>
              <w:rPr>
                <w:rFonts w:hint="eastAsia" w:ascii="宋体" w:hAnsi="宋体" w:eastAsia="宋体" w:cs="宋体"/>
                <w:color w:val="auto"/>
                <w:highlight w:val="none"/>
              </w:rPr>
            </w:pPr>
            <w:r>
              <w:rPr>
                <w:rFonts w:hint="eastAsia" w:ascii="宋体" w:hAnsi="宋体" w:eastAsia="宋体" w:cs="宋体"/>
                <w:color w:val="auto"/>
                <w:spacing w:val="8"/>
                <w:highlight w:val="none"/>
              </w:rPr>
              <w:t>或受邀机构的意见（盖章</w:t>
            </w:r>
            <w:r>
              <w:rPr>
                <w:rFonts w:hint="eastAsia" w:ascii="宋体" w:hAnsi="宋体" w:eastAsia="宋体" w:cs="宋体"/>
                <w:color w:val="auto"/>
                <w:spacing w:val="4"/>
                <w:highlight w:val="none"/>
              </w:rPr>
              <w:t>）：</w:t>
            </w:r>
          </w:p>
        </w:tc>
      </w:tr>
      <w:tr w14:paraId="596FB8F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33" w:hRule="atLeast"/>
        </w:trPr>
        <w:tc>
          <w:tcPr>
            <w:tcW w:w="3950" w:type="dxa"/>
            <w:gridSpan w:val="3"/>
            <w:tcBorders>
              <w:right w:val="single" w:color="000000" w:sz="2" w:space="0"/>
            </w:tcBorders>
            <w:vAlign w:val="top"/>
          </w:tcPr>
          <w:p w14:paraId="1C19F15E">
            <w:pPr>
              <w:pStyle w:val="46"/>
              <w:spacing w:before="89" w:line="600" w:lineRule="exact"/>
              <w:ind w:left="130"/>
              <w:rPr>
                <w:rFonts w:hint="eastAsia" w:ascii="宋体" w:hAnsi="宋体" w:eastAsia="宋体" w:cs="宋体"/>
                <w:color w:val="auto"/>
                <w:highlight w:val="none"/>
              </w:rPr>
            </w:pPr>
            <w:r>
              <w:rPr>
                <w:rFonts w:hint="eastAsia" w:ascii="宋体" w:hAnsi="宋体" w:eastAsia="宋体" w:cs="宋体"/>
                <w:color w:val="auto"/>
                <w:spacing w:val="7"/>
                <w:position w:val="30"/>
                <w:highlight w:val="none"/>
              </w:rPr>
              <w:t>中标或者成交供应商负责人签字或盖章：</w:t>
            </w:r>
          </w:p>
          <w:p w14:paraId="080DA554">
            <w:pPr>
              <w:pStyle w:val="46"/>
              <w:spacing w:before="1" w:line="215" w:lineRule="auto"/>
              <w:ind w:left="111"/>
              <w:rPr>
                <w:rFonts w:hint="eastAsia" w:ascii="宋体" w:hAnsi="宋体" w:eastAsia="宋体" w:cs="宋体"/>
                <w:color w:val="auto"/>
                <w:highlight w:val="none"/>
              </w:rPr>
            </w:pPr>
            <w:r>
              <w:rPr>
                <w:rFonts w:hint="eastAsia" w:ascii="宋体" w:hAnsi="宋体" w:eastAsia="宋体" w:cs="宋体"/>
                <w:color w:val="auto"/>
                <w:spacing w:val="3"/>
                <w:highlight w:val="none"/>
              </w:rPr>
              <w:t>联系电话：</w:t>
            </w:r>
            <w:r>
              <w:rPr>
                <w:rFonts w:hint="eastAsia" w:ascii="宋体" w:hAnsi="宋体" w:eastAsia="宋体" w:cs="宋体"/>
                <w:color w:val="auto"/>
                <w:spacing w:val="25"/>
                <w:highlight w:val="none"/>
              </w:rPr>
              <w:t xml:space="preserve"> </w:t>
            </w:r>
            <w:r>
              <w:rPr>
                <w:rFonts w:hint="eastAsia" w:ascii="宋体" w:hAnsi="宋体" w:eastAsia="宋体" w:cs="宋体"/>
                <w:color w:val="auto"/>
                <w:spacing w:val="3"/>
                <w:highlight w:val="none"/>
              </w:rPr>
              <w:t>年</w:t>
            </w:r>
            <w:r>
              <w:rPr>
                <w:rFonts w:hint="eastAsia" w:ascii="宋体" w:hAnsi="宋体" w:eastAsia="宋体" w:cs="宋体"/>
                <w:color w:val="auto"/>
                <w:spacing w:val="12"/>
                <w:highlight w:val="none"/>
              </w:rPr>
              <w:t xml:space="preserve">  </w:t>
            </w:r>
            <w:r>
              <w:rPr>
                <w:rFonts w:hint="eastAsia" w:ascii="宋体" w:hAnsi="宋体" w:eastAsia="宋体" w:cs="宋体"/>
                <w:color w:val="auto"/>
                <w:spacing w:val="3"/>
                <w:highlight w:val="none"/>
              </w:rPr>
              <w:t>月</w:t>
            </w:r>
            <w:r>
              <w:rPr>
                <w:rFonts w:hint="eastAsia" w:ascii="宋体" w:hAnsi="宋体" w:eastAsia="宋体" w:cs="宋体"/>
                <w:color w:val="auto"/>
                <w:spacing w:val="27"/>
                <w:highlight w:val="none"/>
              </w:rPr>
              <w:t xml:space="preserve">  </w:t>
            </w:r>
            <w:r>
              <w:rPr>
                <w:rFonts w:hint="eastAsia" w:ascii="宋体" w:hAnsi="宋体" w:eastAsia="宋体" w:cs="宋体"/>
                <w:color w:val="auto"/>
                <w:spacing w:val="3"/>
                <w:highlight w:val="none"/>
              </w:rPr>
              <w:t>日</w:t>
            </w:r>
          </w:p>
        </w:tc>
        <w:tc>
          <w:tcPr>
            <w:tcW w:w="4499" w:type="dxa"/>
            <w:gridSpan w:val="5"/>
            <w:tcBorders>
              <w:left w:val="single" w:color="000000" w:sz="2" w:space="0"/>
            </w:tcBorders>
            <w:vAlign w:val="top"/>
          </w:tcPr>
          <w:p w14:paraId="2B734FE2">
            <w:pPr>
              <w:pStyle w:val="46"/>
              <w:spacing w:before="89" w:line="600" w:lineRule="exact"/>
              <w:ind w:left="209"/>
              <w:rPr>
                <w:rFonts w:hint="eastAsia" w:ascii="宋体" w:hAnsi="宋体" w:eastAsia="宋体" w:cs="宋体"/>
                <w:color w:val="auto"/>
                <w:highlight w:val="none"/>
              </w:rPr>
            </w:pPr>
            <w:r>
              <w:rPr>
                <w:rFonts w:hint="eastAsia" w:ascii="宋体" w:hAnsi="宋体" w:eastAsia="宋体" w:cs="宋体"/>
                <w:color w:val="auto"/>
                <w:spacing w:val="9"/>
                <w:position w:val="30"/>
                <w:highlight w:val="none"/>
              </w:rPr>
              <w:t>采购人或受托机构的意见（盖章</w:t>
            </w:r>
            <w:r>
              <w:rPr>
                <w:rFonts w:hint="eastAsia" w:ascii="宋体" w:hAnsi="宋体" w:eastAsia="宋体" w:cs="宋体"/>
                <w:color w:val="auto"/>
                <w:spacing w:val="1"/>
                <w:position w:val="30"/>
                <w:highlight w:val="none"/>
              </w:rPr>
              <w:t>）：</w:t>
            </w:r>
          </w:p>
          <w:p w14:paraId="5F07D17A">
            <w:pPr>
              <w:pStyle w:val="46"/>
              <w:spacing w:before="1" w:line="215" w:lineRule="auto"/>
              <w:ind w:left="210"/>
              <w:rPr>
                <w:rFonts w:hint="eastAsia" w:ascii="宋体" w:hAnsi="宋体" w:eastAsia="宋体" w:cs="宋体"/>
                <w:color w:val="auto"/>
                <w:highlight w:val="none"/>
              </w:rPr>
            </w:pPr>
            <w:r>
              <w:rPr>
                <w:rFonts w:hint="eastAsia" w:ascii="宋体" w:hAnsi="宋体" w:eastAsia="宋体" w:cs="宋体"/>
                <w:color w:val="auto"/>
                <w:spacing w:val="3"/>
                <w:highlight w:val="none"/>
              </w:rPr>
              <w:t>联系电话：</w:t>
            </w:r>
            <w:r>
              <w:rPr>
                <w:rFonts w:hint="eastAsia" w:ascii="宋体" w:hAnsi="宋体" w:eastAsia="宋体" w:cs="宋体"/>
                <w:color w:val="auto"/>
                <w:spacing w:val="25"/>
                <w:highlight w:val="none"/>
              </w:rPr>
              <w:t xml:space="preserve"> </w:t>
            </w:r>
            <w:r>
              <w:rPr>
                <w:rFonts w:hint="eastAsia" w:ascii="宋体" w:hAnsi="宋体" w:eastAsia="宋体" w:cs="宋体"/>
                <w:color w:val="auto"/>
                <w:spacing w:val="3"/>
                <w:highlight w:val="none"/>
              </w:rPr>
              <w:t>年</w:t>
            </w:r>
            <w:r>
              <w:rPr>
                <w:rFonts w:hint="eastAsia" w:ascii="宋体" w:hAnsi="宋体" w:eastAsia="宋体" w:cs="宋体"/>
                <w:color w:val="auto"/>
                <w:spacing w:val="12"/>
                <w:highlight w:val="none"/>
              </w:rPr>
              <w:t xml:space="preserve">  </w:t>
            </w:r>
            <w:r>
              <w:rPr>
                <w:rFonts w:hint="eastAsia" w:ascii="宋体" w:hAnsi="宋体" w:eastAsia="宋体" w:cs="宋体"/>
                <w:color w:val="auto"/>
                <w:spacing w:val="3"/>
                <w:highlight w:val="none"/>
              </w:rPr>
              <w:t>月</w:t>
            </w:r>
            <w:r>
              <w:rPr>
                <w:rFonts w:hint="eastAsia" w:ascii="宋体" w:hAnsi="宋体" w:eastAsia="宋体" w:cs="宋体"/>
                <w:color w:val="auto"/>
                <w:spacing w:val="27"/>
                <w:highlight w:val="none"/>
              </w:rPr>
              <w:t xml:space="preserve">  </w:t>
            </w:r>
            <w:r>
              <w:rPr>
                <w:rFonts w:hint="eastAsia" w:ascii="宋体" w:hAnsi="宋体" w:eastAsia="宋体" w:cs="宋体"/>
                <w:color w:val="auto"/>
                <w:spacing w:val="3"/>
                <w:highlight w:val="none"/>
              </w:rPr>
              <w:t>日</w:t>
            </w:r>
          </w:p>
        </w:tc>
      </w:tr>
    </w:tbl>
    <w:p w14:paraId="5EC08441">
      <w:pPr>
        <w:rPr>
          <w:rFonts w:ascii="Arial"/>
          <w:color w:val="auto"/>
          <w:sz w:val="21"/>
          <w:highlight w:val="none"/>
        </w:rPr>
      </w:pPr>
    </w:p>
    <w:p w14:paraId="12F11A6C">
      <w:pPr>
        <w:rPr>
          <w:rFonts w:ascii="Arial" w:hAnsi="Arial" w:eastAsia="Arial" w:cs="Arial"/>
          <w:color w:val="auto"/>
          <w:sz w:val="21"/>
          <w:szCs w:val="21"/>
          <w:highlight w:val="none"/>
        </w:rPr>
        <w:sectPr>
          <w:footerReference r:id="rId9" w:type="default"/>
          <w:pgSz w:w="11906" w:h="16839"/>
          <w:pgMar w:top="1431" w:right="1158" w:bottom="1362" w:left="1151" w:header="0" w:footer="1200" w:gutter="0"/>
          <w:pgNumType w:fmt="decimal"/>
          <w:cols w:space="720" w:num="1"/>
        </w:sectPr>
      </w:pPr>
    </w:p>
    <w:p w14:paraId="08CD5273">
      <w:pPr>
        <w:keepNext w:val="0"/>
        <w:keepLines w:val="0"/>
        <w:pageBreakBefore w:val="0"/>
        <w:widowControl w:val="0"/>
        <w:kinsoku/>
        <w:wordWrap/>
        <w:overflowPunct/>
        <w:topLinePunct w:val="0"/>
        <w:autoSpaceDE/>
        <w:autoSpaceDN/>
        <w:bidi w:val="0"/>
        <w:adjustRightInd/>
        <w:snapToGrid/>
        <w:spacing w:line="231" w:lineRule="auto"/>
        <w:ind w:left="0"/>
        <w:textAlignment w:val="auto"/>
        <w:rPr>
          <w:rFonts w:hint="eastAsia" w:ascii="宋体" w:hAnsi="宋体" w:eastAsia="宋体" w:cs="宋体"/>
          <w:b/>
          <w:bCs/>
          <w:color w:val="auto"/>
          <w:sz w:val="24"/>
          <w:szCs w:val="24"/>
          <w:highlight w:val="none"/>
        </w:rPr>
      </w:pPr>
      <w:r>
        <w:rPr>
          <w:rFonts w:hint="eastAsia" w:ascii="宋体" w:hAnsi="宋体" w:eastAsia="宋体" w:cs="宋体"/>
          <w:b/>
          <w:bCs/>
          <w:color w:val="auto"/>
          <w:spacing w:val="-6"/>
          <w:sz w:val="24"/>
          <w:szCs w:val="24"/>
          <w:highlight w:val="none"/>
        </w:rPr>
        <w:t>附表</w:t>
      </w:r>
      <w:r>
        <w:rPr>
          <w:rFonts w:hint="eastAsia" w:ascii="宋体" w:hAnsi="宋体" w:cs="宋体"/>
          <w:b/>
          <w:bCs/>
          <w:color w:val="auto"/>
          <w:spacing w:val="-6"/>
          <w:sz w:val="24"/>
          <w:szCs w:val="24"/>
          <w:highlight w:val="none"/>
          <w:lang w:val="en-US" w:eastAsia="zh-CN"/>
        </w:rPr>
        <w:t>4</w:t>
      </w:r>
      <w:r>
        <w:rPr>
          <w:rFonts w:hint="eastAsia" w:ascii="宋体" w:hAnsi="宋体" w:eastAsia="宋体" w:cs="宋体"/>
          <w:b/>
          <w:bCs/>
          <w:color w:val="auto"/>
          <w:spacing w:val="-6"/>
          <w:sz w:val="24"/>
          <w:szCs w:val="24"/>
          <w:highlight w:val="none"/>
        </w:rPr>
        <w:t>：《广西线上“政采贷”政策告知函》</w:t>
      </w:r>
    </w:p>
    <w:p w14:paraId="0FB07A0C">
      <w:pPr>
        <w:rPr>
          <w:rFonts w:hint="eastAsia" w:ascii="宋体" w:hAnsi="宋体" w:eastAsia="宋体" w:cs="宋体"/>
          <w:color w:val="auto"/>
          <w:sz w:val="21"/>
          <w:szCs w:val="21"/>
          <w:highlight w:val="none"/>
          <w:lang w:eastAsia="zh-CN"/>
        </w:rPr>
      </w:pPr>
      <w:bookmarkStart w:id="136" w:name="_Toc27104"/>
      <w:r>
        <w:rPr>
          <w:rFonts w:ascii="宋体" w:hAnsi="宋体" w:cs="宋体"/>
          <w:b/>
          <w:color w:val="auto"/>
          <w:kern w:val="0"/>
          <w:sz w:val="32"/>
          <w:szCs w:val="32"/>
          <w:highlight w:val="none"/>
        </w:rPr>
        <w:drawing>
          <wp:inline distT="0" distB="0" distL="114300" distR="114300">
            <wp:extent cx="5902960" cy="8350885"/>
            <wp:effectExtent l="0" t="0" r="2540" b="1206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4"/>
                    <a:stretch>
                      <a:fillRect/>
                    </a:stretch>
                  </pic:blipFill>
                  <pic:spPr>
                    <a:xfrm>
                      <a:off x="0" y="0"/>
                      <a:ext cx="5902960" cy="8350885"/>
                    </a:xfrm>
                    <a:prstGeom prst="rect">
                      <a:avLst/>
                    </a:prstGeom>
                    <a:noFill/>
                    <a:ln>
                      <a:noFill/>
                    </a:ln>
                  </pic:spPr>
                </pic:pic>
              </a:graphicData>
            </a:graphic>
          </wp:inline>
        </w:drawing>
      </w:r>
      <w:bookmarkEnd w:id="136"/>
    </w:p>
    <w:p w14:paraId="7F6451E0">
      <w:pPr>
        <w:pStyle w:val="2"/>
        <w:keepNext/>
        <w:keepLines/>
        <w:pageBreakBefore w:val="0"/>
        <w:widowControl w:val="0"/>
        <w:kinsoku/>
        <w:wordWrap/>
        <w:overflowPunct/>
        <w:topLinePunct w:val="0"/>
        <w:autoSpaceDE/>
        <w:autoSpaceDN/>
        <w:bidi w:val="0"/>
        <w:adjustRightInd/>
        <w:snapToGrid/>
        <w:spacing w:before="0" w:after="0" w:line="240" w:lineRule="auto"/>
        <w:jc w:val="center"/>
        <w:textAlignment w:val="auto"/>
        <w:rPr>
          <w:rFonts w:hint="eastAsia" w:ascii="宋体" w:hAnsi="宋体" w:eastAsia="宋体" w:cs="宋体"/>
          <w:color w:val="auto"/>
          <w:sz w:val="21"/>
          <w:szCs w:val="21"/>
          <w:highlight w:val="none"/>
        </w:rPr>
      </w:pPr>
      <w:bookmarkStart w:id="137" w:name="_Toc28939"/>
      <w:bookmarkStart w:id="138" w:name="_Toc2989"/>
    </w:p>
    <w:p w14:paraId="59E0FB59">
      <w:pPr>
        <w:rPr>
          <w:rFonts w:hint="eastAsia"/>
          <w:color w:val="auto"/>
          <w:highlight w:val="none"/>
        </w:rPr>
      </w:pPr>
    </w:p>
    <w:p w14:paraId="39D82724">
      <w:pPr>
        <w:pStyle w:val="2"/>
        <w:numPr>
          <w:ilvl w:val="0"/>
          <w:numId w:val="0"/>
        </w:numPr>
        <w:tabs>
          <w:tab w:val="left" w:pos="0"/>
        </w:tabs>
        <w:autoSpaceDE w:val="0"/>
        <w:autoSpaceDN w:val="0"/>
        <w:adjustRightInd w:val="0"/>
        <w:spacing w:before="0" w:after="0" w:line="360" w:lineRule="auto"/>
        <w:ind w:left="425" w:leftChars="0"/>
        <w:jc w:val="center"/>
        <w:rPr>
          <w:rFonts w:hint="eastAsia" w:ascii="宋体" w:hAnsi="宋体" w:eastAsia="宋体" w:cs="宋体"/>
          <w:color w:val="auto"/>
          <w:sz w:val="28"/>
          <w:szCs w:val="28"/>
          <w:highlight w:val="none"/>
          <w:lang w:eastAsia="zh-CN"/>
        </w:rPr>
      </w:pPr>
      <w:bookmarkStart w:id="139" w:name="_Toc23263"/>
      <w:r>
        <w:rPr>
          <w:rFonts w:hint="eastAsia" w:ascii="宋体" w:hAnsi="宋体" w:eastAsia="宋体" w:cs="宋体"/>
          <w:color w:val="auto"/>
          <w:sz w:val="28"/>
          <w:szCs w:val="28"/>
          <w:highlight w:val="none"/>
          <w:lang w:eastAsia="zh-CN"/>
        </w:rPr>
        <w:t>第三章 工程量清单</w:t>
      </w:r>
      <w:bookmarkEnd w:id="137"/>
      <w:bookmarkEnd w:id="139"/>
    </w:p>
    <w:p w14:paraId="209BA74D">
      <w:pPr>
        <w:pStyle w:val="11"/>
        <w:keepNext w:val="0"/>
        <w:keepLines w:val="0"/>
        <w:pageBreakBefore w:val="0"/>
        <w:kinsoku/>
        <w:wordWrap/>
        <w:overflowPunct/>
        <w:topLinePunct w:val="0"/>
        <w:autoSpaceDE/>
        <w:autoSpaceDN/>
        <w:bidi w:val="0"/>
        <w:adjustRightInd/>
        <w:snapToGrid/>
        <w:spacing w:line="360" w:lineRule="exact"/>
        <w:ind w:firstLine="422" w:firstLineChars="200"/>
        <w:textAlignment w:val="auto"/>
        <w:rPr>
          <w:rFonts w:hint="eastAsia" w:ascii="宋体" w:hAnsi="宋体" w:eastAsia="宋体" w:cs="宋体"/>
          <w:color w:val="auto"/>
          <w:kern w:val="21"/>
          <w:sz w:val="21"/>
          <w:szCs w:val="21"/>
          <w:highlight w:val="none"/>
        </w:rPr>
      </w:pPr>
      <w:bookmarkStart w:id="140" w:name="_Toc160609998"/>
      <w:bookmarkStart w:id="141" w:name="_Toc164138057"/>
      <w:bookmarkStart w:id="142" w:name="_Toc194308407"/>
      <w:r>
        <w:rPr>
          <w:rFonts w:hint="eastAsia" w:ascii="宋体" w:hAnsi="宋体" w:eastAsia="宋体" w:cs="宋体"/>
          <w:b/>
          <w:color w:val="auto"/>
          <w:sz w:val="21"/>
          <w:szCs w:val="21"/>
          <w:highlight w:val="none"/>
        </w:rPr>
        <w:t>一、工程量清单说明</w:t>
      </w:r>
      <w:r>
        <w:rPr>
          <w:rFonts w:hint="eastAsia" w:ascii="宋体" w:hAnsi="宋体" w:eastAsia="宋体" w:cs="宋体"/>
          <w:color w:val="auto"/>
          <w:kern w:val="21"/>
          <w:sz w:val="21"/>
          <w:szCs w:val="21"/>
          <w:highlight w:val="none"/>
        </w:rPr>
        <w:t>：</w:t>
      </w:r>
    </w:p>
    <w:p w14:paraId="5B14FA88">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21"/>
          <w:sz w:val="21"/>
          <w:szCs w:val="21"/>
          <w:highlight w:val="none"/>
        </w:rPr>
      </w:pPr>
      <w:r>
        <w:rPr>
          <w:rFonts w:hint="eastAsia" w:ascii="宋体" w:hAnsi="宋体" w:eastAsia="宋体" w:cs="宋体"/>
          <w:color w:val="auto"/>
          <w:kern w:val="21"/>
          <w:sz w:val="21"/>
          <w:szCs w:val="21"/>
          <w:highlight w:val="none"/>
        </w:rPr>
        <w:t>1.</w:t>
      </w:r>
      <w:r>
        <w:rPr>
          <w:rFonts w:hint="eastAsia" w:ascii="宋体" w:hAnsi="宋体" w:eastAsia="宋体" w:cs="宋体"/>
          <w:color w:val="auto"/>
          <w:sz w:val="21"/>
          <w:szCs w:val="21"/>
          <w:highlight w:val="none"/>
        </w:rPr>
        <w:t>工程量清单中所列工程量系发包人按照现有图纸及有关资料依据建设行政主管部门所颁布的计量规则计算的，它是竞争性磋商文件的组成部分，仅作为磋商报价的共同基础</w:t>
      </w:r>
      <w:r>
        <w:rPr>
          <w:rFonts w:hint="eastAsia" w:ascii="宋体" w:hAnsi="宋体" w:eastAsia="宋体" w:cs="宋体"/>
          <w:color w:val="auto"/>
          <w:kern w:val="21"/>
          <w:sz w:val="21"/>
          <w:szCs w:val="21"/>
          <w:highlight w:val="none"/>
        </w:rPr>
        <w:t>，不作为最终结算与支付的依据</w:t>
      </w:r>
      <w:r>
        <w:rPr>
          <w:rFonts w:hint="eastAsia" w:ascii="宋体" w:hAnsi="宋体" w:eastAsia="宋体" w:cs="宋体"/>
          <w:color w:val="auto"/>
          <w:sz w:val="21"/>
          <w:szCs w:val="21"/>
          <w:highlight w:val="none"/>
        </w:rPr>
        <w:t>。成交后结算支付，以经</w:t>
      </w:r>
      <w:r>
        <w:rPr>
          <w:rFonts w:hint="eastAsia" w:ascii="宋体" w:hAnsi="宋体" w:eastAsia="宋体" w:cs="宋体"/>
          <w:color w:val="auto"/>
          <w:sz w:val="21"/>
          <w:szCs w:val="21"/>
          <w:highlight w:val="none"/>
          <w:u w:val="single"/>
        </w:rPr>
        <w:t xml:space="preserve"> </w:t>
      </w:r>
      <w:r>
        <w:rPr>
          <w:rFonts w:hint="eastAsia" w:ascii="宋体" w:hAnsi="宋体" w:eastAsia="宋体" w:cs="宋体"/>
          <w:bCs/>
          <w:color w:val="auto"/>
          <w:sz w:val="21"/>
          <w:szCs w:val="21"/>
          <w:highlight w:val="none"/>
          <w:u w:val="single"/>
        </w:rPr>
        <w:t xml:space="preserve">审图公司  </w:t>
      </w:r>
      <w:r>
        <w:rPr>
          <w:rFonts w:hint="eastAsia" w:ascii="宋体" w:hAnsi="宋体" w:eastAsia="宋体" w:cs="宋体"/>
          <w:color w:val="auto"/>
          <w:sz w:val="21"/>
          <w:szCs w:val="21"/>
          <w:highlight w:val="none"/>
        </w:rPr>
        <w:t>审定的设计图纸和设计变更实际工程量为依据，按成交单位的磋商所报的工程量清单的单价支付费用。</w:t>
      </w:r>
    </w:p>
    <w:p w14:paraId="49F9FB7F">
      <w:pPr>
        <w:pStyle w:val="11"/>
        <w:keepNext w:val="0"/>
        <w:keepLines w:val="0"/>
        <w:pageBreakBefore w:val="0"/>
        <w:kinsoku/>
        <w:wordWrap/>
        <w:overflowPunct/>
        <w:topLinePunct w:val="0"/>
        <w:autoSpaceDE/>
        <w:autoSpaceDN/>
        <w:bidi w:val="0"/>
        <w:adjustRightInd/>
        <w:snapToGrid/>
        <w:spacing w:line="360" w:lineRule="exact"/>
        <w:ind w:firstLine="422"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b/>
          <w:bCs/>
          <w:color w:val="auto"/>
          <w:kern w:val="21"/>
          <w:sz w:val="21"/>
          <w:szCs w:val="21"/>
          <w:highlight w:val="none"/>
        </w:rPr>
        <w:t>2.</w:t>
      </w:r>
      <w:r>
        <w:rPr>
          <w:rFonts w:hint="eastAsia" w:ascii="宋体" w:hAnsi="宋体" w:eastAsia="宋体" w:cs="宋体"/>
          <w:b/>
          <w:bCs/>
          <w:color w:val="auto"/>
          <w:kern w:val="0"/>
          <w:sz w:val="21"/>
          <w:szCs w:val="21"/>
          <w:highlight w:val="none"/>
        </w:rPr>
        <w:t>本工程计价及结算参考依据</w:t>
      </w:r>
      <w:r>
        <w:rPr>
          <w:rFonts w:hint="eastAsia" w:ascii="宋体" w:hAnsi="宋体" w:eastAsia="宋体" w:cs="宋体"/>
          <w:color w:val="auto"/>
          <w:kern w:val="0"/>
          <w:sz w:val="21"/>
          <w:szCs w:val="21"/>
          <w:highlight w:val="none"/>
        </w:rPr>
        <w:t>：</w:t>
      </w:r>
    </w:p>
    <w:p w14:paraId="46AA9BA3">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0"/>
          <w:sz w:val="21"/>
          <w:szCs w:val="21"/>
          <w:highlight w:val="none"/>
          <w:lang w:eastAsia="zh-CN"/>
        </w:rPr>
      </w:pPr>
      <w:r>
        <w:rPr>
          <w:rFonts w:hint="eastAsia" w:ascii="宋体" w:hAnsi="宋体" w:eastAsia="宋体" w:cs="宋体"/>
          <w:color w:val="auto"/>
          <w:kern w:val="0"/>
          <w:sz w:val="21"/>
          <w:szCs w:val="21"/>
          <w:highlight w:val="none"/>
          <w:lang w:eastAsia="zh-CN"/>
        </w:rPr>
        <w:t>（1）清单规范：《建设工程工程量清单计价规范 》（GB50500-2013）、《房屋建筑与装饰工程工程量计算规范》GB 50854-2013、《通用安装工程工程量计算规范》GB 50856-2013、《建设工程工程量计算规范(GB 50854～50862-2013)广西壮族自治区实施细则(修订本)》；</w:t>
      </w:r>
    </w:p>
    <w:p w14:paraId="571690FC">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0"/>
          <w:sz w:val="21"/>
          <w:szCs w:val="21"/>
          <w:highlight w:val="none"/>
          <w:lang w:eastAsia="zh-CN"/>
        </w:rPr>
      </w:pPr>
      <w:r>
        <w:rPr>
          <w:rFonts w:hint="eastAsia" w:ascii="宋体" w:hAnsi="宋体" w:eastAsia="宋体" w:cs="宋体"/>
          <w:color w:val="auto"/>
          <w:kern w:val="0"/>
          <w:sz w:val="21"/>
          <w:szCs w:val="21"/>
          <w:highlight w:val="none"/>
          <w:lang w:eastAsia="zh-CN"/>
        </w:rPr>
        <w:t>（2）清单规范：《建设工程工程量清单计价规范 》（GB50500-2013）、《房屋建筑与装饰工程工程量计算规范》GB 50854-2013、《通用安装工程工程量计算规范》GB 50856-2013、《建设工程工程量计算规范(GB 50854～50862-2013)广西壮族自治区实施细则(修订本)》；</w:t>
      </w:r>
    </w:p>
    <w:p w14:paraId="3A3F2BBC">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0"/>
          <w:sz w:val="21"/>
          <w:szCs w:val="21"/>
          <w:highlight w:val="none"/>
          <w:lang w:eastAsia="zh-CN"/>
        </w:rPr>
      </w:pPr>
      <w:r>
        <w:rPr>
          <w:rFonts w:hint="eastAsia" w:ascii="宋体" w:hAnsi="宋体" w:eastAsia="宋体" w:cs="宋体"/>
          <w:color w:val="auto"/>
          <w:kern w:val="0"/>
          <w:sz w:val="21"/>
          <w:szCs w:val="21"/>
          <w:highlight w:val="none"/>
          <w:lang w:eastAsia="zh-CN"/>
        </w:rPr>
        <w:t>（3）《关于调整建设工程定额人工费及有关费率的通知》(桂建标</w:t>
      </w:r>
      <w:r>
        <w:rPr>
          <w:rFonts w:hint="eastAsia" w:hAnsi="宋体" w:cs="宋体"/>
          <w:color w:val="auto"/>
          <w:kern w:val="0"/>
          <w:sz w:val="21"/>
          <w:szCs w:val="21"/>
          <w:highlight w:val="none"/>
          <w:lang w:eastAsia="zh-CN"/>
        </w:rPr>
        <w:t>〔2023〕7号</w:t>
      </w:r>
      <w:r>
        <w:rPr>
          <w:rFonts w:hint="eastAsia" w:ascii="宋体" w:hAnsi="宋体" w:eastAsia="宋体" w:cs="宋体"/>
          <w:color w:val="auto"/>
          <w:kern w:val="0"/>
          <w:sz w:val="21"/>
          <w:szCs w:val="21"/>
          <w:highlight w:val="none"/>
          <w:lang w:eastAsia="zh-CN"/>
        </w:rPr>
        <w:t>)；</w:t>
      </w:r>
    </w:p>
    <w:p w14:paraId="7363A64F">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0"/>
          <w:sz w:val="21"/>
          <w:szCs w:val="21"/>
          <w:highlight w:val="none"/>
          <w:lang w:eastAsia="zh-CN"/>
        </w:rPr>
      </w:pPr>
      <w:r>
        <w:rPr>
          <w:rFonts w:hint="eastAsia" w:ascii="宋体" w:hAnsi="宋体" w:eastAsia="宋体" w:cs="宋体"/>
          <w:color w:val="auto"/>
          <w:kern w:val="0"/>
          <w:sz w:val="21"/>
          <w:szCs w:val="21"/>
          <w:highlight w:val="none"/>
          <w:lang w:eastAsia="zh-CN"/>
        </w:rPr>
        <w:t>（4）材料价格参照《桂林市建设工程造价信息》发布的2024年第8期资源县价格，资源县信息价没有的参照桂林市材料价格，信息价没有的参照市场价格；</w:t>
      </w:r>
    </w:p>
    <w:p w14:paraId="3E329E7B">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eastAsia="zh-CN"/>
        </w:rPr>
        <w:t>（5）项目距资源县县城约13公里，计算材料超运距3公里，10公里以上每公里增加运费为：砂、石0.58元/m3，水泥0.49元/t，钢材1.77元/t，标砖2.91元/千块，毛石0.39元/m3，商品砼4.85元/m3。</w:t>
      </w:r>
    </w:p>
    <w:p w14:paraId="2C9F4678">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21"/>
          <w:sz w:val="21"/>
          <w:szCs w:val="21"/>
          <w:highlight w:val="none"/>
        </w:rPr>
      </w:pPr>
      <w:r>
        <w:rPr>
          <w:rFonts w:hint="eastAsia" w:ascii="宋体" w:hAnsi="宋体" w:eastAsia="宋体" w:cs="宋体"/>
          <w:color w:val="auto"/>
          <w:kern w:val="21"/>
          <w:sz w:val="21"/>
          <w:szCs w:val="21"/>
          <w:highlight w:val="none"/>
        </w:rPr>
        <w:t>3.在有数量标出的子目中，有价标的工程量清单中的每一细目须填入单价和合价。</w:t>
      </w:r>
      <w:r>
        <w:rPr>
          <w:rFonts w:hint="eastAsia" w:ascii="宋体" w:hAnsi="宋体" w:eastAsia="宋体" w:cs="宋体"/>
          <w:color w:val="auto"/>
          <w:sz w:val="21"/>
          <w:szCs w:val="21"/>
          <w:highlight w:val="none"/>
        </w:rPr>
        <w:t>供应商</w:t>
      </w:r>
      <w:r>
        <w:rPr>
          <w:rFonts w:hint="eastAsia" w:ascii="宋体" w:hAnsi="宋体" w:eastAsia="宋体" w:cs="宋体"/>
          <w:color w:val="auto"/>
          <w:kern w:val="21"/>
          <w:sz w:val="21"/>
          <w:szCs w:val="21"/>
          <w:highlight w:val="none"/>
        </w:rPr>
        <w:t>没有填写单价和合价的细目，其费用应视为已分配在相关工程细目的单价与合价之中。</w:t>
      </w:r>
    </w:p>
    <w:p w14:paraId="6E2A8EEC">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21"/>
          <w:sz w:val="21"/>
          <w:szCs w:val="21"/>
          <w:highlight w:val="none"/>
        </w:rPr>
      </w:pPr>
      <w:r>
        <w:rPr>
          <w:rFonts w:hint="eastAsia" w:ascii="宋体" w:hAnsi="宋体" w:eastAsia="宋体" w:cs="宋体"/>
          <w:color w:val="auto"/>
          <w:kern w:val="21"/>
          <w:sz w:val="21"/>
          <w:szCs w:val="21"/>
          <w:highlight w:val="none"/>
        </w:rPr>
        <w:t>4.工程量清单中的任何算术性错误，磋商小组将按下述原则予以调整。</w:t>
      </w:r>
    </w:p>
    <w:p w14:paraId="2E89B311">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21"/>
          <w:sz w:val="21"/>
          <w:szCs w:val="21"/>
          <w:highlight w:val="none"/>
        </w:rPr>
      </w:pPr>
      <w:r>
        <w:rPr>
          <w:rFonts w:hint="eastAsia" w:ascii="宋体" w:hAnsi="宋体" w:eastAsia="宋体" w:cs="宋体"/>
          <w:color w:val="auto"/>
          <w:kern w:val="21"/>
          <w:sz w:val="21"/>
          <w:szCs w:val="21"/>
          <w:highlight w:val="none"/>
        </w:rPr>
        <w:t>(a)如果用数字表示的数额与用文字表示的数额不一致时，以文字数额为准。</w:t>
      </w:r>
    </w:p>
    <w:p w14:paraId="5A428C77">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21"/>
          <w:sz w:val="21"/>
          <w:szCs w:val="21"/>
          <w:highlight w:val="none"/>
        </w:rPr>
      </w:pPr>
      <w:r>
        <w:rPr>
          <w:rFonts w:hint="eastAsia" w:ascii="宋体" w:hAnsi="宋体" w:eastAsia="宋体" w:cs="宋体"/>
          <w:color w:val="auto"/>
          <w:kern w:val="21"/>
          <w:sz w:val="21"/>
          <w:szCs w:val="21"/>
          <w:highlight w:val="none"/>
        </w:rPr>
        <w:t>(b)当单价与数量的乘积与总额之间不一致时，通常以标出的单价为准，除非磋商小组认为有明显的小数点出错，此时应以标出的总额为准，并修改单价。</w:t>
      </w:r>
    </w:p>
    <w:p w14:paraId="094D06DA">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21"/>
          <w:sz w:val="21"/>
          <w:szCs w:val="21"/>
          <w:highlight w:val="none"/>
        </w:rPr>
      </w:pPr>
      <w:r>
        <w:rPr>
          <w:rFonts w:hint="eastAsia" w:ascii="宋体" w:hAnsi="宋体" w:eastAsia="宋体" w:cs="宋体"/>
          <w:color w:val="auto"/>
          <w:kern w:val="21"/>
          <w:sz w:val="21"/>
          <w:szCs w:val="21"/>
          <w:highlight w:val="none"/>
        </w:rPr>
        <w:t>5.</w:t>
      </w:r>
      <w:r>
        <w:rPr>
          <w:rFonts w:hint="eastAsia" w:ascii="宋体" w:hAnsi="宋体" w:eastAsia="宋体" w:cs="宋体"/>
          <w:color w:val="auto"/>
          <w:sz w:val="21"/>
          <w:szCs w:val="21"/>
          <w:highlight w:val="none"/>
        </w:rPr>
        <w:t>供应商应按招标工程量清单填报价格。项目编码、项目名称、项目特征、计量单位、工程量必须与招标工程量清单一致，投标人不得对招标工程量清单项目进行增减调整。</w:t>
      </w:r>
    </w:p>
    <w:p w14:paraId="0EE060E6">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21"/>
          <w:sz w:val="21"/>
          <w:szCs w:val="21"/>
          <w:highlight w:val="none"/>
        </w:rPr>
      </w:pPr>
      <w:r>
        <w:rPr>
          <w:rFonts w:hint="eastAsia" w:ascii="宋体" w:hAnsi="宋体" w:eastAsia="宋体" w:cs="宋体"/>
          <w:color w:val="auto"/>
          <w:kern w:val="21"/>
          <w:sz w:val="21"/>
          <w:szCs w:val="21"/>
          <w:highlight w:val="none"/>
        </w:rPr>
        <w:t>6.</w:t>
      </w:r>
      <w:r>
        <w:rPr>
          <w:rFonts w:hint="eastAsia" w:ascii="宋体" w:hAnsi="宋体" w:eastAsia="宋体" w:cs="宋体"/>
          <w:color w:val="auto"/>
          <w:sz w:val="21"/>
          <w:szCs w:val="21"/>
          <w:highlight w:val="none"/>
        </w:rPr>
        <w:t>供应商</w:t>
      </w:r>
      <w:r>
        <w:rPr>
          <w:rFonts w:hint="eastAsia" w:ascii="宋体" w:hAnsi="宋体" w:eastAsia="宋体" w:cs="宋体"/>
          <w:color w:val="auto"/>
          <w:kern w:val="21"/>
          <w:sz w:val="21"/>
          <w:szCs w:val="21"/>
          <w:highlight w:val="none"/>
        </w:rPr>
        <w:t>如发现工程预算控制价中计算存在明显误差或有遗漏的，应在规定的时间前向采购人或采购代理机构提出书面异议或修正要求。</w:t>
      </w:r>
    </w:p>
    <w:p w14:paraId="0C0F4D62">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21"/>
          <w:sz w:val="21"/>
          <w:szCs w:val="21"/>
          <w:highlight w:val="none"/>
        </w:rPr>
      </w:pPr>
      <w:r>
        <w:rPr>
          <w:rFonts w:hint="eastAsia" w:ascii="宋体" w:hAnsi="宋体" w:eastAsia="宋体" w:cs="宋体"/>
          <w:color w:val="auto"/>
          <w:kern w:val="21"/>
          <w:sz w:val="21"/>
          <w:szCs w:val="21"/>
          <w:highlight w:val="none"/>
        </w:rPr>
        <w:t>7.</w:t>
      </w:r>
      <w:r>
        <w:rPr>
          <w:rFonts w:hint="eastAsia" w:ascii="宋体" w:hAnsi="宋体" w:eastAsia="宋体" w:cs="宋体"/>
          <w:color w:val="auto"/>
          <w:sz w:val="21"/>
          <w:szCs w:val="21"/>
          <w:highlight w:val="none"/>
        </w:rPr>
        <w:t>供应商</w:t>
      </w:r>
      <w:r>
        <w:rPr>
          <w:rFonts w:hint="eastAsia" w:ascii="宋体" w:hAnsi="宋体" w:eastAsia="宋体" w:cs="宋体"/>
          <w:color w:val="auto"/>
          <w:kern w:val="21"/>
          <w:sz w:val="21"/>
          <w:szCs w:val="21"/>
          <w:highlight w:val="none"/>
        </w:rPr>
        <w:t>应对</w:t>
      </w:r>
      <w:r>
        <w:rPr>
          <w:rFonts w:hint="eastAsia" w:ascii="宋体" w:hAnsi="宋体" w:eastAsia="宋体" w:cs="宋体"/>
          <w:color w:val="auto"/>
          <w:sz w:val="21"/>
          <w:szCs w:val="21"/>
          <w:highlight w:val="none"/>
        </w:rPr>
        <w:t>竞争性磋商文件</w:t>
      </w:r>
      <w:r>
        <w:rPr>
          <w:rFonts w:hint="eastAsia" w:ascii="宋体" w:hAnsi="宋体" w:eastAsia="宋体" w:cs="宋体"/>
          <w:color w:val="auto"/>
          <w:kern w:val="21"/>
          <w:sz w:val="21"/>
          <w:szCs w:val="21"/>
          <w:highlight w:val="none"/>
        </w:rPr>
        <w:t>中工程量清单所列的各项内容和要求作实质性响应，报价不得低于企业成本。</w:t>
      </w:r>
    </w:p>
    <w:p w14:paraId="12DA92D6">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21"/>
          <w:sz w:val="21"/>
          <w:szCs w:val="21"/>
          <w:highlight w:val="none"/>
        </w:rPr>
      </w:pPr>
      <w:r>
        <w:rPr>
          <w:rFonts w:hint="eastAsia" w:ascii="宋体" w:hAnsi="宋体" w:eastAsia="宋体" w:cs="宋体"/>
          <w:color w:val="auto"/>
          <w:kern w:val="21"/>
          <w:sz w:val="21"/>
          <w:szCs w:val="21"/>
          <w:highlight w:val="none"/>
        </w:rPr>
        <w:t>8.</w:t>
      </w:r>
      <w:r>
        <w:rPr>
          <w:rFonts w:hint="eastAsia" w:ascii="宋体" w:hAnsi="宋体" w:eastAsia="宋体" w:cs="宋体"/>
          <w:color w:val="auto"/>
          <w:sz w:val="21"/>
          <w:szCs w:val="21"/>
          <w:highlight w:val="none"/>
        </w:rPr>
        <w:t>供应商</w:t>
      </w:r>
      <w:r>
        <w:rPr>
          <w:rFonts w:hint="eastAsia" w:ascii="宋体" w:hAnsi="宋体" w:eastAsia="宋体" w:cs="宋体"/>
          <w:color w:val="auto"/>
          <w:kern w:val="21"/>
          <w:sz w:val="21"/>
          <w:szCs w:val="21"/>
          <w:highlight w:val="none"/>
        </w:rPr>
        <w:t>应采用综合单价进行工程量清单报价，不得采用总价让利或以百分比让利等形式进行报价。</w:t>
      </w:r>
    </w:p>
    <w:p w14:paraId="7FCB7B54">
      <w:pPr>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sz w:val="21"/>
          <w:szCs w:val="21"/>
          <w:highlight w:val="none"/>
        </w:rPr>
        <w:t>9.</w:t>
      </w:r>
      <w:r>
        <w:rPr>
          <w:rFonts w:hint="eastAsia" w:ascii="宋体" w:hAnsi="宋体" w:eastAsia="宋体" w:cs="宋体"/>
          <w:color w:val="auto"/>
          <w:kern w:val="0"/>
          <w:sz w:val="21"/>
          <w:szCs w:val="21"/>
          <w:highlight w:val="none"/>
        </w:rPr>
        <w:t>暂列金额的数量及拟用子目的说明（如有）：应按采购人在其他项目清单中列出的金额填写，不得变动。</w:t>
      </w:r>
    </w:p>
    <w:p w14:paraId="1E06A7C2">
      <w:pPr>
        <w:keepNext w:val="0"/>
        <w:keepLines w:val="0"/>
        <w:pageBreakBefore w:val="0"/>
        <w:tabs>
          <w:tab w:val="left" w:pos="210"/>
        </w:tabs>
        <w:kinsoku/>
        <w:wordWrap/>
        <w:overflowPunct/>
        <w:topLinePunct w:val="0"/>
        <w:autoSpaceDE/>
        <w:autoSpaceDN/>
        <w:bidi w:val="0"/>
        <w:adjustRightInd/>
        <w:snapToGrid/>
        <w:spacing w:line="360" w:lineRule="exact"/>
        <w:ind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10.暂估价的数量及拟用子目的说明（如有）：材料暂估价应按采购人在其他项目清单中列出的单价计入综合单价；专业工程暂估价应按采购人在其他项目清单中列出的金额填写。</w:t>
      </w:r>
    </w:p>
    <w:p w14:paraId="4B2B8CE4">
      <w:pPr>
        <w:pStyle w:val="11"/>
        <w:keepNext w:val="0"/>
        <w:keepLines w:val="0"/>
        <w:pageBreakBefore w:val="0"/>
        <w:kinsoku/>
        <w:wordWrap/>
        <w:overflowPunct/>
        <w:topLinePunct w:val="0"/>
        <w:autoSpaceDE/>
        <w:autoSpaceDN/>
        <w:bidi w:val="0"/>
        <w:adjustRightInd/>
        <w:snapToGrid/>
        <w:spacing w:line="360" w:lineRule="exact"/>
        <w:ind w:firstLine="422" w:firstLineChars="200"/>
        <w:textAlignment w:val="auto"/>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二、磋商报价说明</w:t>
      </w:r>
    </w:p>
    <w:p w14:paraId="725DEAEC">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21"/>
          <w:sz w:val="21"/>
          <w:szCs w:val="21"/>
          <w:highlight w:val="none"/>
        </w:rPr>
      </w:pPr>
      <w:r>
        <w:rPr>
          <w:rFonts w:hint="eastAsia" w:ascii="宋体" w:hAnsi="宋体" w:eastAsia="宋体" w:cs="宋体"/>
          <w:color w:val="auto"/>
          <w:kern w:val="21"/>
          <w:sz w:val="21"/>
          <w:szCs w:val="21"/>
          <w:highlight w:val="none"/>
        </w:rPr>
        <w:t>1.工程量清单中的每一子目须填入单价或价格，且只允许有一个报价。</w:t>
      </w:r>
    </w:p>
    <w:p w14:paraId="41F4E268">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21"/>
          <w:sz w:val="21"/>
          <w:szCs w:val="21"/>
          <w:highlight w:val="none"/>
        </w:rPr>
      </w:pPr>
      <w:r>
        <w:rPr>
          <w:rFonts w:hint="eastAsia" w:ascii="宋体" w:hAnsi="宋体" w:eastAsia="宋体" w:cs="宋体"/>
          <w:color w:val="auto"/>
          <w:kern w:val="21"/>
          <w:sz w:val="21"/>
          <w:szCs w:val="21"/>
          <w:highlight w:val="none"/>
        </w:rPr>
        <w:t>2.符合合同条款规定的全部费用应认为已被计入有标价的工程量清单所列各子目之中，未列子目不予计量的工作，其费用应视为已分摊在本合同工程的有关子目的单价或总价之中。</w:t>
      </w:r>
    </w:p>
    <w:p w14:paraId="22AA64BC">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21"/>
          <w:sz w:val="21"/>
          <w:szCs w:val="21"/>
          <w:highlight w:val="none"/>
        </w:rPr>
      </w:pPr>
      <w:r>
        <w:rPr>
          <w:rFonts w:hint="eastAsia" w:ascii="宋体" w:hAnsi="宋体" w:eastAsia="宋体" w:cs="宋体"/>
          <w:color w:val="auto"/>
          <w:kern w:val="21"/>
          <w:sz w:val="21"/>
          <w:szCs w:val="21"/>
          <w:highlight w:val="none"/>
        </w:rPr>
        <w:t>3.工程量清单中各项金额均以人民币（元）结算。</w:t>
      </w:r>
    </w:p>
    <w:p w14:paraId="2A6C9F9D">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kern w:val="21"/>
          <w:sz w:val="21"/>
          <w:szCs w:val="21"/>
          <w:highlight w:val="none"/>
        </w:rPr>
      </w:pPr>
      <w:r>
        <w:rPr>
          <w:rFonts w:hint="eastAsia" w:ascii="宋体" w:hAnsi="宋体" w:eastAsia="宋体" w:cs="宋体"/>
          <w:color w:val="auto"/>
          <w:kern w:val="21"/>
          <w:sz w:val="21"/>
          <w:szCs w:val="21"/>
          <w:highlight w:val="none"/>
        </w:rPr>
        <w:t xml:space="preserve">4.供应商应采用综合单价进行工程量清单报价，不得采用总价让利或以百分比让利等形式进行报价。                          </w:t>
      </w:r>
    </w:p>
    <w:p w14:paraId="75C655A8">
      <w:pPr>
        <w:keepNext w:val="0"/>
        <w:keepLines w:val="0"/>
        <w:pageBreakBefore w:val="0"/>
        <w:tabs>
          <w:tab w:val="left" w:pos="210"/>
        </w:tabs>
        <w:kinsoku/>
        <w:wordWrap/>
        <w:overflowPunct/>
        <w:topLinePunct w:val="0"/>
        <w:autoSpaceDE/>
        <w:autoSpaceDN/>
        <w:bidi w:val="0"/>
        <w:adjustRightInd/>
        <w:snapToGrid/>
        <w:spacing w:line="360" w:lineRule="exact"/>
        <w:ind w:firstLine="422" w:firstLineChars="200"/>
        <w:jc w:val="left"/>
        <w:textAlignment w:val="auto"/>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三、注意事项及要求：</w:t>
      </w:r>
    </w:p>
    <w:p w14:paraId="77E43323">
      <w:pPr>
        <w:keepNext w:val="0"/>
        <w:keepLines w:val="0"/>
        <w:pageBreakBefore w:val="0"/>
        <w:tabs>
          <w:tab w:val="left" w:pos="210"/>
        </w:tabs>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1.严格按国家标准及本项目工程量清单、主管部门规定要求施工；</w:t>
      </w:r>
    </w:p>
    <w:p w14:paraId="3A21FC93">
      <w:pPr>
        <w:pStyle w:val="7"/>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2.要求工期</w:t>
      </w:r>
      <w:r>
        <w:rPr>
          <w:rFonts w:hint="eastAsia" w:ascii="宋体" w:hAnsi="宋体" w:eastAsia="宋体" w:cs="宋体"/>
          <w:color w:val="auto"/>
          <w:sz w:val="21"/>
          <w:szCs w:val="21"/>
          <w:highlight w:val="none"/>
          <w:u w:val="none"/>
        </w:rPr>
        <w:t>：</w:t>
      </w:r>
      <w:r>
        <w:rPr>
          <w:rFonts w:hint="eastAsia" w:ascii="宋体" w:hAnsi="宋体" w:eastAsia="宋体" w:cs="宋体"/>
          <w:color w:val="auto"/>
          <w:sz w:val="21"/>
          <w:szCs w:val="21"/>
          <w:highlight w:val="none"/>
          <w:u w:val="single"/>
        </w:rPr>
        <w:t>自合同签订之日起</w:t>
      </w:r>
      <w:r>
        <w:rPr>
          <w:rFonts w:hint="eastAsia" w:ascii="宋体" w:hAnsi="宋体" w:cs="宋体"/>
          <w:color w:val="auto"/>
          <w:sz w:val="21"/>
          <w:szCs w:val="21"/>
          <w:highlight w:val="none"/>
          <w:u w:val="single"/>
          <w:lang w:val="en-US" w:eastAsia="zh-CN"/>
        </w:rPr>
        <w:t>50</w:t>
      </w:r>
      <w:r>
        <w:rPr>
          <w:rFonts w:hint="eastAsia" w:ascii="宋体" w:hAnsi="宋体" w:eastAsia="宋体" w:cs="宋体"/>
          <w:color w:val="auto"/>
          <w:sz w:val="21"/>
          <w:szCs w:val="21"/>
          <w:highlight w:val="none"/>
          <w:u w:val="single"/>
        </w:rPr>
        <w:t>个日历天内完工</w:t>
      </w:r>
      <w:r>
        <w:rPr>
          <w:rFonts w:hint="eastAsia" w:ascii="宋体" w:hAnsi="宋体" w:eastAsia="宋体" w:cs="宋体"/>
          <w:color w:val="auto"/>
          <w:sz w:val="21"/>
          <w:szCs w:val="21"/>
          <w:highlight w:val="none"/>
        </w:rPr>
        <w:t>；</w:t>
      </w:r>
    </w:p>
    <w:p w14:paraId="302FFBE3">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r>
        <w:rPr>
          <w:rFonts w:hint="eastAsia" w:hAnsi="宋体" w:cs="宋体"/>
          <w:color w:val="auto"/>
          <w:sz w:val="21"/>
          <w:szCs w:val="21"/>
          <w:highlight w:val="none"/>
          <w:lang w:eastAsia="zh-CN"/>
        </w:rPr>
        <w:t>工程质量</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u w:val="single"/>
        </w:rPr>
        <w:t>达到国家施工验收规范合格标准</w:t>
      </w:r>
      <w:r>
        <w:rPr>
          <w:rFonts w:hint="eastAsia" w:ascii="宋体" w:hAnsi="宋体" w:eastAsia="宋体" w:cs="宋体"/>
          <w:color w:val="auto"/>
          <w:sz w:val="21"/>
          <w:szCs w:val="21"/>
          <w:highlight w:val="none"/>
        </w:rPr>
        <w:t>。</w:t>
      </w:r>
    </w:p>
    <w:p w14:paraId="4157665D">
      <w:pPr>
        <w:pStyle w:val="11"/>
        <w:keepNext w:val="0"/>
        <w:keepLines w:val="0"/>
        <w:pageBreakBefore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b/>
          <w:bCs/>
          <w:color w:val="auto"/>
          <w:sz w:val="21"/>
          <w:szCs w:val="21"/>
          <w:highlight w:val="none"/>
        </w:rPr>
      </w:pPr>
      <w:r>
        <w:rPr>
          <w:rFonts w:hint="eastAsia" w:ascii="宋体" w:hAnsi="宋体" w:eastAsia="宋体" w:cs="宋体"/>
          <w:bCs/>
          <w:color w:val="auto"/>
          <w:sz w:val="21"/>
          <w:szCs w:val="21"/>
          <w:highlight w:val="none"/>
        </w:rPr>
        <w:t>4.</w:t>
      </w:r>
      <w:r>
        <w:rPr>
          <w:rFonts w:hint="eastAsia" w:ascii="宋体" w:hAnsi="宋体" w:eastAsia="宋体" w:cs="宋体"/>
          <w:b/>
          <w:bCs w:val="0"/>
          <w:color w:val="auto"/>
          <w:sz w:val="21"/>
          <w:szCs w:val="21"/>
          <w:highlight w:val="none"/>
        </w:rPr>
        <w:t>本工程预算控制价（最高磋商限价）为人民币</w:t>
      </w:r>
      <w:r>
        <w:rPr>
          <w:rFonts w:hint="eastAsia" w:ascii="宋体" w:hAnsi="宋体" w:eastAsia="宋体" w:cs="宋体"/>
          <w:color w:val="auto"/>
          <w:sz w:val="21"/>
          <w:szCs w:val="21"/>
          <w:highlight w:val="none"/>
          <w:u w:val="single"/>
          <w:lang w:val="en-US" w:eastAsia="zh-CN"/>
        </w:rPr>
        <w:t>792688.46</w:t>
      </w:r>
      <w:r>
        <w:rPr>
          <w:rFonts w:hint="eastAsia" w:ascii="宋体" w:hAnsi="宋体" w:eastAsia="宋体" w:cs="宋体"/>
          <w:b/>
          <w:bCs/>
          <w:color w:val="auto"/>
          <w:kern w:val="0"/>
          <w:sz w:val="21"/>
          <w:szCs w:val="21"/>
          <w:highlight w:val="none"/>
          <w:u w:val="none"/>
          <w:shd w:val="clear" w:color="auto" w:fill="auto"/>
          <w:lang w:val="en-US" w:eastAsia="zh-CN"/>
        </w:rPr>
        <w:t>元</w:t>
      </w:r>
      <w:r>
        <w:rPr>
          <w:rFonts w:hint="eastAsia" w:ascii="宋体" w:hAnsi="宋体" w:eastAsia="宋体" w:cs="宋体"/>
          <w:b/>
          <w:color w:val="auto"/>
          <w:spacing w:val="-4"/>
          <w:sz w:val="21"/>
          <w:szCs w:val="21"/>
          <w:highlight w:val="none"/>
        </w:rPr>
        <w:t>，供应商磋商总报价不得高于本工程最高磋商限价，否则被视为无效报价，无效报价将不予评审。</w:t>
      </w:r>
    </w:p>
    <w:p w14:paraId="7C7D830B">
      <w:pPr>
        <w:keepNext w:val="0"/>
        <w:keepLines w:val="0"/>
        <w:pageBreakBefore w:val="0"/>
        <w:tabs>
          <w:tab w:val="left" w:pos="210"/>
        </w:tabs>
        <w:kinsoku/>
        <w:wordWrap/>
        <w:overflowPunct/>
        <w:topLinePunct w:val="0"/>
        <w:autoSpaceDE/>
        <w:autoSpaceDN/>
        <w:bidi w:val="0"/>
        <w:adjustRightInd/>
        <w:snapToGrid/>
        <w:spacing w:line="360" w:lineRule="exact"/>
        <w:ind w:firstLine="422" w:firstLineChars="200"/>
        <w:jc w:val="left"/>
        <w:textAlignment w:val="auto"/>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四、项目所属行业：</w:t>
      </w:r>
      <w:r>
        <w:rPr>
          <w:rFonts w:hint="eastAsia" w:ascii="宋体" w:hAnsi="宋体" w:eastAsia="宋体" w:cs="宋体"/>
          <w:b/>
          <w:color w:val="auto"/>
          <w:kern w:val="0"/>
          <w:sz w:val="21"/>
          <w:szCs w:val="21"/>
          <w:highlight w:val="none"/>
        </w:rPr>
        <w:t>所属行业依照《中小企业划型标准规定》（工信部联企业〔2011〕300号）及《国民经济行业分类》（GB/T4754-2017）的有关规定执行，本工程在《统计上大中小微型企业划分标准》中所属行业均为</w:t>
      </w:r>
      <w:r>
        <w:rPr>
          <w:rFonts w:hint="eastAsia" w:ascii="宋体" w:hAnsi="宋体" w:eastAsia="宋体" w:cs="宋体"/>
          <w:b/>
          <w:color w:val="auto"/>
          <w:kern w:val="0"/>
          <w:sz w:val="21"/>
          <w:szCs w:val="21"/>
          <w:highlight w:val="none"/>
          <w:u w:val="single"/>
          <w:lang w:eastAsia="zh-CN"/>
        </w:rPr>
        <w:t>“</w:t>
      </w:r>
      <w:r>
        <w:rPr>
          <w:rFonts w:hint="eastAsia" w:ascii="宋体" w:hAnsi="宋体" w:eastAsia="宋体" w:cs="宋体"/>
          <w:b/>
          <w:color w:val="auto"/>
          <w:kern w:val="0"/>
          <w:sz w:val="21"/>
          <w:szCs w:val="21"/>
          <w:highlight w:val="none"/>
          <w:u w:val="single"/>
        </w:rPr>
        <w:t>建筑业</w:t>
      </w:r>
      <w:r>
        <w:rPr>
          <w:rFonts w:hint="eastAsia" w:ascii="宋体" w:hAnsi="宋体" w:eastAsia="宋体" w:cs="宋体"/>
          <w:b/>
          <w:color w:val="auto"/>
          <w:kern w:val="0"/>
          <w:sz w:val="21"/>
          <w:szCs w:val="21"/>
          <w:highlight w:val="none"/>
          <w:u w:val="single"/>
          <w:lang w:eastAsia="zh-CN"/>
        </w:rPr>
        <w:t>”</w:t>
      </w:r>
      <w:r>
        <w:rPr>
          <w:rFonts w:hint="eastAsia" w:ascii="宋体" w:hAnsi="宋体" w:eastAsia="宋体" w:cs="宋体"/>
          <w:b/>
          <w:color w:val="auto"/>
          <w:kern w:val="0"/>
          <w:sz w:val="21"/>
          <w:szCs w:val="21"/>
          <w:highlight w:val="none"/>
          <w:u w:val="none"/>
        </w:rPr>
        <w:t>。</w:t>
      </w:r>
    </w:p>
    <w:p w14:paraId="47211E88">
      <w:pPr>
        <w:keepNext w:val="0"/>
        <w:keepLines w:val="0"/>
        <w:pageBreakBefore w:val="0"/>
        <w:tabs>
          <w:tab w:val="left" w:pos="210"/>
        </w:tabs>
        <w:kinsoku/>
        <w:wordWrap/>
        <w:overflowPunct/>
        <w:topLinePunct w:val="0"/>
        <w:autoSpaceDE/>
        <w:autoSpaceDN/>
        <w:bidi w:val="0"/>
        <w:adjustRightInd/>
        <w:snapToGrid/>
        <w:spacing w:line="360" w:lineRule="exact"/>
        <w:ind w:firstLine="422" w:firstLineChars="200"/>
        <w:jc w:val="left"/>
        <w:textAlignment w:val="auto"/>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五、工程量清单（自行下载）。</w:t>
      </w:r>
    </w:p>
    <w:p w14:paraId="650F969B">
      <w:pPr>
        <w:keepNext w:val="0"/>
        <w:keepLines w:val="0"/>
        <w:pageBreakBefore w:val="0"/>
        <w:kinsoku/>
        <w:wordWrap/>
        <w:overflowPunct/>
        <w:topLinePunct w:val="0"/>
        <w:autoSpaceDE/>
        <w:autoSpaceDN/>
        <w:bidi w:val="0"/>
        <w:adjustRightInd/>
        <w:snapToGrid/>
        <w:spacing w:line="360" w:lineRule="exact"/>
        <w:ind w:firstLine="422" w:firstLineChars="200"/>
        <w:textAlignment w:val="auto"/>
        <w:rPr>
          <w:rFonts w:hint="eastAsia" w:ascii="宋体" w:hAnsi="宋体" w:eastAsia="宋体" w:cs="宋体"/>
          <w:b/>
          <w:color w:val="auto"/>
          <w:sz w:val="21"/>
          <w:szCs w:val="21"/>
          <w:highlight w:val="none"/>
        </w:rPr>
      </w:pPr>
    </w:p>
    <w:p w14:paraId="5E40CA80">
      <w:pPr>
        <w:pStyle w:val="11"/>
        <w:keepNext w:val="0"/>
        <w:keepLines w:val="0"/>
        <w:pageBreakBefore w:val="0"/>
        <w:widowControl w:val="0"/>
        <w:kinsoku/>
        <w:wordWrap/>
        <w:overflowPunct/>
        <w:topLinePunct w:val="0"/>
        <w:autoSpaceDE/>
        <w:autoSpaceDN/>
        <w:bidi w:val="0"/>
        <w:snapToGrid/>
        <w:spacing w:line="380" w:lineRule="exact"/>
        <w:textAlignment w:val="auto"/>
        <w:rPr>
          <w:rFonts w:hint="eastAsia" w:ascii="宋体" w:hAnsi="宋体" w:eastAsia="宋体" w:cs="宋体"/>
          <w:b/>
          <w:color w:val="auto"/>
          <w:sz w:val="21"/>
          <w:szCs w:val="21"/>
          <w:highlight w:val="none"/>
        </w:rPr>
      </w:pPr>
    </w:p>
    <w:bookmarkEnd w:id="138"/>
    <w:bookmarkEnd w:id="140"/>
    <w:bookmarkEnd w:id="141"/>
    <w:bookmarkEnd w:id="142"/>
    <w:p w14:paraId="0C4AB980">
      <w:pPr>
        <w:pStyle w:val="2"/>
        <w:pageBreakBefore w:val="0"/>
        <w:widowControl w:val="0"/>
        <w:numPr>
          <w:ilvl w:val="0"/>
          <w:numId w:val="0"/>
        </w:numPr>
        <w:tabs>
          <w:tab w:val="left" w:pos="0"/>
        </w:tabs>
        <w:kinsoku/>
        <w:wordWrap/>
        <w:overflowPunct/>
        <w:topLinePunct w:val="0"/>
        <w:autoSpaceDE w:val="0"/>
        <w:autoSpaceDN w:val="0"/>
        <w:bidi w:val="0"/>
        <w:adjustRightInd w:val="0"/>
        <w:snapToGrid/>
        <w:spacing w:before="0" w:after="0" w:line="440" w:lineRule="exact"/>
        <w:jc w:val="center"/>
        <w:textAlignment w:val="auto"/>
        <w:rPr>
          <w:rFonts w:hint="eastAsia" w:ascii="宋体" w:hAnsi="宋体" w:eastAsia="宋体" w:cs="宋体"/>
          <w:color w:val="auto"/>
          <w:sz w:val="28"/>
          <w:szCs w:val="28"/>
          <w:highlight w:val="none"/>
          <w:lang w:eastAsia="zh-CN"/>
        </w:rPr>
      </w:pPr>
      <w:bookmarkStart w:id="143" w:name="_Toc5828"/>
    </w:p>
    <w:p w14:paraId="3F9BAED2">
      <w:pPr>
        <w:pStyle w:val="2"/>
        <w:pageBreakBefore w:val="0"/>
        <w:widowControl w:val="0"/>
        <w:numPr>
          <w:ilvl w:val="0"/>
          <w:numId w:val="0"/>
        </w:numPr>
        <w:tabs>
          <w:tab w:val="left" w:pos="0"/>
        </w:tabs>
        <w:kinsoku/>
        <w:wordWrap/>
        <w:overflowPunct/>
        <w:topLinePunct w:val="0"/>
        <w:autoSpaceDE w:val="0"/>
        <w:autoSpaceDN w:val="0"/>
        <w:bidi w:val="0"/>
        <w:adjustRightInd w:val="0"/>
        <w:snapToGrid/>
        <w:spacing w:before="0" w:after="0" w:line="440" w:lineRule="exact"/>
        <w:jc w:val="both"/>
        <w:textAlignment w:val="auto"/>
        <w:rPr>
          <w:rFonts w:hint="eastAsia" w:ascii="宋体" w:hAnsi="宋体" w:eastAsia="宋体" w:cs="宋体"/>
          <w:color w:val="auto"/>
          <w:sz w:val="28"/>
          <w:szCs w:val="28"/>
          <w:highlight w:val="none"/>
          <w:lang w:eastAsia="zh-CN"/>
        </w:rPr>
      </w:pPr>
    </w:p>
    <w:p w14:paraId="665C3B96">
      <w:pPr>
        <w:rPr>
          <w:rFonts w:hint="eastAsia"/>
          <w:color w:val="auto"/>
          <w:highlight w:val="none"/>
          <w:lang w:eastAsia="zh-CN"/>
        </w:rPr>
      </w:pPr>
    </w:p>
    <w:p w14:paraId="4125228B">
      <w:pPr>
        <w:pStyle w:val="2"/>
        <w:pageBreakBefore w:val="0"/>
        <w:widowControl w:val="0"/>
        <w:numPr>
          <w:ilvl w:val="0"/>
          <w:numId w:val="0"/>
        </w:numPr>
        <w:tabs>
          <w:tab w:val="left" w:pos="0"/>
        </w:tabs>
        <w:kinsoku/>
        <w:wordWrap/>
        <w:overflowPunct/>
        <w:topLinePunct w:val="0"/>
        <w:autoSpaceDE w:val="0"/>
        <w:autoSpaceDN w:val="0"/>
        <w:bidi w:val="0"/>
        <w:adjustRightInd w:val="0"/>
        <w:snapToGrid/>
        <w:spacing w:before="0" w:after="0" w:line="440" w:lineRule="exact"/>
        <w:jc w:val="center"/>
        <w:textAlignment w:val="auto"/>
        <w:rPr>
          <w:rFonts w:hint="eastAsia" w:ascii="宋体" w:hAnsi="宋体" w:eastAsia="宋体" w:cs="宋体"/>
          <w:color w:val="auto"/>
          <w:sz w:val="28"/>
          <w:szCs w:val="28"/>
          <w:highlight w:val="none"/>
          <w:lang w:eastAsia="zh-CN"/>
        </w:rPr>
      </w:pPr>
    </w:p>
    <w:p w14:paraId="2EA90D8A">
      <w:pPr>
        <w:pStyle w:val="2"/>
        <w:pageBreakBefore w:val="0"/>
        <w:widowControl w:val="0"/>
        <w:numPr>
          <w:ilvl w:val="0"/>
          <w:numId w:val="0"/>
        </w:numPr>
        <w:tabs>
          <w:tab w:val="left" w:pos="0"/>
        </w:tabs>
        <w:kinsoku/>
        <w:wordWrap/>
        <w:overflowPunct/>
        <w:topLinePunct w:val="0"/>
        <w:autoSpaceDE w:val="0"/>
        <w:autoSpaceDN w:val="0"/>
        <w:bidi w:val="0"/>
        <w:adjustRightInd w:val="0"/>
        <w:snapToGrid/>
        <w:spacing w:before="0" w:after="0" w:line="440" w:lineRule="exact"/>
        <w:jc w:val="both"/>
        <w:textAlignment w:val="auto"/>
        <w:rPr>
          <w:rFonts w:hint="eastAsia" w:ascii="宋体" w:hAnsi="宋体" w:eastAsia="宋体" w:cs="宋体"/>
          <w:color w:val="auto"/>
          <w:sz w:val="28"/>
          <w:szCs w:val="28"/>
          <w:highlight w:val="none"/>
          <w:lang w:eastAsia="zh-CN"/>
        </w:rPr>
      </w:pPr>
    </w:p>
    <w:p w14:paraId="3B23E4F0">
      <w:pPr>
        <w:rPr>
          <w:rFonts w:hint="eastAsia" w:ascii="宋体" w:hAnsi="宋体" w:eastAsia="宋体" w:cs="宋体"/>
          <w:color w:val="auto"/>
          <w:sz w:val="28"/>
          <w:szCs w:val="28"/>
          <w:highlight w:val="none"/>
          <w:lang w:eastAsia="zh-CN"/>
        </w:rPr>
      </w:pPr>
    </w:p>
    <w:p w14:paraId="7239EE14">
      <w:pPr>
        <w:rPr>
          <w:rFonts w:hint="eastAsia" w:ascii="宋体" w:hAnsi="宋体" w:eastAsia="宋体" w:cs="宋体"/>
          <w:color w:val="auto"/>
          <w:sz w:val="28"/>
          <w:szCs w:val="28"/>
          <w:highlight w:val="none"/>
          <w:lang w:eastAsia="zh-CN"/>
        </w:rPr>
      </w:pPr>
    </w:p>
    <w:p w14:paraId="2BAE68EF">
      <w:pPr>
        <w:pStyle w:val="5"/>
        <w:rPr>
          <w:rFonts w:hint="eastAsia" w:ascii="宋体" w:hAnsi="宋体" w:eastAsia="宋体" w:cs="宋体"/>
          <w:color w:val="auto"/>
          <w:sz w:val="28"/>
          <w:szCs w:val="28"/>
          <w:highlight w:val="none"/>
          <w:lang w:eastAsia="zh-CN"/>
        </w:rPr>
      </w:pPr>
    </w:p>
    <w:p w14:paraId="73F9D222">
      <w:pPr>
        <w:rPr>
          <w:rFonts w:hint="eastAsia" w:ascii="宋体" w:hAnsi="宋体" w:eastAsia="宋体" w:cs="宋体"/>
          <w:color w:val="auto"/>
          <w:sz w:val="28"/>
          <w:szCs w:val="28"/>
          <w:highlight w:val="none"/>
          <w:lang w:eastAsia="zh-CN"/>
        </w:rPr>
      </w:pPr>
    </w:p>
    <w:p w14:paraId="6F700E94">
      <w:pPr>
        <w:pStyle w:val="5"/>
        <w:rPr>
          <w:rFonts w:hint="eastAsia" w:ascii="宋体" w:hAnsi="宋体" w:eastAsia="宋体" w:cs="宋体"/>
          <w:color w:val="auto"/>
          <w:sz w:val="28"/>
          <w:szCs w:val="28"/>
          <w:highlight w:val="none"/>
          <w:lang w:eastAsia="zh-CN"/>
        </w:rPr>
      </w:pPr>
    </w:p>
    <w:p w14:paraId="2AD74FD1">
      <w:pPr>
        <w:rPr>
          <w:rFonts w:hint="eastAsia" w:ascii="宋体" w:hAnsi="宋体" w:eastAsia="宋体" w:cs="宋体"/>
          <w:color w:val="auto"/>
          <w:sz w:val="28"/>
          <w:szCs w:val="28"/>
          <w:highlight w:val="none"/>
          <w:lang w:eastAsia="zh-CN"/>
        </w:rPr>
      </w:pPr>
    </w:p>
    <w:p w14:paraId="3DB5AE3E">
      <w:pPr>
        <w:pStyle w:val="5"/>
        <w:rPr>
          <w:rFonts w:hint="eastAsia" w:ascii="宋体" w:hAnsi="宋体" w:eastAsia="宋体" w:cs="宋体"/>
          <w:color w:val="auto"/>
          <w:sz w:val="28"/>
          <w:szCs w:val="28"/>
          <w:highlight w:val="none"/>
          <w:lang w:eastAsia="zh-CN"/>
        </w:rPr>
      </w:pPr>
    </w:p>
    <w:p w14:paraId="49E3D0FE">
      <w:pPr>
        <w:rPr>
          <w:rFonts w:hint="eastAsia" w:ascii="宋体" w:hAnsi="宋体" w:eastAsia="宋体" w:cs="宋体"/>
          <w:color w:val="auto"/>
          <w:sz w:val="28"/>
          <w:szCs w:val="28"/>
          <w:highlight w:val="none"/>
          <w:lang w:eastAsia="zh-CN"/>
        </w:rPr>
      </w:pPr>
    </w:p>
    <w:p w14:paraId="4CD085D0">
      <w:pPr>
        <w:rPr>
          <w:rFonts w:hint="eastAsia" w:ascii="宋体" w:hAnsi="宋体" w:eastAsia="宋体" w:cs="宋体"/>
          <w:color w:val="auto"/>
          <w:sz w:val="28"/>
          <w:szCs w:val="28"/>
          <w:highlight w:val="none"/>
          <w:lang w:eastAsia="zh-CN"/>
        </w:rPr>
      </w:pPr>
    </w:p>
    <w:p w14:paraId="35ECDAA0">
      <w:pPr>
        <w:rPr>
          <w:rFonts w:hint="eastAsia" w:ascii="宋体" w:hAnsi="宋体" w:eastAsia="宋体" w:cs="宋体"/>
          <w:color w:val="auto"/>
          <w:sz w:val="28"/>
          <w:szCs w:val="28"/>
          <w:highlight w:val="none"/>
          <w:lang w:eastAsia="zh-CN"/>
        </w:rPr>
      </w:pPr>
    </w:p>
    <w:p w14:paraId="7F7283E2">
      <w:pPr>
        <w:rPr>
          <w:rFonts w:hint="eastAsia" w:ascii="宋体" w:hAnsi="宋体" w:eastAsia="宋体" w:cs="宋体"/>
          <w:color w:val="auto"/>
          <w:sz w:val="28"/>
          <w:szCs w:val="28"/>
          <w:highlight w:val="none"/>
          <w:lang w:eastAsia="zh-CN"/>
        </w:rPr>
      </w:pPr>
    </w:p>
    <w:p w14:paraId="0F76E9D6">
      <w:pPr>
        <w:pStyle w:val="2"/>
        <w:numPr>
          <w:ilvl w:val="0"/>
          <w:numId w:val="0"/>
        </w:numPr>
        <w:tabs>
          <w:tab w:val="left" w:pos="0"/>
        </w:tabs>
        <w:autoSpaceDE w:val="0"/>
        <w:autoSpaceDN w:val="0"/>
        <w:adjustRightInd w:val="0"/>
        <w:spacing w:before="0" w:after="0" w:line="360" w:lineRule="auto"/>
        <w:ind w:left="425" w:leftChars="0"/>
        <w:jc w:val="center"/>
        <w:rPr>
          <w:rFonts w:hint="eastAsia" w:ascii="宋体" w:hAnsi="宋体" w:eastAsia="宋体" w:cs="宋体"/>
          <w:color w:val="auto"/>
          <w:sz w:val="28"/>
          <w:szCs w:val="28"/>
          <w:highlight w:val="none"/>
          <w:lang w:eastAsia="zh-CN"/>
        </w:rPr>
      </w:pPr>
      <w:r>
        <w:rPr>
          <w:rFonts w:hint="eastAsia" w:ascii="宋体" w:hAnsi="宋体" w:eastAsia="宋体" w:cs="宋体"/>
          <w:color w:val="auto"/>
          <w:sz w:val="28"/>
          <w:szCs w:val="28"/>
          <w:highlight w:val="none"/>
          <w:lang w:eastAsia="zh-CN"/>
        </w:rPr>
        <w:t>第四章</w:t>
      </w:r>
      <w:r>
        <w:rPr>
          <w:rFonts w:hint="eastAsia" w:ascii="宋体" w:hAnsi="宋体" w:eastAsia="宋体" w:cs="宋体"/>
          <w:color w:val="auto"/>
          <w:sz w:val="28"/>
          <w:szCs w:val="28"/>
          <w:highlight w:val="none"/>
          <w:lang w:val="en-US" w:eastAsia="zh-CN"/>
        </w:rPr>
        <w:t xml:space="preserve"> </w:t>
      </w:r>
      <w:r>
        <w:rPr>
          <w:rFonts w:hint="eastAsia" w:ascii="宋体" w:hAnsi="宋体" w:eastAsia="宋体" w:cs="宋体"/>
          <w:color w:val="auto"/>
          <w:sz w:val="28"/>
          <w:szCs w:val="28"/>
          <w:highlight w:val="none"/>
          <w:lang w:eastAsia="zh-CN"/>
        </w:rPr>
        <w:t>评审办法</w:t>
      </w:r>
      <w:bookmarkEnd w:id="143"/>
    </w:p>
    <w:p w14:paraId="64ABF7DE">
      <w:pPr>
        <w:pStyle w:val="11"/>
        <w:keepNext w:val="0"/>
        <w:keepLines w:val="0"/>
        <w:pageBreakBefore w:val="0"/>
        <w:widowControl w:val="0"/>
        <w:kinsoku/>
        <w:wordWrap/>
        <w:overflowPunct/>
        <w:topLinePunct w:val="0"/>
        <w:autoSpaceDE/>
        <w:autoSpaceDN/>
        <w:bidi w:val="0"/>
        <w:adjustRightInd/>
        <w:snapToGrid/>
        <w:spacing w:line="380" w:lineRule="exact"/>
        <w:textAlignment w:val="auto"/>
        <w:rPr>
          <w:rFonts w:hint="eastAsia" w:ascii="宋体" w:hAnsi="宋体" w:eastAsia="宋体" w:cs="宋体"/>
          <w:b/>
          <w:bCs/>
          <w:color w:val="auto"/>
          <w:sz w:val="21"/>
          <w:szCs w:val="21"/>
          <w:highlight w:val="none"/>
          <w:lang w:eastAsia="zh-CN"/>
        </w:rPr>
      </w:pPr>
      <w:r>
        <w:rPr>
          <w:rFonts w:hint="eastAsia" w:ascii="宋体" w:hAnsi="宋体" w:eastAsia="宋体" w:cs="宋体"/>
          <w:b/>
          <w:bCs/>
          <w:color w:val="auto"/>
          <w:sz w:val="21"/>
          <w:szCs w:val="21"/>
          <w:highlight w:val="none"/>
        </w:rPr>
        <w:t>一、评审依据及方式</w:t>
      </w:r>
      <w:r>
        <w:rPr>
          <w:rFonts w:hint="eastAsia" w:ascii="宋体" w:hAnsi="宋体" w:eastAsia="宋体" w:cs="宋体"/>
          <w:b/>
          <w:bCs/>
          <w:color w:val="auto"/>
          <w:sz w:val="21"/>
          <w:szCs w:val="21"/>
          <w:highlight w:val="none"/>
          <w:lang w:eastAsia="zh-CN"/>
        </w:rPr>
        <w:t>；</w:t>
      </w:r>
    </w:p>
    <w:p w14:paraId="3ABFC9A6">
      <w:pPr>
        <w:pStyle w:val="11"/>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1.评审依据：磋商小组以竞争性磋商文件和响应文件为评审依据，</w:t>
      </w:r>
      <w:r>
        <w:rPr>
          <w:rFonts w:hint="eastAsia" w:ascii="宋体" w:hAnsi="宋体" w:eastAsia="宋体" w:cs="宋体"/>
          <w:color w:val="auto"/>
          <w:sz w:val="21"/>
          <w:szCs w:val="21"/>
          <w:highlight w:val="none"/>
          <w:lang w:val="en-US" w:eastAsia="zh-CN"/>
        </w:rPr>
        <w:t>对磋商供应商的响应文件按百分制打分</w:t>
      </w:r>
      <w:r>
        <w:rPr>
          <w:rFonts w:hint="eastAsia" w:ascii="宋体" w:hAnsi="宋体" w:eastAsia="宋体" w:cs="宋体"/>
          <w:color w:val="auto"/>
          <w:sz w:val="21"/>
          <w:szCs w:val="21"/>
          <w:highlight w:val="none"/>
        </w:rPr>
        <w:t>。</w:t>
      </w:r>
    </w:p>
    <w:p w14:paraId="0F25DB65">
      <w:pPr>
        <w:pStyle w:val="11"/>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2.评审方式：以封闭方式进行评审。</w:t>
      </w:r>
    </w:p>
    <w:p w14:paraId="25232923">
      <w:pPr>
        <w:pStyle w:val="11"/>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3.根据财库〔2012〕69号文规定，采购人和采购代理机构，磋商小组成员要严格遵守政府采购相关法律制度，依法履行各自职责，公正、客观、审慎地组织和参与评审工作。</w:t>
      </w:r>
    </w:p>
    <w:p w14:paraId="1EFF544D">
      <w:pPr>
        <w:pStyle w:val="11"/>
        <w:keepNext w:val="0"/>
        <w:keepLines w:val="0"/>
        <w:pageBreakBefore w:val="0"/>
        <w:widowControl w:val="0"/>
        <w:kinsoku/>
        <w:wordWrap/>
        <w:overflowPunct/>
        <w:topLinePunct w:val="0"/>
        <w:autoSpaceDE/>
        <w:autoSpaceDN/>
        <w:bidi w:val="0"/>
        <w:adjustRightInd/>
        <w:snapToGrid/>
        <w:spacing w:line="380" w:lineRule="exact"/>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二、评审办法</w:t>
      </w:r>
    </w:p>
    <w:p w14:paraId="5FF73DE3">
      <w:pPr>
        <w:pStyle w:val="11"/>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（一）对进入详评的，采用综合评分法。</w:t>
      </w:r>
    </w:p>
    <w:p w14:paraId="24331EE0">
      <w:pPr>
        <w:pStyle w:val="11"/>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（二）计分办法（按四舍五入取至小数点后二位）。</w:t>
      </w:r>
    </w:p>
    <w:p w14:paraId="4AAF4956">
      <w:pPr>
        <w:pStyle w:val="11"/>
        <w:keepNext w:val="0"/>
        <w:keepLines w:val="0"/>
        <w:pageBreakBefore w:val="0"/>
        <w:widowControl w:val="0"/>
        <w:kinsoku/>
        <w:wordWrap/>
        <w:overflowPunct/>
        <w:topLinePunct w:val="0"/>
        <w:autoSpaceDE/>
        <w:autoSpaceDN/>
        <w:bidi w:val="0"/>
        <w:adjustRightInd/>
        <w:snapToGrid/>
        <w:spacing w:line="380" w:lineRule="exact"/>
        <w:ind w:left="0" w:leftChars="0" w:firstLine="422" w:firstLineChars="200"/>
        <w:textAlignment w:val="auto"/>
        <w:rPr>
          <w:rFonts w:hint="eastAsia" w:ascii="宋体" w:hAnsi="宋体" w:eastAsia="宋体" w:cs="宋体"/>
          <w:b/>
          <w:color w:val="auto"/>
          <w:sz w:val="21"/>
          <w:szCs w:val="21"/>
          <w:highlight w:val="none"/>
        </w:rPr>
      </w:pPr>
      <w:r>
        <w:rPr>
          <w:rFonts w:hint="eastAsia" w:ascii="宋体" w:hAnsi="宋体" w:eastAsia="宋体" w:cs="宋体"/>
          <w:b/>
          <w:bCs w:val="0"/>
          <w:color w:val="auto"/>
          <w:sz w:val="21"/>
          <w:szCs w:val="21"/>
          <w:highlight w:val="none"/>
          <w:lang w:val="en-US" w:eastAsia="zh-CN"/>
        </w:rPr>
        <w:t>1</w:t>
      </w:r>
      <w:r>
        <w:rPr>
          <w:rFonts w:hint="eastAsia" w:hAnsi="宋体" w:cs="宋体"/>
          <w:b/>
          <w:bCs w:val="0"/>
          <w:color w:val="auto"/>
          <w:sz w:val="21"/>
          <w:szCs w:val="21"/>
          <w:highlight w:val="none"/>
          <w:lang w:val="en-US" w:eastAsia="zh-CN"/>
        </w:rPr>
        <w:t>、</w:t>
      </w:r>
      <w:r>
        <w:rPr>
          <w:rFonts w:hint="eastAsia" w:ascii="宋体" w:hAnsi="宋体" w:eastAsia="宋体" w:cs="宋体"/>
          <w:b/>
          <w:color w:val="auto"/>
          <w:sz w:val="21"/>
          <w:szCs w:val="21"/>
          <w:highlight w:val="none"/>
        </w:rPr>
        <w:t>价格分……………………………………………………………………………</w:t>
      </w:r>
      <w:r>
        <w:rPr>
          <w:rFonts w:hint="eastAsia" w:ascii="宋体" w:hAnsi="宋体" w:eastAsia="宋体" w:cs="宋体"/>
          <w:b/>
          <w:bCs w:val="0"/>
          <w:color w:val="auto"/>
          <w:sz w:val="21"/>
          <w:szCs w:val="21"/>
          <w:highlight w:val="none"/>
        </w:rPr>
        <w:t>……</w:t>
      </w:r>
      <w:r>
        <w:rPr>
          <w:rFonts w:hint="eastAsia" w:ascii="宋体" w:hAnsi="宋体" w:eastAsia="宋体" w:cs="宋体"/>
          <w:b/>
          <w:color w:val="auto"/>
          <w:sz w:val="21"/>
          <w:szCs w:val="21"/>
          <w:highlight w:val="none"/>
        </w:rPr>
        <w:t>……</w:t>
      </w:r>
      <w:r>
        <w:rPr>
          <w:rFonts w:hint="eastAsia" w:ascii="宋体" w:hAnsi="宋体" w:eastAsia="宋体" w:cs="宋体"/>
          <w:b/>
          <w:color w:val="auto"/>
          <w:sz w:val="21"/>
          <w:szCs w:val="21"/>
          <w:highlight w:val="none"/>
          <w:lang w:val="en-US" w:eastAsia="zh-CN"/>
        </w:rPr>
        <w:t>满分30</w:t>
      </w:r>
      <w:r>
        <w:rPr>
          <w:rFonts w:hint="eastAsia" w:ascii="宋体" w:hAnsi="宋体" w:eastAsia="宋体" w:cs="宋体"/>
          <w:b/>
          <w:color w:val="auto"/>
          <w:sz w:val="21"/>
          <w:szCs w:val="21"/>
          <w:highlight w:val="none"/>
        </w:rPr>
        <w:t>分</w:t>
      </w:r>
    </w:p>
    <w:p w14:paraId="3BF18370">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（1）</w:t>
      </w:r>
      <w:r>
        <w:rPr>
          <w:rFonts w:hint="eastAsia" w:ascii="宋体" w:hAnsi="宋体" w:eastAsia="宋体" w:cs="宋体"/>
          <w:color w:val="auto"/>
          <w:sz w:val="21"/>
          <w:szCs w:val="21"/>
          <w:highlight w:val="none"/>
        </w:rPr>
        <w:t>专门面向中小企业采购的项目</w:t>
      </w:r>
      <w:r>
        <w:rPr>
          <w:rFonts w:hint="eastAsia" w:ascii="宋体" w:hAnsi="宋体" w:eastAsia="宋体" w:cs="宋体"/>
          <w:b w:val="0"/>
          <w:bCs/>
          <w:color w:val="auto"/>
          <w:sz w:val="21"/>
          <w:szCs w:val="21"/>
          <w:highlight w:val="none"/>
        </w:rPr>
        <w:t>（供应商应为中小微企业、监狱企业、残疾人福利性单位)，不再执行价格评审优惠的扶持政策。即评标价=最终报价。</w:t>
      </w:r>
    </w:p>
    <w:p w14:paraId="4D9E2920">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按照《关于政府采购支持监狱企业发展有关问题的通知》（财库〔2014〕68号）认定为监狱企业的，在政府采购活动中，监狱企业视同小型、微型企业。监狱企业参加政府采购活动时，应当提供由省级以上监狱管理局、戒毒管理局（含新疆生产建设兵团）出具的属于监狱企业的证明文件。</w:t>
      </w:r>
    </w:p>
    <w:p w14:paraId="71D23D5C">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符合《关于促进残疾人就业政府采购政策的通知》(财库〔2017〕141号)规定条件，认定为残疾人福利性单位的，在政府采购活动中，残疾人福利性单位视同小型、微型企业。残疾人福利性单位参加政府采购活动时，应当提供该通知规定的《残疾人福利性单位声明函》，并对声明的真实性负责。</w:t>
      </w:r>
      <w:r>
        <w:rPr>
          <w:rFonts w:hint="eastAsia" w:ascii="宋体" w:hAnsi="宋体" w:eastAsia="宋体" w:cs="宋体"/>
          <w:b w:val="0"/>
          <w:bCs/>
          <w:color w:val="auto"/>
          <w:sz w:val="21"/>
          <w:szCs w:val="21"/>
          <w:highlight w:val="none"/>
          <w:lang w:eastAsia="zh-CN"/>
        </w:rPr>
        <w:t>成交</w:t>
      </w:r>
      <w:r>
        <w:rPr>
          <w:rFonts w:hint="eastAsia" w:ascii="宋体" w:hAnsi="宋体" w:eastAsia="宋体" w:cs="宋体"/>
          <w:b w:val="0"/>
          <w:bCs/>
          <w:color w:val="auto"/>
          <w:sz w:val="21"/>
          <w:szCs w:val="21"/>
          <w:highlight w:val="none"/>
        </w:rPr>
        <w:t>人为残疾人福利性单位的，随</w:t>
      </w:r>
      <w:r>
        <w:rPr>
          <w:rFonts w:hint="eastAsia" w:ascii="宋体" w:hAnsi="宋体" w:eastAsia="宋体" w:cs="宋体"/>
          <w:b w:val="0"/>
          <w:bCs/>
          <w:color w:val="auto"/>
          <w:sz w:val="21"/>
          <w:szCs w:val="21"/>
          <w:highlight w:val="none"/>
          <w:lang w:eastAsia="zh-CN"/>
        </w:rPr>
        <w:t>成交</w:t>
      </w:r>
      <w:r>
        <w:rPr>
          <w:rFonts w:hint="eastAsia" w:ascii="宋体" w:hAnsi="宋体" w:eastAsia="宋体" w:cs="宋体"/>
          <w:b w:val="0"/>
          <w:bCs/>
          <w:color w:val="auto"/>
          <w:sz w:val="21"/>
          <w:szCs w:val="21"/>
          <w:highlight w:val="none"/>
        </w:rPr>
        <w:t>结果公告其《残疾人福利性单位声明函》，接受社会监督。</w:t>
      </w:r>
    </w:p>
    <w:p w14:paraId="68FDE4D9">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（2）以进入评审的最低的评标价为</w:t>
      </w:r>
      <w:r>
        <w:rPr>
          <w:rFonts w:hint="eastAsia" w:ascii="宋体" w:hAnsi="宋体" w:eastAsia="宋体" w:cs="宋体"/>
          <w:b w:val="0"/>
          <w:bCs/>
          <w:color w:val="auto"/>
          <w:sz w:val="21"/>
          <w:szCs w:val="21"/>
          <w:highlight w:val="none"/>
          <w:lang w:val="en-US" w:eastAsia="zh-CN"/>
        </w:rPr>
        <w:t>30</w:t>
      </w:r>
      <w:r>
        <w:rPr>
          <w:rFonts w:hint="eastAsia" w:ascii="宋体" w:hAnsi="宋体" w:eastAsia="宋体" w:cs="宋体"/>
          <w:b w:val="0"/>
          <w:bCs/>
          <w:color w:val="auto"/>
          <w:sz w:val="21"/>
          <w:szCs w:val="21"/>
          <w:highlight w:val="none"/>
        </w:rPr>
        <w:t>分。</w:t>
      </w:r>
    </w:p>
    <w:p w14:paraId="6969A7D7">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（3）某供应商价格分 = 供应商最低评</w:t>
      </w:r>
      <w:r>
        <w:rPr>
          <w:rFonts w:hint="eastAsia" w:ascii="宋体" w:hAnsi="宋体" w:eastAsia="宋体" w:cs="宋体"/>
          <w:b w:val="0"/>
          <w:bCs/>
          <w:color w:val="auto"/>
          <w:sz w:val="21"/>
          <w:szCs w:val="21"/>
          <w:highlight w:val="none"/>
          <w:lang w:eastAsia="zh-CN"/>
        </w:rPr>
        <w:t>审</w:t>
      </w:r>
      <w:r>
        <w:rPr>
          <w:rFonts w:hint="eastAsia" w:ascii="宋体" w:hAnsi="宋体" w:eastAsia="宋体" w:cs="宋体"/>
          <w:b w:val="0"/>
          <w:bCs/>
          <w:color w:val="auto"/>
          <w:sz w:val="21"/>
          <w:szCs w:val="21"/>
          <w:highlight w:val="none"/>
        </w:rPr>
        <w:t>报价（金额）/某供应商评</w:t>
      </w:r>
      <w:r>
        <w:rPr>
          <w:rFonts w:hint="eastAsia" w:ascii="宋体" w:hAnsi="宋体" w:eastAsia="宋体" w:cs="宋体"/>
          <w:b w:val="0"/>
          <w:bCs/>
          <w:color w:val="auto"/>
          <w:sz w:val="21"/>
          <w:szCs w:val="21"/>
          <w:highlight w:val="none"/>
          <w:lang w:eastAsia="zh-CN"/>
        </w:rPr>
        <w:t>审</w:t>
      </w:r>
      <w:r>
        <w:rPr>
          <w:rFonts w:hint="eastAsia" w:ascii="宋体" w:hAnsi="宋体" w:eastAsia="宋体" w:cs="宋体"/>
          <w:b w:val="0"/>
          <w:bCs/>
          <w:color w:val="auto"/>
          <w:sz w:val="21"/>
          <w:szCs w:val="21"/>
          <w:highlight w:val="none"/>
        </w:rPr>
        <w:t>报价（金额）×</w:t>
      </w:r>
      <w:r>
        <w:rPr>
          <w:rFonts w:hint="eastAsia" w:ascii="宋体" w:hAnsi="宋体" w:eastAsia="宋体" w:cs="宋体"/>
          <w:b w:val="0"/>
          <w:bCs/>
          <w:color w:val="auto"/>
          <w:sz w:val="21"/>
          <w:szCs w:val="21"/>
          <w:highlight w:val="none"/>
          <w:lang w:val="en-US" w:eastAsia="zh-CN"/>
        </w:rPr>
        <w:t>30</w:t>
      </w:r>
      <w:r>
        <w:rPr>
          <w:rFonts w:hint="eastAsia" w:ascii="宋体" w:hAnsi="宋体" w:eastAsia="宋体" w:cs="宋体"/>
          <w:b w:val="0"/>
          <w:bCs/>
          <w:color w:val="auto"/>
          <w:sz w:val="21"/>
          <w:szCs w:val="21"/>
          <w:highlight w:val="none"/>
        </w:rPr>
        <w:t>分。</w:t>
      </w:r>
    </w:p>
    <w:p w14:paraId="4D770FF5">
      <w:pPr>
        <w:keepNext w:val="0"/>
        <w:keepLines w:val="0"/>
        <w:pageBreakBefore w:val="0"/>
        <w:widowControl w:val="0"/>
        <w:tabs>
          <w:tab w:val="left" w:pos="4214"/>
        </w:tabs>
        <w:kinsoku/>
        <w:wordWrap/>
        <w:overflowPunct/>
        <w:topLinePunct w:val="0"/>
        <w:autoSpaceDE/>
        <w:autoSpaceDN/>
        <w:bidi w:val="0"/>
        <w:adjustRightInd/>
        <w:snapToGrid/>
        <w:spacing w:line="380" w:lineRule="exact"/>
        <w:ind w:firstLine="422" w:firstLineChars="200"/>
        <w:textAlignment w:val="auto"/>
        <w:rPr>
          <w:rFonts w:hint="eastAsia" w:ascii="宋体" w:hAnsi="宋体"/>
          <w:b/>
          <w:color w:val="auto"/>
          <w:szCs w:val="21"/>
          <w:highlight w:val="none"/>
        </w:rPr>
      </w:pPr>
      <w:r>
        <w:rPr>
          <w:rFonts w:hint="eastAsia" w:ascii="宋体" w:hAnsi="宋体"/>
          <w:b/>
          <w:color w:val="auto"/>
          <w:szCs w:val="21"/>
          <w:highlight w:val="none"/>
        </w:rPr>
        <w:t>2、</w:t>
      </w:r>
      <w:r>
        <w:rPr>
          <w:rFonts w:hint="eastAsia" w:ascii="宋体" w:hAnsi="宋体"/>
          <w:b/>
          <w:bCs/>
          <w:color w:val="auto"/>
          <w:szCs w:val="21"/>
          <w:highlight w:val="none"/>
        </w:rPr>
        <w:t>施工组织设计</w:t>
      </w:r>
      <w:r>
        <w:rPr>
          <w:rFonts w:hint="eastAsia" w:ascii="宋体" w:hAnsi="宋体"/>
          <w:b/>
          <w:color w:val="auto"/>
          <w:szCs w:val="21"/>
          <w:highlight w:val="none"/>
        </w:rPr>
        <w:t>……………………………………………………………………</w:t>
      </w:r>
      <w:r>
        <w:rPr>
          <w:rFonts w:hint="eastAsia" w:ascii="宋体" w:hAnsi="宋体"/>
          <w:b/>
          <w:bCs/>
          <w:color w:val="auto"/>
          <w:szCs w:val="21"/>
          <w:highlight w:val="none"/>
        </w:rPr>
        <w:t>……</w:t>
      </w:r>
      <w:r>
        <w:rPr>
          <w:rFonts w:hint="eastAsia" w:ascii="宋体" w:hAnsi="宋体"/>
          <w:b/>
          <w:color w:val="auto"/>
          <w:szCs w:val="21"/>
          <w:highlight w:val="none"/>
        </w:rPr>
        <w:t>……满分</w:t>
      </w:r>
      <w:r>
        <w:rPr>
          <w:rFonts w:hint="eastAsia" w:ascii="宋体" w:hAnsi="宋体"/>
          <w:b/>
          <w:color w:val="auto"/>
          <w:szCs w:val="21"/>
          <w:highlight w:val="none"/>
          <w:lang w:val="en-US" w:eastAsia="zh-CN"/>
        </w:rPr>
        <w:t>6</w:t>
      </w:r>
      <w:r>
        <w:rPr>
          <w:rFonts w:hint="eastAsia" w:ascii="宋体" w:hAnsi="宋体"/>
          <w:b/>
          <w:color w:val="auto"/>
          <w:szCs w:val="21"/>
          <w:highlight w:val="none"/>
        </w:rPr>
        <w:t>0分</w:t>
      </w:r>
    </w:p>
    <w:p w14:paraId="162535E2">
      <w:pPr>
        <w:keepNext w:val="0"/>
        <w:keepLines w:val="0"/>
        <w:pageBreakBefore w:val="0"/>
        <w:widowControl w:val="0"/>
        <w:kinsoku/>
        <w:wordWrap/>
        <w:overflowPunct/>
        <w:topLinePunct w:val="0"/>
        <w:autoSpaceDE/>
        <w:autoSpaceDN/>
        <w:bidi w:val="0"/>
        <w:adjustRightInd/>
        <w:snapToGrid/>
        <w:spacing w:line="380" w:lineRule="exact"/>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（1）总体概述（满分</w:t>
      </w:r>
      <w:r>
        <w:rPr>
          <w:rFonts w:hint="eastAsia" w:ascii="宋体" w:hAnsi="宋体"/>
          <w:b/>
          <w:bCs/>
          <w:color w:val="auto"/>
          <w:szCs w:val="21"/>
          <w:highlight w:val="none"/>
          <w:lang w:val="en-US" w:eastAsia="zh-CN"/>
        </w:rPr>
        <w:t>3</w:t>
      </w:r>
      <w:r>
        <w:rPr>
          <w:rFonts w:hint="eastAsia" w:ascii="宋体" w:hAnsi="宋体"/>
          <w:b/>
          <w:bCs/>
          <w:color w:val="auto"/>
          <w:szCs w:val="21"/>
          <w:highlight w:val="none"/>
        </w:rPr>
        <w:t>分）</w:t>
      </w:r>
    </w:p>
    <w:p w14:paraId="4A368CBE">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一档（0分）：对项目认识不足，表达不清晰，措施不具体；施工段划分不合理。</w:t>
      </w:r>
    </w:p>
    <w:p w14:paraId="11D2BB3A">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 xml:space="preserve">二档（1分）：对项目总体有认识，有一定的措施但部分不具体；施工段划分较合理，符合规范要求。 </w:t>
      </w:r>
    </w:p>
    <w:p w14:paraId="25E7139D">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 xml:space="preserve">三档（2分）：对项目总体有一定认识，表达清晰、完整，措施具体有效；施工段划分清晰，符合规范要求。 </w:t>
      </w:r>
    </w:p>
    <w:p w14:paraId="541C9E82">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四档（3分）：对项目总体有深刻认识，表达清晰、完整、严谨、合理，措施先进、具体、有效、成熟；施工段划分清晰、合理，符合规范要求。</w:t>
      </w:r>
    </w:p>
    <w:p w14:paraId="44F2159A">
      <w:pPr>
        <w:keepNext w:val="0"/>
        <w:keepLines w:val="0"/>
        <w:pageBreakBefore w:val="0"/>
        <w:widowControl w:val="0"/>
        <w:kinsoku/>
        <w:wordWrap/>
        <w:overflowPunct/>
        <w:topLinePunct w:val="0"/>
        <w:autoSpaceDE/>
        <w:autoSpaceDN/>
        <w:bidi w:val="0"/>
        <w:adjustRightInd/>
        <w:snapToGrid/>
        <w:spacing w:line="380" w:lineRule="exact"/>
        <w:ind w:firstLine="422" w:firstLineChars="200"/>
        <w:textAlignment w:val="auto"/>
        <w:rPr>
          <w:rFonts w:hint="eastAsia" w:ascii="宋体" w:hAnsi="宋体"/>
          <w:color w:val="auto"/>
          <w:szCs w:val="21"/>
          <w:highlight w:val="none"/>
        </w:rPr>
      </w:pPr>
      <w:r>
        <w:rPr>
          <w:rFonts w:hint="eastAsia" w:ascii="宋体" w:hAnsi="宋体"/>
          <w:b/>
          <w:bCs/>
          <w:color w:val="auto"/>
          <w:szCs w:val="21"/>
          <w:highlight w:val="none"/>
        </w:rPr>
        <w:t>（2）主要施工方法（满分</w:t>
      </w:r>
      <w:r>
        <w:rPr>
          <w:rFonts w:hint="eastAsia" w:ascii="宋体" w:hAnsi="宋体"/>
          <w:b/>
          <w:bCs/>
          <w:color w:val="auto"/>
          <w:szCs w:val="21"/>
          <w:highlight w:val="none"/>
          <w:lang w:val="en-US" w:eastAsia="zh-CN"/>
        </w:rPr>
        <w:t>10</w:t>
      </w:r>
      <w:r>
        <w:rPr>
          <w:rFonts w:hint="eastAsia" w:ascii="宋体" w:hAnsi="宋体"/>
          <w:b/>
          <w:bCs/>
          <w:color w:val="auto"/>
          <w:szCs w:val="21"/>
          <w:highlight w:val="none"/>
        </w:rPr>
        <w:t>分）</w:t>
      </w:r>
    </w:p>
    <w:p w14:paraId="1E0837D9">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一档（0分）：各主要分部施工方法不能满足项目需求，没有施工技术方案，不能指导具体施工并确保安全；</w:t>
      </w:r>
    </w:p>
    <w:p w14:paraId="681B9C04">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二档（3分）：各主要分部施工方法能满足项目需求，有施工技术方案，能指导具体施工并确保安全；</w:t>
      </w:r>
    </w:p>
    <w:p w14:paraId="67A25E24">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 xml:space="preserve">三档（6分）：各主要分部施工方法符合项目实际，有较详尽的施工技术方案，工艺较好、方法科学合理、可行，能指导具体施工并确保安全； </w:t>
      </w:r>
    </w:p>
    <w:p w14:paraId="0FC1E057">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四档（10分）：各主要分部施工方法符合项目实际，有详尽的施工技术方案，工艺先进、方法科学合理、可行，能指导具体施工并确保安全。</w:t>
      </w:r>
    </w:p>
    <w:p w14:paraId="35061E0A">
      <w:pPr>
        <w:keepNext w:val="0"/>
        <w:keepLines w:val="0"/>
        <w:pageBreakBefore w:val="0"/>
        <w:widowControl w:val="0"/>
        <w:kinsoku/>
        <w:wordWrap/>
        <w:overflowPunct/>
        <w:topLinePunct w:val="0"/>
        <w:autoSpaceDE/>
        <w:autoSpaceDN/>
        <w:bidi w:val="0"/>
        <w:adjustRightInd/>
        <w:snapToGrid/>
        <w:spacing w:line="380" w:lineRule="exact"/>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（3）施工进度、施工进度计划和各阶段进度的保证措施（满分</w:t>
      </w:r>
      <w:r>
        <w:rPr>
          <w:rFonts w:hint="eastAsia" w:ascii="宋体" w:hAnsi="宋体"/>
          <w:b/>
          <w:bCs/>
          <w:color w:val="auto"/>
          <w:szCs w:val="21"/>
          <w:highlight w:val="none"/>
          <w:lang w:val="en-US" w:eastAsia="zh-CN"/>
        </w:rPr>
        <w:t>10</w:t>
      </w:r>
      <w:r>
        <w:rPr>
          <w:rFonts w:hint="eastAsia" w:ascii="宋体" w:hAnsi="宋体"/>
          <w:b/>
          <w:bCs/>
          <w:color w:val="auto"/>
          <w:szCs w:val="21"/>
          <w:highlight w:val="none"/>
        </w:rPr>
        <w:t>分）</w:t>
      </w:r>
    </w:p>
    <w:p w14:paraId="1308C344">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一档（0分）：关键线路不准确，计划编制不合理，关键节点的控制不可行；</w:t>
      </w:r>
    </w:p>
    <w:p w14:paraId="7614885A">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二档（3分）：关键线路基本准确，计划编制合理，关键节点的控制措施基本可行；</w:t>
      </w:r>
    </w:p>
    <w:p w14:paraId="784671AA">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三档（6分）：关键线路清晰、准确、完整，计划编制可行，关键节点的控制措施合理、可行；</w:t>
      </w:r>
    </w:p>
    <w:p w14:paraId="693E7334">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四档（10分）：关键线路清晰、准确、完整，计划编制合理、可行，关键节点的控制措施有力、合理、可行。</w:t>
      </w:r>
    </w:p>
    <w:p w14:paraId="033B9428">
      <w:pPr>
        <w:keepNext w:val="0"/>
        <w:keepLines w:val="0"/>
        <w:pageBreakBefore w:val="0"/>
        <w:widowControl w:val="0"/>
        <w:kinsoku/>
        <w:wordWrap/>
        <w:overflowPunct/>
        <w:topLinePunct w:val="0"/>
        <w:autoSpaceDE/>
        <w:autoSpaceDN/>
        <w:bidi w:val="0"/>
        <w:adjustRightInd/>
        <w:snapToGrid/>
        <w:spacing w:line="380" w:lineRule="exact"/>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（4）劳动力、材料和机械、检测设备投入计划及其保证措施（满分</w:t>
      </w:r>
      <w:r>
        <w:rPr>
          <w:rFonts w:hint="eastAsia" w:ascii="宋体" w:hAnsi="宋体"/>
          <w:b/>
          <w:bCs/>
          <w:color w:val="auto"/>
          <w:szCs w:val="21"/>
          <w:highlight w:val="none"/>
          <w:lang w:val="en-US" w:eastAsia="zh-CN"/>
        </w:rPr>
        <w:t>5</w:t>
      </w:r>
      <w:r>
        <w:rPr>
          <w:rFonts w:hint="eastAsia" w:ascii="宋体" w:hAnsi="宋体"/>
          <w:b/>
          <w:bCs/>
          <w:color w:val="auto"/>
          <w:szCs w:val="21"/>
          <w:highlight w:val="none"/>
        </w:rPr>
        <w:t>分）</w:t>
      </w:r>
    </w:p>
    <w:p w14:paraId="338C652D">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一档（0分）：投入计划与进度计划不呼应，不能满足施工需要；</w:t>
      </w:r>
    </w:p>
    <w:p w14:paraId="51B1CDFF">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 xml:space="preserve">二档（1分）：投入计划与进度计划呼应，基本满足施工需要，调配投入计划基本合理； </w:t>
      </w:r>
    </w:p>
    <w:p w14:paraId="5D4BC733">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三档（3分）：投入计划与进度计划呼应，基本满足施工需要，调配投入计划基本合理、准确；</w:t>
      </w:r>
    </w:p>
    <w:p w14:paraId="08F82703">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 xml:space="preserve">四档（5分）：投入计划与进度计划呼应，较好满足施工需要，调配投入计划合理、准确。 </w:t>
      </w:r>
    </w:p>
    <w:p w14:paraId="3ADF3BC6">
      <w:pPr>
        <w:keepNext w:val="0"/>
        <w:keepLines w:val="0"/>
        <w:pageBreakBefore w:val="0"/>
        <w:widowControl w:val="0"/>
        <w:kinsoku/>
        <w:wordWrap/>
        <w:overflowPunct/>
        <w:topLinePunct w:val="0"/>
        <w:autoSpaceDE/>
        <w:autoSpaceDN/>
        <w:bidi w:val="0"/>
        <w:adjustRightInd/>
        <w:snapToGrid/>
        <w:spacing w:line="380" w:lineRule="exact"/>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（5）关键施工技术、工艺及工程实施的重点、难点和解决方案（满分</w:t>
      </w:r>
      <w:r>
        <w:rPr>
          <w:rFonts w:hint="eastAsia" w:ascii="宋体" w:hAnsi="宋体"/>
          <w:b/>
          <w:bCs/>
          <w:color w:val="auto"/>
          <w:szCs w:val="21"/>
          <w:highlight w:val="none"/>
          <w:lang w:val="en-US" w:eastAsia="zh-CN"/>
        </w:rPr>
        <w:t>10</w:t>
      </w:r>
      <w:r>
        <w:rPr>
          <w:rFonts w:hint="eastAsia" w:ascii="宋体" w:hAnsi="宋体"/>
          <w:b/>
          <w:bCs/>
          <w:color w:val="auto"/>
          <w:szCs w:val="21"/>
          <w:highlight w:val="none"/>
        </w:rPr>
        <w:t>分）</w:t>
      </w:r>
    </w:p>
    <w:p w14:paraId="7A930558">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lang w:eastAsia="zh-CN"/>
        </w:rPr>
      </w:pPr>
      <w:r>
        <w:rPr>
          <w:rFonts w:hint="eastAsia" w:ascii="宋体" w:hAnsi="宋体" w:eastAsia="宋体" w:cs="宋体"/>
          <w:b w:val="0"/>
          <w:bCs/>
          <w:color w:val="auto"/>
          <w:sz w:val="21"/>
          <w:szCs w:val="21"/>
          <w:highlight w:val="none"/>
          <w:lang w:eastAsia="zh-CN"/>
        </w:rPr>
        <w:t>一档（0分）：对项目关键技术有表述，对重点、难点有建议，解决方案不可行。</w:t>
      </w:r>
    </w:p>
    <w:p w14:paraId="57A431D5">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lang w:eastAsia="zh-CN"/>
        </w:rPr>
      </w:pPr>
      <w:r>
        <w:rPr>
          <w:rFonts w:hint="eastAsia" w:ascii="宋体" w:hAnsi="宋体" w:eastAsia="宋体" w:cs="宋体"/>
          <w:b w:val="0"/>
          <w:bCs/>
          <w:color w:val="auto"/>
          <w:sz w:val="21"/>
          <w:szCs w:val="21"/>
          <w:highlight w:val="none"/>
          <w:lang w:eastAsia="zh-CN"/>
        </w:rPr>
        <w:t xml:space="preserve">二档（3分）：对项目关键技术有一定了解，对重点、难点有建议，解决方案基本可行。 </w:t>
      </w:r>
    </w:p>
    <w:p w14:paraId="40C8E5B5">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lang w:eastAsia="zh-CN"/>
        </w:rPr>
      </w:pPr>
      <w:r>
        <w:rPr>
          <w:rFonts w:hint="eastAsia" w:ascii="宋体" w:hAnsi="宋体" w:eastAsia="宋体" w:cs="宋体"/>
          <w:b w:val="0"/>
          <w:bCs/>
          <w:color w:val="auto"/>
          <w:sz w:val="21"/>
          <w:szCs w:val="21"/>
          <w:highlight w:val="none"/>
          <w:lang w:eastAsia="zh-CN"/>
        </w:rPr>
        <w:t xml:space="preserve">三档（6分）：对项目关键技术、工艺有深入的表达，对重点、难点有合理的建议，解决方案经济、安全、基本可行。 </w:t>
      </w:r>
    </w:p>
    <w:p w14:paraId="36E68162">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lang w:eastAsia="zh-CN"/>
        </w:rPr>
      </w:pPr>
      <w:r>
        <w:rPr>
          <w:rFonts w:hint="eastAsia" w:ascii="宋体" w:hAnsi="宋体" w:eastAsia="宋体" w:cs="宋体"/>
          <w:b w:val="0"/>
          <w:bCs/>
          <w:color w:val="auto"/>
          <w:sz w:val="21"/>
          <w:szCs w:val="21"/>
          <w:highlight w:val="none"/>
          <w:lang w:eastAsia="zh-CN"/>
        </w:rPr>
        <w:t xml:space="preserve">四档（10分）：对项目关键技术、工艺有深入的表达，对重点、难点有先进合理的施工措施并有可行的安全措施，解决方案完整、经济、安全、切实可行，措施得力。 </w:t>
      </w:r>
    </w:p>
    <w:p w14:paraId="2B297903">
      <w:pPr>
        <w:keepNext w:val="0"/>
        <w:keepLines w:val="0"/>
        <w:pageBreakBefore w:val="0"/>
        <w:widowControl w:val="0"/>
        <w:kinsoku/>
        <w:wordWrap/>
        <w:overflowPunct/>
        <w:topLinePunct w:val="0"/>
        <w:autoSpaceDE/>
        <w:autoSpaceDN/>
        <w:bidi w:val="0"/>
        <w:adjustRightInd/>
        <w:snapToGrid/>
        <w:spacing w:line="380" w:lineRule="exact"/>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（6）安全文明施工措施（满分</w:t>
      </w:r>
      <w:r>
        <w:rPr>
          <w:rFonts w:hint="eastAsia" w:ascii="宋体" w:hAnsi="宋体"/>
          <w:b/>
          <w:bCs/>
          <w:color w:val="auto"/>
          <w:szCs w:val="21"/>
          <w:highlight w:val="none"/>
          <w:lang w:val="en-US" w:eastAsia="zh-CN"/>
        </w:rPr>
        <w:t>10</w:t>
      </w:r>
      <w:r>
        <w:rPr>
          <w:rFonts w:hint="eastAsia" w:ascii="宋体" w:hAnsi="宋体"/>
          <w:b/>
          <w:bCs/>
          <w:color w:val="auto"/>
          <w:szCs w:val="21"/>
          <w:highlight w:val="none"/>
        </w:rPr>
        <w:t>分）</w:t>
      </w:r>
    </w:p>
    <w:p w14:paraId="29BC3A40">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一档（0分）：安全文明措施不得力，采用规范不正确。</w:t>
      </w:r>
    </w:p>
    <w:p w14:paraId="13A7956F">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 xml:space="preserve">二档（3分）：有基本合理的措施，采用规范正确。 </w:t>
      </w:r>
    </w:p>
    <w:p w14:paraId="094358AA">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 xml:space="preserve">三档（6分）：针对项目实际情况，有合理的措施且具体、完整，采用规范正确。 </w:t>
      </w:r>
    </w:p>
    <w:p w14:paraId="016E8ACD">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 xml:space="preserve">四档（10分）：针对项目实际情况，有先进、具体、完整、可行的实施措施，采用规范正确、清晰。 </w:t>
      </w:r>
    </w:p>
    <w:p w14:paraId="11A4F723">
      <w:pPr>
        <w:keepNext w:val="0"/>
        <w:keepLines w:val="0"/>
        <w:pageBreakBefore w:val="0"/>
        <w:widowControl w:val="0"/>
        <w:kinsoku/>
        <w:wordWrap/>
        <w:overflowPunct/>
        <w:topLinePunct w:val="0"/>
        <w:autoSpaceDE/>
        <w:autoSpaceDN/>
        <w:bidi w:val="0"/>
        <w:adjustRightInd/>
        <w:snapToGrid/>
        <w:spacing w:line="380" w:lineRule="exact"/>
        <w:ind w:firstLine="422" w:firstLineChars="200"/>
        <w:textAlignment w:val="auto"/>
        <w:rPr>
          <w:rFonts w:hint="eastAsia" w:ascii="宋体" w:hAnsi="宋体"/>
          <w:color w:val="auto"/>
          <w:szCs w:val="21"/>
          <w:highlight w:val="none"/>
        </w:rPr>
      </w:pPr>
      <w:r>
        <w:rPr>
          <w:rFonts w:hint="eastAsia" w:ascii="宋体" w:hAnsi="宋体"/>
          <w:b/>
          <w:bCs/>
          <w:color w:val="auto"/>
          <w:szCs w:val="21"/>
          <w:highlight w:val="none"/>
        </w:rPr>
        <w:t>（7）质量保证与承诺（满分</w:t>
      </w:r>
      <w:r>
        <w:rPr>
          <w:rFonts w:hint="eastAsia" w:ascii="宋体" w:hAnsi="宋体"/>
          <w:b/>
          <w:bCs/>
          <w:color w:val="auto"/>
          <w:szCs w:val="21"/>
          <w:highlight w:val="none"/>
          <w:lang w:val="en-US" w:eastAsia="zh-CN"/>
        </w:rPr>
        <w:t>9</w:t>
      </w:r>
      <w:r>
        <w:rPr>
          <w:rFonts w:hint="eastAsia" w:ascii="宋体" w:hAnsi="宋体"/>
          <w:b/>
          <w:bCs/>
          <w:color w:val="auto"/>
          <w:szCs w:val="21"/>
          <w:highlight w:val="none"/>
        </w:rPr>
        <w:t>分）</w:t>
      </w:r>
    </w:p>
    <w:p w14:paraId="1DECFF41">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一档（0分）：措施不可行。</w:t>
      </w:r>
    </w:p>
    <w:p w14:paraId="30432CB5">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 xml:space="preserve">二档（3分）：针对项目实际提出先进、可行、具体的保证措施，满足采购文件的质量要求。 </w:t>
      </w:r>
    </w:p>
    <w:p w14:paraId="653E3836">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 xml:space="preserve">三档（6分）：具体措施可行，满足采购文件的质量要求。 </w:t>
      </w:r>
    </w:p>
    <w:p w14:paraId="2DECF0A1">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color w:val="auto"/>
          <w:szCs w:val="21"/>
          <w:highlight w:val="none"/>
        </w:rPr>
      </w:pPr>
      <w:r>
        <w:rPr>
          <w:rFonts w:hint="eastAsia" w:ascii="宋体" w:hAnsi="宋体" w:eastAsia="宋体" w:cs="宋体"/>
          <w:b w:val="0"/>
          <w:bCs/>
          <w:color w:val="auto"/>
          <w:sz w:val="21"/>
          <w:szCs w:val="21"/>
          <w:highlight w:val="none"/>
        </w:rPr>
        <w:t>四档（</w:t>
      </w:r>
      <w:r>
        <w:rPr>
          <w:rFonts w:hint="eastAsia" w:ascii="宋体" w:hAnsi="宋体" w:cs="宋体"/>
          <w:b w:val="0"/>
          <w:bCs/>
          <w:color w:val="auto"/>
          <w:sz w:val="21"/>
          <w:szCs w:val="21"/>
          <w:highlight w:val="none"/>
          <w:lang w:val="en-US" w:eastAsia="zh-CN"/>
        </w:rPr>
        <w:t>9</w:t>
      </w:r>
      <w:r>
        <w:rPr>
          <w:rFonts w:hint="eastAsia" w:ascii="宋体" w:hAnsi="宋体" w:eastAsia="宋体" w:cs="宋体"/>
          <w:b w:val="0"/>
          <w:bCs/>
          <w:color w:val="auto"/>
          <w:sz w:val="21"/>
          <w:szCs w:val="21"/>
          <w:highlight w:val="none"/>
        </w:rPr>
        <w:t xml:space="preserve">分）：针对项目实际提出先进、可行、具体的保证措施，超过采购文件的质量要求及施工验收规范要求。 </w:t>
      </w:r>
    </w:p>
    <w:p w14:paraId="5A9DA725">
      <w:pPr>
        <w:keepNext w:val="0"/>
        <w:keepLines w:val="0"/>
        <w:pageBreakBefore w:val="0"/>
        <w:widowControl w:val="0"/>
        <w:kinsoku/>
        <w:wordWrap/>
        <w:overflowPunct/>
        <w:topLinePunct w:val="0"/>
        <w:autoSpaceDE/>
        <w:autoSpaceDN/>
        <w:bidi w:val="0"/>
        <w:adjustRightInd/>
        <w:snapToGrid/>
        <w:spacing w:line="380" w:lineRule="exact"/>
        <w:ind w:firstLine="422" w:firstLineChars="200"/>
        <w:textAlignment w:val="auto"/>
        <w:rPr>
          <w:rFonts w:hint="eastAsia" w:ascii="宋体" w:hAnsi="宋体"/>
          <w:color w:val="auto"/>
          <w:szCs w:val="21"/>
          <w:highlight w:val="none"/>
        </w:rPr>
      </w:pPr>
      <w:r>
        <w:rPr>
          <w:rFonts w:hint="eastAsia" w:ascii="宋体" w:hAnsi="宋体"/>
          <w:b/>
          <w:bCs/>
          <w:color w:val="auto"/>
          <w:szCs w:val="21"/>
          <w:highlight w:val="none"/>
        </w:rPr>
        <w:t>（8）新技术应用与承诺（满分</w:t>
      </w:r>
      <w:r>
        <w:rPr>
          <w:rFonts w:hint="eastAsia" w:ascii="宋体" w:hAnsi="宋体"/>
          <w:b/>
          <w:bCs/>
          <w:color w:val="auto"/>
          <w:szCs w:val="21"/>
          <w:highlight w:val="none"/>
          <w:lang w:val="en-US" w:eastAsia="zh-CN"/>
        </w:rPr>
        <w:t>3</w:t>
      </w:r>
      <w:r>
        <w:rPr>
          <w:rFonts w:hint="eastAsia" w:ascii="宋体" w:hAnsi="宋体"/>
          <w:b/>
          <w:bCs/>
          <w:color w:val="auto"/>
          <w:szCs w:val="21"/>
          <w:highlight w:val="none"/>
        </w:rPr>
        <w:t>分）</w:t>
      </w:r>
    </w:p>
    <w:p w14:paraId="314C8951">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一档（0分）：采用的新技术针对性不强或验证材料不可靠，对节约投资和工期没有具体收益。</w:t>
      </w:r>
    </w:p>
    <w:p w14:paraId="0F37C179">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二档（</w:t>
      </w:r>
      <w:r>
        <w:rPr>
          <w:rFonts w:hint="eastAsia" w:ascii="宋体" w:hAnsi="宋体" w:cs="宋体"/>
          <w:b w:val="0"/>
          <w:bCs/>
          <w:color w:val="auto"/>
          <w:sz w:val="21"/>
          <w:szCs w:val="21"/>
          <w:highlight w:val="none"/>
          <w:lang w:val="en-US" w:eastAsia="zh-CN"/>
        </w:rPr>
        <w:t>1</w:t>
      </w:r>
      <w:r>
        <w:rPr>
          <w:rFonts w:hint="eastAsia" w:ascii="宋体" w:hAnsi="宋体" w:eastAsia="宋体" w:cs="宋体"/>
          <w:b w:val="0"/>
          <w:bCs/>
          <w:color w:val="auto"/>
          <w:sz w:val="21"/>
          <w:szCs w:val="21"/>
          <w:highlight w:val="none"/>
        </w:rPr>
        <w:t xml:space="preserve">分）：有新技术措施，但验证材料不充分，对节约投资和工期可能有一定收益，对采用新技术可能产生的风险预见不足。 </w:t>
      </w:r>
    </w:p>
    <w:p w14:paraId="60EDA8B6">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三档（</w:t>
      </w:r>
      <w:r>
        <w:rPr>
          <w:rFonts w:hint="eastAsia" w:ascii="宋体" w:hAnsi="宋体" w:cs="宋体"/>
          <w:b w:val="0"/>
          <w:bCs/>
          <w:color w:val="auto"/>
          <w:sz w:val="21"/>
          <w:szCs w:val="21"/>
          <w:highlight w:val="none"/>
          <w:lang w:val="en-US" w:eastAsia="zh-CN"/>
        </w:rPr>
        <w:t>2</w:t>
      </w:r>
      <w:r>
        <w:rPr>
          <w:rFonts w:hint="eastAsia" w:ascii="宋体" w:hAnsi="宋体" w:eastAsia="宋体" w:cs="宋体"/>
          <w:b w:val="0"/>
          <w:bCs/>
          <w:color w:val="auto"/>
          <w:sz w:val="21"/>
          <w:szCs w:val="21"/>
          <w:highlight w:val="none"/>
        </w:rPr>
        <w:t>分）：针对项目实际，提出采用新技术的具体措施。新技术的验证材料可靠，对节约投资和工期有保证措施。对采用新技术可能产生的风险有一定的预见。</w:t>
      </w:r>
    </w:p>
    <w:p w14:paraId="38F1BF75">
      <w:pPr>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四档（</w:t>
      </w:r>
      <w:r>
        <w:rPr>
          <w:rFonts w:hint="eastAsia" w:ascii="宋体" w:hAnsi="宋体" w:cs="宋体"/>
          <w:b w:val="0"/>
          <w:bCs/>
          <w:color w:val="auto"/>
          <w:sz w:val="21"/>
          <w:szCs w:val="21"/>
          <w:highlight w:val="none"/>
          <w:lang w:val="en-US" w:eastAsia="zh-CN"/>
        </w:rPr>
        <w:t>3</w:t>
      </w:r>
      <w:r>
        <w:rPr>
          <w:rFonts w:hint="eastAsia" w:ascii="宋体" w:hAnsi="宋体" w:eastAsia="宋体" w:cs="宋体"/>
          <w:b w:val="0"/>
          <w:bCs/>
          <w:color w:val="auto"/>
          <w:sz w:val="21"/>
          <w:szCs w:val="21"/>
          <w:highlight w:val="none"/>
        </w:rPr>
        <w:t>分）：针对项目实际，提出采用新技术的具体措施。新技术的验证材料可靠，对节约投资和工期的保证措施得力、具体、严谨。对采用新技术可能产生的风险预见充分，对新技术的实施有安全生产的可靠方案。</w:t>
      </w:r>
    </w:p>
    <w:p w14:paraId="1D58508E">
      <w:pPr>
        <w:keepNext w:val="0"/>
        <w:keepLines w:val="0"/>
        <w:pageBreakBefore w:val="0"/>
        <w:widowControl w:val="0"/>
        <w:numPr>
          <w:ilvl w:val="0"/>
          <w:numId w:val="0"/>
        </w:numPr>
        <w:tabs>
          <w:tab w:val="left" w:pos="1305"/>
        </w:tabs>
        <w:kinsoku/>
        <w:wordWrap/>
        <w:overflowPunct/>
        <w:topLinePunct w:val="0"/>
        <w:autoSpaceDE/>
        <w:autoSpaceDN/>
        <w:bidi w:val="0"/>
        <w:adjustRightInd/>
        <w:snapToGrid/>
        <w:spacing w:line="380" w:lineRule="exact"/>
        <w:ind w:left="0" w:leftChars="0" w:firstLine="422" w:firstLineChars="200"/>
        <w:textAlignment w:val="auto"/>
        <w:rPr>
          <w:rFonts w:hint="eastAsia" w:ascii="宋体" w:hAnsi="宋体" w:eastAsia="宋体" w:cs="宋体"/>
          <w:b/>
          <w:bCs/>
          <w:color w:val="auto"/>
          <w:sz w:val="21"/>
          <w:szCs w:val="21"/>
          <w:highlight w:val="none"/>
        </w:rPr>
      </w:pPr>
      <w:r>
        <w:rPr>
          <w:rFonts w:hint="eastAsia" w:ascii="宋体" w:hAnsi="宋体" w:cs="宋体"/>
          <w:b/>
          <w:bCs/>
          <w:color w:val="auto"/>
          <w:kern w:val="2"/>
          <w:sz w:val="21"/>
          <w:szCs w:val="21"/>
          <w:highlight w:val="none"/>
          <w:lang w:val="en-US" w:eastAsia="zh-CN" w:bidi="ar-SA"/>
        </w:rPr>
        <w:t>3、</w:t>
      </w:r>
      <w:r>
        <w:rPr>
          <w:rFonts w:hint="eastAsia" w:ascii="宋体" w:hAnsi="宋体" w:eastAsia="宋体" w:cs="宋体"/>
          <w:b/>
          <w:bCs/>
          <w:color w:val="auto"/>
          <w:sz w:val="21"/>
          <w:szCs w:val="21"/>
          <w:highlight w:val="none"/>
          <w:lang w:val="en-US" w:eastAsia="zh-CN"/>
        </w:rPr>
        <w:t>业绩分</w:t>
      </w:r>
      <w:r>
        <w:rPr>
          <w:rFonts w:hint="eastAsia" w:ascii="宋体" w:hAnsi="宋体" w:eastAsia="宋体" w:cs="宋体"/>
          <w:b/>
          <w:bCs/>
          <w:color w:val="auto"/>
          <w:sz w:val="21"/>
          <w:szCs w:val="21"/>
          <w:highlight w:val="none"/>
        </w:rPr>
        <w:t>…………………………………</w:t>
      </w:r>
      <w:r>
        <w:rPr>
          <w:rFonts w:hint="eastAsia" w:ascii="宋体" w:hAnsi="宋体" w:eastAsia="宋体" w:cs="宋体"/>
          <w:b/>
          <w:bCs w:val="0"/>
          <w:color w:val="auto"/>
          <w:kern w:val="2"/>
          <w:sz w:val="21"/>
          <w:szCs w:val="21"/>
          <w:highlight w:val="none"/>
          <w:lang w:val="en-US" w:eastAsia="zh-CN" w:bidi="ar-SA"/>
        </w:rPr>
        <w:t>……………………</w:t>
      </w:r>
      <w:r>
        <w:rPr>
          <w:rFonts w:hint="eastAsia" w:ascii="宋体" w:hAnsi="宋体" w:eastAsia="宋体" w:cs="宋体"/>
          <w:b/>
          <w:bCs/>
          <w:color w:val="auto"/>
          <w:sz w:val="21"/>
          <w:szCs w:val="21"/>
          <w:highlight w:val="none"/>
        </w:rPr>
        <w:t>……………………</w:t>
      </w:r>
      <w:r>
        <w:rPr>
          <w:rFonts w:hint="eastAsia" w:ascii="宋体" w:hAnsi="宋体" w:eastAsia="宋体" w:cs="宋体"/>
          <w:b/>
          <w:bCs w:val="0"/>
          <w:color w:val="auto"/>
          <w:kern w:val="2"/>
          <w:sz w:val="21"/>
          <w:szCs w:val="21"/>
          <w:highlight w:val="none"/>
          <w:lang w:val="en-US" w:eastAsia="zh-CN" w:bidi="ar-SA"/>
        </w:rPr>
        <w:t>…………</w:t>
      </w:r>
      <w:r>
        <w:rPr>
          <w:rFonts w:hint="eastAsia" w:ascii="宋体" w:hAnsi="宋体" w:eastAsia="宋体" w:cs="宋体"/>
          <w:b/>
          <w:bCs/>
          <w:color w:val="auto"/>
          <w:sz w:val="21"/>
          <w:szCs w:val="21"/>
          <w:highlight w:val="none"/>
          <w:lang w:eastAsia="zh-CN"/>
        </w:rPr>
        <w:t>满分</w:t>
      </w:r>
      <w:r>
        <w:rPr>
          <w:rFonts w:hint="eastAsia" w:ascii="宋体" w:hAnsi="宋体" w:eastAsia="宋体" w:cs="宋体"/>
          <w:b/>
          <w:bCs/>
          <w:color w:val="auto"/>
          <w:sz w:val="21"/>
          <w:szCs w:val="21"/>
          <w:highlight w:val="none"/>
          <w:lang w:val="en-US" w:eastAsia="zh-CN"/>
        </w:rPr>
        <w:t>1</w:t>
      </w:r>
      <w:r>
        <w:rPr>
          <w:rFonts w:hint="eastAsia" w:ascii="宋体" w:hAnsi="宋体" w:cs="宋体"/>
          <w:b/>
          <w:bCs/>
          <w:color w:val="auto"/>
          <w:sz w:val="21"/>
          <w:szCs w:val="21"/>
          <w:highlight w:val="none"/>
          <w:lang w:val="en-US" w:eastAsia="zh-CN"/>
        </w:rPr>
        <w:t>0</w:t>
      </w:r>
      <w:r>
        <w:rPr>
          <w:rFonts w:hint="eastAsia" w:ascii="宋体" w:hAnsi="宋体" w:eastAsia="宋体" w:cs="宋体"/>
          <w:b/>
          <w:bCs/>
          <w:color w:val="auto"/>
          <w:sz w:val="21"/>
          <w:szCs w:val="21"/>
          <w:highlight w:val="none"/>
        </w:rPr>
        <w:t>分</w:t>
      </w:r>
    </w:p>
    <w:p w14:paraId="139AFC2A">
      <w:pPr>
        <w:pStyle w:val="27"/>
        <w:keepNext w:val="0"/>
        <w:keepLines w:val="0"/>
        <w:pageBreakBefore w:val="0"/>
        <w:widowControl w:val="0"/>
        <w:kinsoku/>
        <w:wordWrap/>
        <w:overflowPunct/>
        <w:topLinePunct w:val="0"/>
        <w:autoSpaceDE/>
        <w:autoSpaceDN/>
        <w:bidi w:val="0"/>
        <w:adjustRightInd/>
        <w:snapToGrid/>
        <w:spacing w:line="380" w:lineRule="exact"/>
        <w:ind w:left="0" w:leftChars="0" w:firstLine="420" w:firstLineChars="200"/>
        <w:textAlignment w:val="auto"/>
        <w:rPr>
          <w:rFonts w:hint="eastAsia" w:ascii="宋体" w:hAnsi="宋体" w:eastAsia="宋体" w:cs="宋体"/>
          <w:b w:val="0"/>
          <w:bCs/>
          <w:color w:val="auto"/>
          <w:sz w:val="21"/>
          <w:szCs w:val="21"/>
          <w:highlight w:val="none"/>
          <w:lang w:val="en-US" w:eastAsia="zh-CN"/>
        </w:rPr>
      </w:pPr>
      <w:r>
        <w:rPr>
          <w:rFonts w:hint="eastAsia" w:ascii="宋体" w:hAnsi="宋体" w:eastAsia="宋体" w:cs="宋体"/>
          <w:b w:val="0"/>
          <w:bCs/>
          <w:color w:val="auto"/>
          <w:sz w:val="21"/>
          <w:szCs w:val="21"/>
          <w:highlight w:val="none"/>
          <w:lang w:val="en-US" w:eastAsia="zh-CN"/>
        </w:rPr>
        <w:t>供应商202</w:t>
      </w:r>
      <w:r>
        <w:rPr>
          <w:rFonts w:hint="eastAsia" w:cs="宋体"/>
          <w:b w:val="0"/>
          <w:bCs/>
          <w:color w:val="auto"/>
          <w:sz w:val="21"/>
          <w:szCs w:val="21"/>
          <w:highlight w:val="none"/>
          <w:lang w:val="en-US" w:eastAsia="zh-CN"/>
        </w:rPr>
        <w:t>1</w:t>
      </w:r>
      <w:r>
        <w:rPr>
          <w:rFonts w:hint="eastAsia" w:ascii="宋体" w:hAnsi="宋体" w:eastAsia="宋体" w:cs="宋体"/>
          <w:b w:val="0"/>
          <w:bCs/>
          <w:color w:val="auto"/>
          <w:sz w:val="21"/>
          <w:szCs w:val="21"/>
          <w:highlight w:val="none"/>
          <w:lang w:val="en-US" w:eastAsia="zh-CN"/>
        </w:rPr>
        <w:t>年以来具有本工程类似业绩的每个得5分，满分10分[（业绩证明材料须提供中标（成交）通知书或施工承包合同协议书复印并加盖供应商公章（CA签章）]。</w:t>
      </w:r>
    </w:p>
    <w:p w14:paraId="49AEB361">
      <w:pPr>
        <w:pStyle w:val="27"/>
        <w:keepNext w:val="0"/>
        <w:keepLines w:val="0"/>
        <w:pageBreakBefore w:val="0"/>
        <w:widowControl w:val="0"/>
        <w:kinsoku/>
        <w:wordWrap/>
        <w:overflowPunct/>
        <w:topLinePunct w:val="0"/>
        <w:autoSpaceDE/>
        <w:autoSpaceDN/>
        <w:bidi w:val="0"/>
        <w:adjustRightInd/>
        <w:snapToGrid/>
        <w:spacing w:line="380" w:lineRule="exact"/>
        <w:ind w:left="0" w:leftChars="0" w:firstLine="422" w:firstLineChars="200"/>
        <w:textAlignment w:val="auto"/>
        <w:rPr>
          <w:rFonts w:hint="eastAsia" w:ascii="宋体" w:hAnsi="宋体" w:eastAsia="宋体" w:cs="宋体"/>
          <w:b/>
          <w:color w:val="auto"/>
          <w:sz w:val="21"/>
          <w:szCs w:val="21"/>
          <w:highlight w:val="none"/>
          <w:lang w:val="en-US" w:eastAsia="zh-CN"/>
        </w:rPr>
      </w:pPr>
      <w:r>
        <w:rPr>
          <w:rFonts w:hint="eastAsia" w:cs="宋体"/>
          <w:b/>
          <w:color w:val="auto"/>
          <w:sz w:val="21"/>
          <w:szCs w:val="21"/>
          <w:highlight w:val="none"/>
          <w:lang w:val="en-US" w:eastAsia="zh-CN"/>
        </w:rPr>
        <w:t>4、</w:t>
      </w:r>
      <w:r>
        <w:rPr>
          <w:rFonts w:hint="eastAsia" w:ascii="宋体" w:hAnsi="宋体" w:eastAsia="宋体" w:cs="宋体"/>
          <w:b/>
          <w:color w:val="auto"/>
          <w:sz w:val="21"/>
          <w:szCs w:val="21"/>
          <w:highlight w:val="none"/>
          <w:lang w:val="en-US" w:eastAsia="zh-CN"/>
        </w:rPr>
        <w:t>综合得分＝1+2+3</w:t>
      </w:r>
    </w:p>
    <w:p w14:paraId="6DF45C6E">
      <w:pPr>
        <w:keepNext w:val="0"/>
        <w:keepLines w:val="0"/>
        <w:pageBreakBefore w:val="0"/>
        <w:widowControl w:val="0"/>
        <w:tabs>
          <w:tab w:val="left" w:pos="1305"/>
        </w:tabs>
        <w:kinsoku/>
        <w:wordWrap/>
        <w:overflowPunct/>
        <w:topLinePunct w:val="0"/>
        <w:autoSpaceDE/>
        <w:autoSpaceDN/>
        <w:bidi w:val="0"/>
        <w:adjustRightInd/>
        <w:snapToGrid/>
        <w:spacing w:line="380" w:lineRule="exact"/>
        <w:textAlignment w:val="auto"/>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lang w:val="en-US" w:eastAsia="zh-CN"/>
        </w:rPr>
        <w:t>三、</w:t>
      </w:r>
      <w:r>
        <w:rPr>
          <w:rFonts w:hint="eastAsia" w:ascii="宋体" w:hAnsi="宋体" w:eastAsia="宋体" w:cs="宋体"/>
          <w:b/>
          <w:color w:val="auto"/>
          <w:sz w:val="21"/>
          <w:szCs w:val="21"/>
          <w:highlight w:val="none"/>
        </w:rPr>
        <w:t>推荐成交候选</w:t>
      </w:r>
      <w:r>
        <w:rPr>
          <w:rFonts w:hint="eastAsia" w:ascii="宋体" w:hAnsi="宋体" w:cs="宋体"/>
          <w:b/>
          <w:color w:val="auto"/>
          <w:sz w:val="21"/>
          <w:szCs w:val="21"/>
          <w:highlight w:val="none"/>
          <w:lang w:eastAsia="zh-CN"/>
        </w:rPr>
        <w:t>供应商</w:t>
      </w:r>
      <w:r>
        <w:rPr>
          <w:rFonts w:hint="eastAsia" w:ascii="宋体" w:hAnsi="宋体" w:eastAsia="宋体" w:cs="宋体"/>
          <w:b/>
          <w:color w:val="auto"/>
          <w:sz w:val="21"/>
          <w:szCs w:val="21"/>
          <w:highlight w:val="none"/>
        </w:rPr>
        <w:t>原则</w:t>
      </w:r>
    </w:p>
    <w:p w14:paraId="3590FBFC">
      <w:pPr>
        <w:keepNext w:val="0"/>
        <w:keepLines w:val="0"/>
        <w:pageBreakBefore w:val="0"/>
        <w:widowControl w:val="0"/>
        <w:tabs>
          <w:tab w:val="left" w:pos="1305"/>
        </w:tabs>
        <w:kinsoku/>
        <w:wordWrap/>
        <w:overflowPunct/>
        <w:topLinePunct w:val="0"/>
        <w:autoSpaceDE/>
        <w:autoSpaceDN/>
        <w:bidi w:val="0"/>
        <w:adjustRightInd/>
        <w:snapToGrid/>
        <w:spacing w:line="380" w:lineRule="exact"/>
        <w:ind w:left="0" w:leftChars="0" w:right="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r>
        <w:rPr>
          <w:rFonts w:hint="eastAsia" w:ascii="宋体" w:hAnsi="宋体"/>
          <w:color w:val="auto"/>
          <w:szCs w:val="21"/>
          <w:highlight w:val="none"/>
        </w:rPr>
        <w:t>磋商小组应当根据综合评分情况，按照评审得分由高到低顺序推荐3名成交候选供应商，并编写评审报告。磋商小组根据评审得分由高到低排列次序，若得分相同时，以评审报价由低到高顺序排列；若得分相同且评审报价相同的，以最后报价由低到高顺序排列；若仍相同的，由磋商小组按照抽签的方式决定排列次序</w:t>
      </w:r>
      <w:r>
        <w:rPr>
          <w:rFonts w:hint="eastAsia" w:ascii="宋体" w:hAnsi="宋体" w:eastAsia="宋体" w:cs="宋体"/>
          <w:color w:val="auto"/>
          <w:sz w:val="21"/>
          <w:szCs w:val="21"/>
          <w:highlight w:val="none"/>
        </w:rPr>
        <w:t>。</w:t>
      </w:r>
    </w:p>
    <w:p w14:paraId="10CF991E">
      <w:pPr>
        <w:keepNext w:val="0"/>
        <w:keepLines w:val="0"/>
        <w:pageBreakBefore w:val="0"/>
        <w:widowControl w:val="0"/>
        <w:tabs>
          <w:tab w:val="left" w:pos="1305"/>
        </w:tabs>
        <w:kinsoku/>
        <w:wordWrap/>
        <w:overflowPunct/>
        <w:topLinePunct w:val="0"/>
        <w:autoSpaceDE/>
        <w:autoSpaceDN/>
        <w:bidi w:val="0"/>
        <w:adjustRightInd/>
        <w:snapToGrid/>
        <w:spacing w:line="380" w:lineRule="exact"/>
        <w:ind w:left="0" w:leftChars="0" w:right="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r>
        <w:rPr>
          <w:rFonts w:hint="eastAsia" w:ascii="宋体" w:hAnsi="宋体"/>
          <w:color w:val="auto"/>
          <w:szCs w:val="21"/>
          <w:highlight w:val="none"/>
        </w:rPr>
        <w:t>采购单位应当确定磋商小组推荐排名第一的成交候选供应商为成交供应商</w:t>
      </w:r>
      <w:r>
        <w:rPr>
          <w:rFonts w:hint="eastAsia" w:ascii="宋体" w:hAnsi="宋体" w:eastAsia="宋体" w:cs="宋体"/>
          <w:color w:val="auto"/>
          <w:sz w:val="21"/>
          <w:szCs w:val="21"/>
          <w:highlight w:val="none"/>
        </w:rPr>
        <w:t>。</w:t>
      </w:r>
    </w:p>
    <w:p w14:paraId="0118C3EA">
      <w:pPr>
        <w:keepNext w:val="0"/>
        <w:keepLines w:val="0"/>
        <w:pageBreakBefore w:val="0"/>
        <w:widowControl w:val="0"/>
        <w:tabs>
          <w:tab w:val="left" w:pos="1305"/>
        </w:tabs>
        <w:kinsoku/>
        <w:wordWrap/>
        <w:overflowPunct/>
        <w:topLinePunct w:val="0"/>
        <w:autoSpaceDE/>
        <w:autoSpaceDN/>
        <w:bidi w:val="0"/>
        <w:adjustRightInd/>
        <w:snapToGrid/>
        <w:spacing w:line="380" w:lineRule="exact"/>
        <w:ind w:left="0" w:leftChars="0" w:right="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（3）排名第一的成交候选供应商放弃成交、因不可抗力提出不能履行合同，或因失信行为被取消成交候选</w:t>
      </w:r>
      <w:r>
        <w:rPr>
          <w:rFonts w:hint="eastAsia" w:ascii="宋体" w:hAnsi="宋体" w:cs="宋体"/>
          <w:color w:val="auto"/>
          <w:sz w:val="21"/>
          <w:szCs w:val="21"/>
          <w:highlight w:val="none"/>
          <w:lang w:eastAsia="zh-CN"/>
        </w:rPr>
        <w:t>供应商</w:t>
      </w:r>
      <w:r>
        <w:rPr>
          <w:rFonts w:hint="eastAsia" w:ascii="宋体" w:hAnsi="宋体" w:eastAsia="宋体" w:cs="宋体"/>
          <w:color w:val="auto"/>
          <w:sz w:val="21"/>
          <w:szCs w:val="21"/>
          <w:highlight w:val="none"/>
        </w:rPr>
        <w:t>资格的，采购单位可以确定排名第二的成交候选供应商为成交供应商或重新采购。</w:t>
      </w:r>
    </w:p>
    <w:p w14:paraId="7D013B91">
      <w:pPr>
        <w:keepNext w:val="0"/>
        <w:keepLines w:val="0"/>
        <w:pageBreakBefore w:val="0"/>
        <w:widowControl w:val="0"/>
        <w:tabs>
          <w:tab w:val="left" w:pos="1305"/>
        </w:tabs>
        <w:kinsoku/>
        <w:wordWrap/>
        <w:overflowPunct/>
        <w:topLinePunct w:val="0"/>
        <w:autoSpaceDE/>
        <w:autoSpaceDN/>
        <w:bidi w:val="0"/>
        <w:adjustRightInd/>
        <w:snapToGrid/>
        <w:spacing w:line="380" w:lineRule="exact"/>
        <w:ind w:left="0" w:leftChars="0" w:right="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w:t>
      </w:r>
      <w:r>
        <w:rPr>
          <w:rFonts w:hint="eastAsia" w:ascii="宋体" w:hAnsi="宋体"/>
          <w:color w:val="auto"/>
          <w:szCs w:val="21"/>
          <w:highlight w:val="none"/>
        </w:rPr>
        <w:t>排名第二的成交候选供应商因前款规定的同样原因不能签订合同的，采购单位可以确定排名第三的成交候选</w:t>
      </w:r>
      <w:r>
        <w:rPr>
          <w:rFonts w:hint="eastAsia" w:ascii="宋体" w:hAnsi="宋体"/>
          <w:color w:val="auto"/>
          <w:szCs w:val="21"/>
          <w:highlight w:val="none"/>
          <w:lang w:eastAsia="zh-CN"/>
        </w:rPr>
        <w:t>供应商</w:t>
      </w:r>
      <w:r>
        <w:rPr>
          <w:rFonts w:hint="eastAsia" w:ascii="宋体" w:hAnsi="宋体"/>
          <w:color w:val="auto"/>
          <w:szCs w:val="21"/>
          <w:highlight w:val="none"/>
        </w:rPr>
        <w:t>为成交供应商</w:t>
      </w:r>
      <w:r>
        <w:rPr>
          <w:rFonts w:ascii="宋体" w:hAnsi="宋体"/>
          <w:color w:val="auto"/>
          <w:szCs w:val="21"/>
          <w:highlight w:val="none"/>
        </w:rPr>
        <w:t>或重新采购</w:t>
      </w:r>
      <w:r>
        <w:rPr>
          <w:rFonts w:hint="eastAsia" w:ascii="宋体" w:hAnsi="宋体" w:eastAsia="宋体" w:cs="宋体"/>
          <w:color w:val="auto"/>
          <w:sz w:val="21"/>
          <w:szCs w:val="21"/>
          <w:highlight w:val="none"/>
        </w:rPr>
        <w:t>。</w:t>
      </w:r>
    </w:p>
    <w:p w14:paraId="19061AE8">
      <w:pPr>
        <w:keepNext w:val="0"/>
        <w:keepLines w:val="0"/>
        <w:pageBreakBefore w:val="0"/>
        <w:widowControl w:val="0"/>
        <w:tabs>
          <w:tab w:val="left" w:pos="1305"/>
        </w:tabs>
        <w:kinsoku/>
        <w:wordWrap/>
        <w:overflowPunct/>
        <w:topLinePunct w:val="0"/>
        <w:autoSpaceDE/>
        <w:autoSpaceDN/>
        <w:bidi w:val="0"/>
        <w:adjustRightInd/>
        <w:snapToGrid/>
        <w:spacing w:line="380" w:lineRule="exact"/>
        <w:textAlignment w:val="auto"/>
        <w:rPr>
          <w:rFonts w:hint="eastAsia" w:ascii="宋体" w:hAnsi="宋体" w:eastAsia="宋体" w:cs="宋体"/>
          <w:b/>
          <w:color w:val="auto"/>
          <w:sz w:val="21"/>
          <w:szCs w:val="21"/>
          <w:highlight w:val="none"/>
          <w:lang w:val="en-US" w:eastAsia="zh-CN"/>
        </w:rPr>
      </w:pPr>
      <w:r>
        <w:rPr>
          <w:rFonts w:hint="eastAsia" w:ascii="宋体" w:hAnsi="宋体" w:eastAsia="宋体" w:cs="宋体"/>
          <w:b/>
          <w:color w:val="auto"/>
          <w:sz w:val="21"/>
          <w:szCs w:val="21"/>
          <w:highlight w:val="none"/>
          <w:lang w:val="en-US" w:eastAsia="zh-CN"/>
        </w:rPr>
        <w:t>四、特别说明</w:t>
      </w:r>
    </w:p>
    <w:p w14:paraId="60BE6DEF">
      <w:pPr>
        <w:keepNext w:val="0"/>
        <w:keepLines w:val="0"/>
        <w:pageBreakBefore w:val="0"/>
        <w:widowControl w:val="0"/>
        <w:tabs>
          <w:tab w:val="left" w:pos="1140"/>
        </w:tabs>
        <w:kinsoku/>
        <w:wordWrap/>
        <w:overflowPunct/>
        <w:topLinePunct w:val="0"/>
        <w:autoSpaceDE/>
        <w:autoSpaceDN/>
        <w:bidi w:val="0"/>
        <w:adjustRightInd/>
        <w:snapToGrid/>
        <w:spacing w:line="380" w:lineRule="exact"/>
        <w:ind w:firstLine="422" w:firstLineChars="200"/>
        <w:textAlignment w:val="auto"/>
        <w:rPr>
          <w:rFonts w:hint="eastAsia" w:ascii="宋体" w:hAnsi="宋体"/>
          <w:b/>
          <w:bCs/>
          <w:color w:val="auto"/>
          <w:szCs w:val="21"/>
          <w:highlight w:val="none"/>
          <w:u w:val="double"/>
        </w:rPr>
      </w:pPr>
      <w:r>
        <w:rPr>
          <w:rFonts w:hint="eastAsia" w:ascii="宋体" w:hAnsi="宋体"/>
          <w:b/>
          <w:bCs/>
          <w:color w:val="auto"/>
          <w:szCs w:val="21"/>
          <w:highlight w:val="none"/>
          <w:u w:val="double"/>
        </w:rPr>
        <w:t>评审时，磋商小组</w:t>
      </w:r>
      <w:r>
        <w:rPr>
          <w:rFonts w:ascii="宋体" w:hAnsi="宋体"/>
          <w:b/>
          <w:bCs/>
          <w:color w:val="auto"/>
          <w:szCs w:val="21"/>
          <w:highlight w:val="none"/>
          <w:u w:val="double"/>
        </w:rPr>
        <w:t>认为</w:t>
      </w:r>
      <w:r>
        <w:rPr>
          <w:rFonts w:hint="eastAsia" w:ascii="宋体" w:hAnsi="宋体"/>
          <w:b/>
          <w:bCs/>
          <w:color w:val="auto"/>
          <w:szCs w:val="21"/>
          <w:highlight w:val="none"/>
          <w:u w:val="double"/>
        </w:rPr>
        <w:t>供应商</w:t>
      </w:r>
      <w:r>
        <w:rPr>
          <w:rFonts w:ascii="宋体" w:hAnsi="宋体"/>
          <w:b/>
          <w:bCs/>
          <w:color w:val="auto"/>
          <w:szCs w:val="21"/>
          <w:highlight w:val="none"/>
          <w:u w:val="double"/>
        </w:rPr>
        <w:t>的报价明显低于其他通过符合性审查</w:t>
      </w:r>
      <w:r>
        <w:rPr>
          <w:rFonts w:hint="eastAsia" w:ascii="宋体" w:hAnsi="宋体"/>
          <w:b/>
          <w:bCs/>
          <w:color w:val="auto"/>
          <w:szCs w:val="21"/>
          <w:highlight w:val="none"/>
          <w:u w:val="double"/>
        </w:rPr>
        <w:t>供应商</w:t>
      </w:r>
      <w:r>
        <w:rPr>
          <w:rFonts w:ascii="宋体" w:hAnsi="宋体"/>
          <w:b/>
          <w:bCs/>
          <w:color w:val="auto"/>
          <w:szCs w:val="21"/>
          <w:highlight w:val="none"/>
          <w:u w:val="double"/>
        </w:rPr>
        <w:t>的报价，有可能影响产品质量或者不能诚信履约的，应当要求其在评标现场合理的时间内提供书面说明，必要时提交相关证明材料；</w:t>
      </w:r>
      <w:r>
        <w:rPr>
          <w:rFonts w:hint="eastAsia" w:ascii="宋体" w:hAnsi="宋体"/>
          <w:b/>
          <w:bCs/>
          <w:color w:val="auto"/>
          <w:szCs w:val="21"/>
          <w:highlight w:val="none"/>
          <w:u w:val="double"/>
        </w:rPr>
        <w:t>供应商</w:t>
      </w:r>
      <w:r>
        <w:rPr>
          <w:rFonts w:ascii="宋体" w:hAnsi="宋体"/>
          <w:b/>
          <w:bCs/>
          <w:color w:val="auto"/>
          <w:szCs w:val="21"/>
          <w:highlight w:val="none"/>
          <w:u w:val="double"/>
        </w:rPr>
        <w:t>不能证明其报价合理性的，</w:t>
      </w:r>
      <w:r>
        <w:rPr>
          <w:rFonts w:hint="eastAsia" w:ascii="宋体" w:hAnsi="宋体"/>
          <w:b/>
          <w:bCs/>
          <w:color w:val="auto"/>
          <w:szCs w:val="21"/>
          <w:highlight w:val="none"/>
          <w:u w:val="double"/>
        </w:rPr>
        <w:t>磋商小组</w:t>
      </w:r>
      <w:r>
        <w:rPr>
          <w:rFonts w:ascii="宋体" w:hAnsi="宋体"/>
          <w:b/>
          <w:bCs/>
          <w:color w:val="auto"/>
          <w:szCs w:val="21"/>
          <w:highlight w:val="none"/>
          <w:u w:val="double"/>
        </w:rPr>
        <w:t>应当将其作为无效投标处理。</w:t>
      </w:r>
    </w:p>
    <w:p w14:paraId="5941D803">
      <w:pPr>
        <w:pStyle w:val="22"/>
        <w:rPr>
          <w:rFonts w:hint="eastAsia" w:ascii="宋体" w:hAnsi="宋体" w:eastAsia="宋体" w:cs="宋体"/>
          <w:color w:val="auto"/>
          <w:sz w:val="21"/>
          <w:szCs w:val="21"/>
          <w:highlight w:val="none"/>
        </w:rPr>
      </w:pPr>
    </w:p>
    <w:p w14:paraId="435842AC">
      <w:pPr>
        <w:pStyle w:val="22"/>
        <w:rPr>
          <w:rFonts w:hint="eastAsia" w:ascii="宋体" w:hAnsi="宋体" w:eastAsia="宋体" w:cs="宋体"/>
          <w:color w:val="auto"/>
          <w:sz w:val="21"/>
          <w:szCs w:val="21"/>
          <w:highlight w:val="none"/>
        </w:rPr>
      </w:pPr>
    </w:p>
    <w:p w14:paraId="056374E2">
      <w:pPr>
        <w:pStyle w:val="22"/>
        <w:rPr>
          <w:rFonts w:hint="eastAsia" w:ascii="宋体" w:hAnsi="宋体" w:eastAsia="宋体" w:cs="宋体"/>
          <w:color w:val="auto"/>
          <w:sz w:val="21"/>
          <w:szCs w:val="21"/>
          <w:highlight w:val="none"/>
        </w:rPr>
      </w:pPr>
    </w:p>
    <w:p w14:paraId="32BE9286">
      <w:pPr>
        <w:pStyle w:val="22"/>
        <w:rPr>
          <w:rFonts w:hint="eastAsia" w:ascii="宋体" w:hAnsi="宋体" w:eastAsia="宋体" w:cs="宋体"/>
          <w:color w:val="auto"/>
          <w:sz w:val="21"/>
          <w:szCs w:val="21"/>
          <w:highlight w:val="none"/>
        </w:rPr>
      </w:pPr>
    </w:p>
    <w:p w14:paraId="535F8D0F">
      <w:pPr>
        <w:pStyle w:val="22"/>
        <w:rPr>
          <w:rFonts w:hint="eastAsia" w:ascii="宋体" w:hAnsi="宋体" w:eastAsia="宋体" w:cs="宋体"/>
          <w:color w:val="auto"/>
          <w:sz w:val="21"/>
          <w:szCs w:val="21"/>
          <w:highlight w:val="none"/>
        </w:rPr>
      </w:pPr>
    </w:p>
    <w:p w14:paraId="3A3E5EBB">
      <w:pPr>
        <w:pStyle w:val="22"/>
        <w:rPr>
          <w:rFonts w:hint="eastAsia" w:ascii="宋体" w:hAnsi="宋体" w:eastAsia="宋体" w:cs="宋体"/>
          <w:color w:val="auto"/>
          <w:sz w:val="21"/>
          <w:szCs w:val="21"/>
          <w:highlight w:val="none"/>
        </w:rPr>
      </w:pPr>
    </w:p>
    <w:p w14:paraId="71E1787E">
      <w:pPr>
        <w:pStyle w:val="22"/>
        <w:rPr>
          <w:rFonts w:hint="eastAsia" w:ascii="宋体" w:hAnsi="宋体" w:eastAsia="宋体" w:cs="宋体"/>
          <w:color w:val="auto"/>
          <w:sz w:val="21"/>
          <w:szCs w:val="21"/>
          <w:highlight w:val="none"/>
        </w:rPr>
      </w:pPr>
    </w:p>
    <w:p w14:paraId="5F1B3B65">
      <w:pPr>
        <w:pStyle w:val="22"/>
        <w:rPr>
          <w:rFonts w:hint="eastAsia" w:ascii="宋体" w:hAnsi="宋体" w:eastAsia="宋体" w:cs="宋体"/>
          <w:color w:val="auto"/>
          <w:sz w:val="21"/>
          <w:szCs w:val="21"/>
          <w:highlight w:val="none"/>
        </w:rPr>
      </w:pPr>
    </w:p>
    <w:p w14:paraId="7CB3D034">
      <w:pPr>
        <w:pStyle w:val="22"/>
        <w:rPr>
          <w:rFonts w:hint="eastAsia" w:ascii="宋体" w:hAnsi="宋体" w:eastAsia="宋体" w:cs="宋体"/>
          <w:color w:val="auto"/>
          <w:sz w:val="21"/>
          <w:szCs w:val="21"/>
          <w:highlight w:val="none"/>
        </w:rPr>
      </w:pPr>
    </w:p>
    <w:p w14:paraId="3BDF2B98">
      <w:pPr>
        <w:pStyle w:val="22"/>
        <w:rPr>
          <w:rFonts w:hint="eastAsia" w:ascii="宋体" w:hAnsi="宋体" w:eastAsia="宋体" w:cs="宋体"/>
          <w:color w:val="auto"/>
          <w:sz w:val="21"/>
          <w:szCs w:val="21"/>
          <w:highlight w:val="none"/>
        </w:rPr>
      </w:pPr>
    </w:p>
    <w:p w14:paraId="670E5A5E">
      <w:pPr>
        <w:pStyle w:val="22"/>
        <w:rPr>
          <w:rFonts w:hint="eastAsia" w:ascii="宋体" w:hAnsi="宋体" w:eastAsia="宋体" w:cs="宋体"/>
          <w:color w:val="auto"/>
          <w:sz w:val="21"/>
          <w:szCs w:val="21"/>
          <w:highlight w:val="none"/>
        </w:rPr>
      </w:pPr>
    </w:p>
    <w:p w14:paraId="3EFBB742">
      <w:pPr>
        <w:pStyle w:val="22"/>
        <w:rPr>
          <w:rFonts w:hint="eastAsia" w:ascii="宋体" w:hAnsi="宋体" w:eastAsia="宋体" w:cs="宋体"/>
          <w:color w:val="auto"/>
          <w:sz w:val="21"/>
          <w:szCs w:val="21"/>
          <w:highlight w:val="none"/>
        </w:rPr>
      </w:pPr>
    </w:p>
    <w:p w14:paraId="05808010">
      <w:pPr>
        <w:pStyle w:val="22"/>
        <w:rPr>
          <w:rFonts w:hint="eastAsia" w:ascii="宋体" w:hAnsi="宋体" w:eastAsia="宋体" w:cs="宋体"/>
          <w:color w:val="auto"/>
          <w:sz w:val="21"/>
          <w:szCs w:val="21"/>
          <w:highlight w:val="none"/>
        </w:rPr>
      </w:pPr>
    </w:p>
    <w:p w14:paraId="52FC1DDD">
      <w:pPr>
        <w:pStyle w:val="22"/>
        <w:rPr>
          <w:rFonts w:hint="eastAsia" w:ascii="宋体" w:hAnsi="宋体" w:eastAsia="宋体" w:cs="宋体"/>
          <w:color w:val="auto"/>
          <w:sz w:val="21"/>
          <w:szCs w:val="21"/>
          <w:highlight w:val="none"/>
        </w:rPr>
      </w:pPr>
    </w:p>
    <w:p w14:paraId="114EFF7D">
      <w:pPr>
        <w:pStyle w:val="22"/>
        <w:rPr>
          <w:rFonts w:hint="eastAsia" w:ascii="宋体" w:hAnsi="宋体" w:eastAsia="宋体" w:cs="宋体"/>
          <w:color w:val="auto"/>
          <w:sz w:val="21"/>
          <w:szCs w:val="21"/>
          <w:highlight w:val="none"/>
        </w:rPr>
      </w:pPr>
    </w:p>
    <w:p w14:paraId="2957B5DB">
      <w:pPr>
        <w:pStyle w:val="22"/>
        <w:rPr>
          <w:rFonts w:hint="eastAsia" w:ascii="宋体" w:hAnsi="宋体" w:eastAsia="宋体" w:cs="宋体"/>
          <w:color w:val="auto"/>
          <w:sz w:val="21"/>
          <w:szCs w:val="21"/>
          <w:highlight w:val="none"/>
        </w:rPr>
      </w:pPr>
    </w:p>
    <w:p w14:paraId="6C7E83A1">
      <w:pPr>
        <w:pStyle w:val="22"/>
        <w:rPr>
          <w:rFonts w:hint="eastAsia" w:ascii="宋体" w:hAnsi="宋体" w:eastAsia="宋体" w:cs="宋体"/>
          <w:color w:val="auto"/>
          <w:sz w:val="21"/>
          <w:szCs w:val="21"/>
          <w:highlight w:val="none"/>
        </w:rPr>
      </w:pPr>
    </w:p>
    <w:p w14:paraId="01A93824">
      <w:pPr>
        <w:pStyle w:val="22"/>
        <w:rPr>
          <w:rFonts w:hint="eastAsia" w:ascii="宋体" w:hAnsi="宋体" w:eastAsia="宋体" w:cs="宋体"/>
          <w:color w:val="auto"/>
          <w:sz w:val="21"/>
          <w:szCs w:val="21"/>
          <w:highlight w:val="none"/>
        </w:rPr>
      </w:pPr>
    </w:p>
    <w:p w14:paraId="0CC394BF">
      <w:pPr>
        <w:pStyle w:val="2"/>
        <w:numPr>
          <w:ilvl w:val="0"/>
          <w:numId w:val="0"/>
        </w:numPr>
        <w:tabs>
          <w:tab w:val="left" w:pos="0"/>
        </w:tabs>
        <w:autoSpaceDE w:val="0"/>
        <w:autoSpaceDN w:val="0"/>
        <w:adjustRightInd w:val="0"/>
        <w:spacing w:before="0" w:after="0" w:line="360" w:lineRule="auto"/>
        <w:ind w:left="425" w:leftChars="0"/>
        <w:jc w:val="center"/>
        <w:rPr>
          <w:rFonts w:hint="eastAsia" w:ascii="宋体" w:hAnsi="宋体" w:eastAsia="宋体" w:cs="宋体"/>
          <w:color w:val="auto"/>
          <w:sz w:val="28"/>
          <w:szCs w:val="28"/>
          <w:highlight w:val="none"/>
          <w:lang w:eastAsia="zh-CN"/>
        </w:rPr>
      </w:pPr>
      <w:bookmarkStart w:id="144" w:name="_Toc5821"/>
      <w:bookmarkStart w:id="145" w:name="_Toc8466"/>
      <w:bookmarkStart w:id="146" w:name="_Toc25717"/>
      <w:bookmarkStart w:id="147" w:name="_Toc4774"/>
      <w:r>
        <w:rPr>
          <w:rFonts w:hint="eastAsia" w:ascii="宋体" w:hAnsi="宋体" w:eastAsia="宋体" w:cs="宋体"/>
          <w:color w:val="auto"/>
          <w:sz w:val="28"/>
          <w:szCs w:val="28"/>
          <w:highlight w:val="none"/>
          <w:lang w:eastAsia="zh-CN"/>
        </w:rPr>
        <w:t>第五章</w:t>
      </w:r>
      <w:r>
        <w:rPr>
          <w:rFonts w:hint="eastAsia" w:ascii="宋体" w:hAnsi="宋体" w:eastAsia="宋体" w:cs="宋体"/>
          <w:color w:val="auto"/>
          <w:sz w:val="28"/>
          <w:szCs w:val="28"/>
          <w:highlight w:val="none"/>
          <w:lang w:val="en-US" w:eastAsia="zh-CN"/>
        </w:rPr>
        <w:t xml:space="preserve"> </w:t>
      </w:r>
      <w:r>
        <w:rPr>
          <w:rFonts w:hint="eastAsia" w:ascii="宋体" w:hAnsi="宋体" w:eastAsia="宋体" w:cs="宋体"/>
          <w:color w:val="auto"/>
          <w:sz w:val="28"/>
          <w:szCs w:val="28"/>
          <w:highlight w:val="none"/>
          <w:lang w:eastAsia="zh-CN"/>
        </w:rPr>
        <w:t>采购合同（合同主要条款及格式）</w:t>
      </w:r>
      <w:bookmarkEnd w:id="144"/>
      <w:bookmarkEnd w:id="145"/>
      <w:bookmarkEnd w:id="146"/>
      <w:bookmarkEnd w:id="147"/>
    </w:p>
    <w:p w14:paraId="66554CB8">
      <w:pPr>
        <w:pStyle w:val="28"/>
        <w:numPr>
          <w:ilvl w:val="0"/>
          <w:numId w:val="4"/>
        </w:numPr>
        <w:spacing w:line="340" w:lineRule="exact"/>
        <w:jc w:val="center"/>
        <w:rPr>
          <w:rFonts w:hint="eastAsia" w:ascii="宋体" w:hAnsi="宋体" w:eastAsia="宋体" w:cs="宋体"/>
          <w:color w:val="auto"/>
          <w:sz w:val="21"/>
          <w:szCs w:val="21"/>
          <w:highlight w:val="none"/>
        </w:rPr>
      </w:pPr>
      <w:bookmarkStart w:id="148" w:name="_Toc256000031"/>
      <w:bookmarkStart w:id="149" w:name="_Toc522201558"/>
      <w:bookmarkStart w:id="150" w:name="_Toc30988"/>
      <w:bookmarkStart w:id="151" w:name="_Toc10014"/>
      <w:bookmarkStart w:id="152" w:name="_Toc24269"/>
      <w:r>
        <w:rPr>
          <w:rFonts w:hint="eastAsia" w:ascii="宋体" w:hAnsi="宋体" w:eastAsia="宋体" w:cs="宋体"/>
          <w:color w:val="auto"/>
          <w:sz w:val="21"/>
          <w:szCs w:val="21"/>
          <w:highlight w:val="none"/>
        </w:rPr>
        <w:t>合同协议书</w:t>
      </w:r>
      <w:bookmarkEnd w:id="148"/>
      <w:bookmarkEnd w:id="149"/>
      <w:bookmarkEnd w:id="150"/>
    </w:p>
    <w:p w14:paraId="3E522446">
      <w:pPr>
        <w:pStyle w:val="28"/>
        <w:numPr>
          <w:ilvl w:val="0"/>
          <w:numId w:val="0"/>
        </w:numPr>
        <w:spacing w:line="340" w:lineRule="exact"/>
        <w:jc w:val="both"/>
        <w:rPr>
          <w:rFonts w:hint="eastAsia" w:ascii="宋体" w:hAnsi="宋体" w:eastAsia="宋体" w:cs="宋体"/>
          <w:color w:val="auto"/>
          <w:sz w:val="21"/>
          <w:szCs w:val="21"/>
          <w:highlight w:val="none"/>
        </w:rPr>
      </w:pPr>
    </w:p>
    <w:p w14:paraId="058850D5">
      <w:pPr>
        <w:pStyle w:val="32"/>
        <w:adjustRightInd w:val="0"/>
        <w:snapToGrid w:val="0"/>
        <w:spacing w:line="400" w:lineRule="exact"/>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发包人（全称）：</w:t>
      </w:r>
      <w:r>
        <w:rPr>
          <w:rFonts w:hint="eastAsia" w:ascii="宋体" w:hAnsi="宋体" w:cs="宋体"/>
          <w:color w:val="auto"/>
          <w:sz w:val="21"/>
          <w:szCs w:val="21"/>
          <w:highlight w:val="none"/>
          <w:u w:val="single"/>
          <w:lang w:eastAsia="zh-CN"/>
        </w:rPr>
        <w:t>资源县中峰镇人民政府</w:t>
      </w:r>
      <w:r>
        <w:rPr>
          <w:rFonts w:hint="eastAsia" w:ascii="宋体" w:hAnsi="宋体" w:eastAsia="宋体" w:cs="宋体"/>
          <w:color w:val="auto"/>
          <w:sz w:val="21"/>
          <w:szCs w:val="21"/>
          <w:highlight w:val="none"/>
          <w:lang w:val="en-US" w:eastAsia="zh-CN"/>
        </w:rPr>
        <w:t xml:space="preserve"> </w:t>
      </w:r>
    </w:p>
    <w:p w14:paraId="3F2F1D46">
      <w:pPr>
        <w:pStyle w:val="32"/>
        <w:adjustRightInd w:val="0"/>
        <w:snapToGrid w:val="0"/>
        <w:spacing w:line="400" w:lineRule="exact"/>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承包人（全称）：</w:t>
      </w:r>
      <w:r>
        <w:rPr>
          <w:rFonts w:hint="eastAsia" w:ascii="宋体" w:hAnsi="宋体" w:eastAsia="宋体" w:cs="宋体"/>
          <w:color w:val="auto"/>
          <w:sz w:val="21"/>
          <w:szCs w:val="21"/>
          <w:highlight w:val="none"/>
          <w:u w:val="single"/>
          <w:lang w:val="en-US" w:eastAsia="zh-CN"/>
        </w:rPr>
        <w:t xml:space="preserve"> </w:t>
      </w:r>
      <w:r>
        <w:rPr>
          <w:rFonts w:hint="eastAsia" w:ascii="宋体" w:hAnsi="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p>
    <w:p w14:paraId="04AEE854">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根据《中华人民共和国</w:t>
      </w:r>
      <w:r>
        <w:rPr>
          <w:rFonts w:hint="eastAsia" w:ascii="宋体" w:hAnsi="宋体" w:eastAsia="宋体" w:cs="宋体"/>
          <w:color w:val="auto"/>
          <w:sz w:val="21"/>
          <w:szCs w:val="21"/>
          <w:highlight w:val="none"/>
          <w:lang w:eastAsia="zh-CN"/>
        </w:rPr>
        <w:t>民法典</w:t>
      </w:r>
      <w:r>
        <w:rPr>
          <w:rFonts w:hint="eastAsia" w:ascii="宋体" w:hAnsi="宋体" w:eastAsia="宋体" w:cs="宋体"/>
          <w:color w:val="auto"/>
          <w:sz w:val="21"/>
          <w:szCs w:val="21"/>
          <w:highlight w:val="none"/>
        </w:rPr>
        <w:t>》、《中华人民共和国建筑法》及有关法律规定，遵循平等、自愿、公平和诚实信用的原则，双方就</w:t>
      </w:r>
      <w:r>
        <w:rPr>
          <w:rFonts w:hint="eastAsia" w:ascii="宋体" w:hAnsi="宋体" w:cs="宋体"/>
          <w:color w:val="auto"/>
          <w:sz w:val="21"/>
          <w:szCs w:val="21"/>
          <w:highlight w:val="none"/>
          <w:u w:val="single"/>
          <w:lang w:val="en-US" w:eastAsia="zh-CN"/>
        </w:rPr>
        <w:t>中峰村油榨坪街村民议事中心</w:t>
      </w:r>
      <w:r>
        <w:rPr>
          <w:rFonts w:hint="eastAsia" w:ascii="宋体" w:hAnsi="宋体" w:eastAsia="宋体" w:cs="宋体"/>
          <w:color w:val="auto"/>
          <w:sz w:val="21"/>
          <w:szCs w:val="21"/>
          <w:highlight w:val="none"/>
        </w:rPr>
        <w:t>及有关事项协商一致，共同达成如下协议：</w:t>
      </w:r>
      <w:bookmarkStart w:id="153" w:name="_Toc351203481"/>
    </w:p>
    <w:p w14:paraId="51809B6A">
      <w:pPr>
        <w:pStyle w:val="33"/>
        <w:adjustRightInd w:val="0"/>
        <w:snapToGrid w:val="0"/>
        <w:spacing w:line="400" w:lineRule="exact"/>
        <w:ind w:firstLine="422"/>
        <w:outlineLvl w:val="0"/>
        <w:rPr>
          <w:rFonts w:hint="eastAsia" w:ascii="宋体" w:hAnsi="宋体" w:eastAsia="宋体" w:cs="宋体"/>
          <w:b/>
          <w:color w:val="auto"/>
          <w:sz w:val="21"/>
          <w:szCs w:val="21"/>
          <w:highlight w:val="none"/>
        </w:rPr>
      </w:pPr>
      <w:bookmarkStart w:id="154" w:name="_Toc522201559"/>
      <w:bookmarkStart w:id="155" w:name="_Toc17678"/>
      <w:bookmarkStart w:id="156" w:name="_Toc20764"/>
      <w:bookmarkStart w:id="157" w:name="_Toc406419153"/>
      <w:bookmarkStart w:id="158" w:name="_Toc406522028"/>
      <w:r>
        <w:rPr>
          <w:rFonts w:hint="eastAsia" w:ascii="宋体" w:hAnsi="宋体" w:eastAsia="宋体" w:cs="宋体"/>
          <w:b/>
          <w:color w:val="auto"/>
          <w:sz w:val="21"/>
          <w:szCs w:val="21"/>
          <w:highlight w:val="none"/>
        </w:rPr>
        <w:t>一、工程概况</w:t>
      </w:r>
      <w:bookmarkEnd w:id="153"/>
      <w:bookmarkEnd w:id="154"/>
      <w:bookmarkEnd w:id="155"/>
      <w:bookmarkEnd w:id="156"/>
      <w:bookmarkEnd w:id="157"/>
      <w:bookmarkEnd w:id="158"/>
    </w:p>
    <w:p w14:paraId="55640643">
      <w:pPr>
        <w:pStyle w:val="32"/>
        <w:adjustRightInd w:val="0"/>
        <w:snapToGrid w:val="0"/>
        <w:spacing w:line="400" w:lineRule="exact"/>
        <w:ind w:firstLine="459"/>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1.工程名称：</w:t>
      </w:r>
      <w:r>
        <w:rPr>
          <w:rFonts w:hint="eastAsia" w:ascii="宋体" w:hAnsi="宋体" w:cs="宋体"/>
          <w:color w:val="auto"/>
          <w:sz w:val="21"/>
          <w:szCs w:val="21"/>
          <w:highlight w:val="none"/>
          <w:u w:val="single"/>
          <w:lang w:val="en-US" w:eastAsia="zh-CN"/>
        </w:rPr>
        <w:t>中峰村油榨坪街村民议事中心</w:t>
      </w:r>
    </w:p>
    <w:p w14:paraId="2233ECC9">
      <w:pPr>
        <w:pStyle w:val="32"/>
        <w:adjustRightInd w:val="0"/>
        <w:snapToGrid w:val="0"/>
        <w:spacing w:line="400" w:lineRule="exact"/>
        <w:ind w:firstLine="459"/>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2.工程地点：</w:t>
      </w:r>
      <w:r>
        <w:rPr>
          <w:rFonts w:hint="eastAsia" w:ascii="宋体" w:hAnsi="宋体" w:cs="宋体"/>
          <w:color w:val="auto"/>
          <w:sz w:val="21"/>
          <w:szCs w:val="21"/>
          <w:highlight w:val="none"/>
          <w:u w:val="single"/>
          <w:lang w:eastAsia="zh-CN"/>
        </w:rPr>
        <w:t>资源县</w:t>
      </w:r>
    </w:p>
    <w:p w14:paraId="042CFA2E">
      <w:pPr>
        <w:pStyle w:val="32"/>
        <w:adjustRightInd w:val="0"/>
        <w:snapToGrid w:val="0"/>
        <w:spacing w:line="400" w:lineRule="exact"/>
        <w:ind w:firstLine="459"/>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rPr>
        <w:t>3.资金来源：</w:t>
      </w:r>
      <w:r>
        <w:rPr>
          <w:rFonts w:hint="eastAsia" w:ascii="宋体" w:hAnsi="宋体" w:eastAsia="宋体" w:cs="宋体"/>
          <w:color w:val="auto"/>
          <w:sz w:val="21"/>
          <w:szCs w:val="21"/>
          <w:highlight w:val="none"/>
          <w:u w:val="single"/>
          <w:lang w:val="en-US" w:eastAsia="zh-CN"/>
        </w:rPr>
        <w:t>财政资金</w:t>
      </w:r>
    </w:p>
    <w:p w14:paraId="1C485996">
      <w:pPr>
        <w:pStyle w:val="32"/>
        <w:adjustRightInd w:val="0"/>
        <w:snapToGrid w:val="0"/>
        <w:spacing w:line="400" w:lineRule="exact"/>
        <w:ind w:firstLine="459"/>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.工程内容：</w:t>
      </w:r>
      <w:r>
        <w:rPr>
          <w:rFonts w:hint="eastAsia" w:ascii="宋体" w:hAnsi="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211CB9EB">
      <w:pPr>
        <w:pStyle w:val="32"/>
        <w:adjustRightInd w:val="0"/>
        <w:snapToGrid w:val="0"/>
        <w:spacing w:line="400" w:lineRule="exact"/>
        <w:ind w:firstLine="459"/>
        <w:rPr>
          <w:rFonts w:hint="eastAsia" w:ascii="宋体" w:hAnsi="宋体" w:eastAsia="宋体" w:cs="宋体"/>
          <w:bCs/>
          <w:color w:val="auto"/>
          <w:sz w:val="21"/>
          <w:szCs w:val="21"/>
          <w:highlight w:val="none"/>
        </w:rPr>
      </w:pPr>
      <w:r>
        <w:rPr>
          <w:rFonts w:hint="eastAsia" w:ascii="宋体" w:hAnsi="宋体" w:eastAsia="宋体" w:cs="宋体"/>
          <w:color w:val="auto"/>
          <w:sz w:val="21"/>
          <w:szCs w:val="21"/>
          <w:highlight w:val="none"/>
          <w:lang w:val="en-US" w:eastAsia="zh-CN"/>
        </w:rPr>
        <w:t>5</w:t>
      </w:r>
      <w:r>
        <w:rPr>
          <w:rFonts w:hint="eastAsia" w:ascii="宋体" w:hAnsi="宋体" w:eastAsia="宋体" w:cs="宋体"/>
          <w:color w:val="auto"/>
          <w:sz w:val="21"/>
          <w:szCs w:val="21"/>
          <w:highlight w:val="none"/>
        </w:rPr>
        <w:t>.工程承包范围：</w:t>
      </w:r>
      <w:r>
        <w:rPr>
          <w:rFonts w:hint="eastAsia" w:ascii="宋体" w:hAnsi="宋体" w:cs="宋体"/>
          <w:color w:val="auto"/>
          <w:sz w:val="21"/>
          <w:szCs w:val="21"/>
          <w:highlight w:val="none"/>
          <w:u w:val="single"/>
          <w:lang w:val="en-US" w:eastAsia="zh-CN"/>
        </w:rPr>
        <w:t xml:space="preserve">                           </w:t>
      </w:r>
      <w:r>
        <w:rPr>
          <w:rFonts w:hint="eastAsia" w:ascii="宋体" w:hAnsi="宋体" w:cs="宋体"/>
          <w:color w:val="auto"/>
          <w:sz w:val="21"/>
          <w:szCs w:val="21"/>
          <w:highlight w:val="none"/>
          <w:u w:val="none"/>
          <w:lang w:val="en-US" w:eastAsia="zh-CN"/>
        </w:rPr>
        <w:t>。</w:t>
      </w:r>
    </w:p>
    <w:p w14:paraId="41CE42A5">
      <w:pPr>
        <w:pStyle w:val="33"/>
        <w:adjustRightInd w:val="0"/>
        <w:snapToGrid w:val="0"/>
        <w:spacing w:line="400" w:lineRule="exact"/>
        <w:ind w:firstLine="422"/>
        <w:outlineLvl w:val="0"/>
        <w:rPr>
          <w:rFonts w:hint="eastAsia" w:ascii="宋体" w:hAnsi="宋体" w:eastAsia="宋体" w:cs="宋体"/>
          <w:b/>
          <w:color w:val="auto"/>
          <w:sz w:val="21"/>
          <w:szCs w:val="21"/>
          <w:highlight w:val="none"/>
        </w:rPr>
      </w:pPr>
      <w:bookmarkStart w:id="159" w:name="_Toc3754"/>
      <w:bookmarkStart w:id="160" w:name="_Toc406419154"/>
      <w:bookmarkStart w:id="161" w:name="_Toc522201560"/>
      <w:bookmarkStart w:id="162" w:name="_Toc349"/>
      <w:bookmarkStart w:id="163" w:name="_Toc351203482"/>
      <w:bookmarkStart w:id="164" w:name="_Toc406522029"/>
      <w:r>
        <w:rPr>
          <w:rFonts w:hint="eastAsia" w:ascii="宋体" w:hAnsi="宋体" w:eastAsia="宋体" w:cs="宋体"/>
          <w:b/>
          <w:color w:val="auto"/>
          <w:sz w:val="21"/>
          <w:szCs w:val="21"/>
          <w:highlight w:val="none"/>
        </w:rPr>
        <w:t>二、合同工期</w:t>
      </w:r>
      <w:bookmarkEnd w:id="159"/>
      <w:bookmarkEnd w:id="160"/>
      <w:bookmarkEnd w:id="161"/>
      <w:bookmarkEnd w:id="162"/>
      <w:bookmarkEnd w:id="163"/>
      <w:bookmarkEnd w:id="164"/>
    </w:p>
    <w:p w14:paraId="0CFFD562">
      <w:pPr>
        <w:pStyle w:val="32"/>
        <w:adjustRightInd w:val="0"/>
        <w:snapToGrid w:val="0"/>
        <w:spacing w:line="400" w:lineRule="exact"/>
        <w:ind w:firstLine="459"/>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计划开工日期：</w:t>
      </w:r>
      <w:r>
        <w:rPr>
          <w:rFonts w:hint="eastAsia" w:ascii="宋体" w:hAnsi="宋体" w:eastAsia="宋体" w:cs="宋体"/>
          <w:color w:val="auto"/>
          <w:sz w:val="21"/>
          <w:szCs w:val="21"/>
          <w:highlight w:val="none"/>
          <w:u w:val="single"/>
          <w:lang w:val="en-US" w:eastAsia="zh-CN"/>
        </w:rPr>
        <w:t>2024</w:t>
      </w:r>
      <w:r>
        <w:rPr>
          <w:rFonts w:hint="eastAsia" w:ascii="宋体" w:hAnsi="宋体" w:eastAsia="宋体" w:cs="宋体"/>
          <w:color w:val="auto"/>
          <w:sz w:val="21"/>
          <w:szCs w:val="21"/>
          <w:highlight w:val="none"/>
        </w:rPr>
        <w:t>年</w:t>
      </w:r>
      <w:r>
        <w:rPr>
          <w:rFonts w:hint="eastAsia" w:ascii="宋体" w:hAnsi="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rPr>
        <w:t>月</w:t>
      </w:r>
      <w:r>
        <w:rPr>
          <w:rFonts w:hint="eastAsia" w:ascii="宋体" w:hAnsi="宋体" w:eastAsia="宋体" w:cs="宋体"/>
          <w:color w:val="auto"/>
          <w:sz w:val="21"/>
          <w:szCs w:val="21"/>
          <w:highlight w:val="none"/>
          <w:u w:val="single"/>
        </w:rPr>
        <w:t xml:space="preserve"> </w:t>
      </w:r>
      <w:r>
        <w:rPr>
          <w:rFonts w:hint="eastAsia" w:ascii="宋体" w:hAnsi="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日。（实际开工日期以开工令为准）</w:t>
      </w:r>
    </w:p>
    <w:p w14:paraId="67465522">
      <w:pPr>
        <w:pStyle w:val="32"/>
        <w:adjustRightInd w:val="0"/>
        <w:snapToGrid w:val="0"/>
        <w:spacing w:line="400" w:lineRule="exact"/>
        <w:ind w:firstLine="459"/>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计划竣工日期：</w:t>
      </w:r>
      <w:r>
        <w:rPr>
          <w:rFonts w:hint="eastAsia" w:ascii="宋体" w:hAnsi="宋体" w:eastAsia="宋体" w:cs="宋体"/>
          <w:color w:val="auto"/>
          <w:sz w:val="21"/>
          <w:szCs w:val="21"/>
          <w:highlight w:val="none"/>
          <w:u w:val="single"/>
          <w:lang w:val="en-US" w:eastAsia="zh-CN"/>
        </w:rPr>
        <w:t>2024</w:t>
      </w:r>
      <w:r>
        <w:rPr>
          <w:rFonts w:hint="eastAsia" w:ascii="宋体" w:hAnsi="宋体" w:eastAsia="宋体" w:cs="宋体"/>
          <w:color w:val="auto"/>
          <w:sz w:val="21"/>
          <w:szCs w:val="21"/>
          <w:highlight w:val="none"/>
        </w:rPr>
        <w:t>年</w:t>
      </w:r>
      <w:r>
        <w:rPr>
          <w:rFonts w:hint="eastAsia" w:ascii="宋体" w:hAnsi="宋体" w:eastAsia="宋体" w:cs="宋体"/>
          <w:color w:val="auto"/>
          <w:sz w:val="21"/>
          <w:szCs w:val="21"/>
          <w:highlight w:val="none"/>
          <w:u w:val="single"/>
        </w:rPr>
        <w:t xml:space="preserve"> </w:t>
      </w:r>
      <w:r>
        <w:rPr>
          <w:rFonts w:hint="eastAsia" w:ascii="宋体" w:hAnsi="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月</w:t>
      </w:r>
      <w:r>
        <w:rPr>
          <w:rFonts w:hint="eastAsia" w:ascii="宋体" w:hAnsi="宋体" w:eastAsia="宋体" w:cs="宋体"/>
          <w:color w:val="auto"/>
          <w:sz w:val="21"/>
          <w:szCs w:val="21"/>
          <w:highlight w:val="none"/>
          <w:u w:val="single"/>
        </w:rPr>
        <w:t xml:space="preserve"> </w:t>
      </w:r>
      <w:r>
        <w:rPr>
          <w:rFonts w:hint="eastAsia" w:ascii="宋体" w:hAnsi="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日。</w:t>
      </w:r>
    </w:p>
    <w:p w14:paraId="3CF53DE6">
      <w:pPr>
        <w:pStyle w:val="32"/>
        <w:adjustRightInd w:val="0"/>
        <w:snapToGrid w:val="0"/>
        <w:spacing w:line="400" w:lineRule="exact"/>
        <w:ind w:firstLine="459"/>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工期总日历天数：</w:t>
      </w:r>
      <w:r>
        <w:rPr>
          <w:rFonts w:hint="eastAsia" w:ascii="宋体" w:hAnsi="宋体" w:cs="宋体"/>
          <w:color w:val="auto"/>
          <w:sz w:val="21"/>
          <w:szCs w:val="21"/>
          <w:highlight w:val="none"/>
          <w:u w:val="single"/>
          <w:lang w:val="en-US" w:eastAsia="zh-CN"/>
        </w:rPr>
        <w:t>50</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天。工期总日历天数与根据前述计划开竣工日期计算的工期天数不一致的，以工期总日历天数为准。</w:t>
      </w:r>
    </w:p>
    <w:p w14:paraId="722138FF">
      <w:pPr>
        <w:pStyle w:val="33"/>
        <w:adjustRightInd w:val="0"/>
        <w:snapToGrid w:val="0"/>
        <w:spacing w:line="400" w:lineRule="exact"/>
        <w:ind w:firstLine="422"/>
        <w:outlineLvl w:val="0"/>
        <w:rPr>
          <w:rFonts w:hint="eastAsia" w:ascii="宋体" w:hAnsi="宋体" w:eastAsia="宋体" w:cs="宋体"/>
          <w:b/>
          <w:color w:val="auto"/>
          <w:sz w:val="21"/>
          <w:szCs w:val="21"/>
          <w:highlight w:val="none"/>
        </w:rPr>
      </w:pPr>
      <w:bookmarkStart w:id="165" w:name="_Toc522201561"/>
      <w:bookmarkStart w:id="166" w:name="_Toc351203483"/>
      <w:bookmarkStart w:id="167" w:name="_Toc15140"/>
      <w:bookmarkStart w:id="168" w:name="_Toc21915"/>
      <w:bookmarkStart w:id="169" w:name="_Toc406522030"/>
      <w:bookmarkStart w:id="170" w:name="_Toc406419155"/>
      <w:r>
        <w:rPr>
          <w:rFonts w:hint="eastAsia" w:ascii="宋体" w:hAnsi="宋体" w:eastAsia="宋体" w:cs="宋体"/>
          <w:b/>
          <w:color w:val="auto"/>
          <w:sz w:val="21"/>
          <w:szCs w:val="21"/>
          <w:highlight w:val="none"/>
        </w:rPr>
        <w:t>三、质量标准</w:t>
      </w:r>
      <w:bookmarkEnd w:id="165"/>
      <w:bookmarkEnd w:id="166"/>
      <w:bookmarkEnd w:id="167"/>
      <w:bookmarkEnd w:id="168"/>
      <w:bookmarkEnd w:id="169"/>
      <w:bookmarkEnd w:id="170"/>
    </w:p>
    <w:p w14:paraId="2C7D712D">
      <w:pPr>
        <w:tabs>
          <w:tab w:val="left" w:pos="210"/>
        </w:tabs>
        <w:spacing w:line="36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质量标准：</w:t>
      </w:r>
      <w:r>
        <w:rPr>
          <w:rFonts w:hint="eastAsia" w:ascii="宋体" w:hAnsi="宋体" w:eastAsia="宋体" w:cs="宋体"/>
          <w:color w:val="auto"/>
          <w:sz w:val="21"/>
          <w:szCs w:val="21"/>
          <w:highlight w:val="none"/>
          <w:lang w:eastAsia="zh-CN"/>
        </w:rPr>
        <w:t>达到国家施工验收规范合格标准</w:t>
      </w:r>
      <w:r>
        <w:rPr>
          <w:rFonts w:hint="eastAsia" w:ascii="宋体" w:hAnsi="宋体" w:eastAsia="宋体" w:cs="宋体"/>
          <w:color w:val="auto"/>
          <w:sz w:val="21"/>
          <w:szCs w:val="21"/>
          <w:highlight w:val="none"/>
        </w:rPr>
        <w:t>。</w:t>
      </w:r>
    </w:p>
    <w:p w14:paraId="24BF4E5F">
      <w:pPr>
        <w:pStyle w:val="33"/>
        <w:adjustRightInd w:val="0"/>
        <w:snapToGrid w:val="0"/>
        <w:spacing w:line="400" w:lineRule="exact"/>
        <w:ind w:firstLine="422"/>
        <w:outlineLvl w:val="0"/>
        <w:rPr>
          <w:rFonts w:hint="eastAsia" w:ascii="宋体" w:hAnsi="宋体" w:eastAsia="宋体" w:cs="宋体"/>
          <w:b/>
          <w:color w:val="auto"/>
          <w:sz w:val="21"/>
          <w:szCs w:val="21"/>
          <w:highlight w:val="none"/>
        </w:rPr>
      </w:pPr>
      <w:bookmarkStart w:id="171" w:name="_Toc8031"/>
      <w:bookmarkStart w:id="172" w:name="_Toc406419156"/>
      <w:bookmarkStart w:id="173" w:name="_Toc351203484"/>
      <w:bookmarkStart w:id="174" w:name="_Toc522201562"/>
      <w:bookmarkStart w:id="175" w:name="_Toc406522031"/>
      <w:bookmarkStart w:id="176" w:name="_Toc20328"/>
      <w:r>
        <w:rPr>
          <w:rFonts w:hint="eastAsia" w:ascii="宋体" w:hAnsi="宋体" w:eastAsia="宋体" w:cs="宋体"/>
          <w:b/>
          <w:color w:val="auto"/>
          <w:sz w:val="21"/>
          <w:szCs w:val="21"/>
          <w:highlight w:val="none"/>
        </w:rPr>
        <w:t>四、签约合同价与合同价格形式</w:t>
      </w:r>
      <w:bookmarkEnd w:id="171"/>
      <w:bookmarkEnd w:id="172"/>
      <w:bookmarkEnd w:id="173"/>
      <w:bookmarkEnd w:id="174"/>
      <w:bookmarkEnd w:id="175"/>
      <w:bookmarkEnd w:id="176"/>
    </w:p>
    <w:p w14:paraId="440A7ED7">
      <w:pPr>
        <w:pStyle w:val="32"/>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 签约合同价为：人民币大写</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(小写¥</w:t>
      </w:r>
      <w:r>
        <w:rPr>
          <w:rFonts w:hint="eastAsia" w:ascii="宋体" w:hAnsi="宋体" w:eastAsia="宋体" w:cs="宋体"/>
          <w:color w:val="auto"/>
          <w:sz w:val="21"/>
          <w:szCs w:val="21"/>
          <w:highlight w:val="none"/>
          <w:u w:val="single"/>
        </w:rPr>
        <w:t xml:space="preserve">  </w:t>
      </w:r>
      <w:r>
        <w:rPr>
          <w:rFonts w:hint="eastAsia" w:ascii="宋体" w:hAnsi="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元)。以实际完成工程量编制结算报告，</w:t>
      </w:r>
      <w:r>
        <w:rPr>
          <w:rFonts w:hint="eastAsia" w:ascii="宋体" w:hAnsi="宋体" w:cs="宋体"/>
          <w:color w:val="auto"/>
          <w:sz w:val="21"/>
          <w:szCs w:val="21"/>
          <w:highlight w:val="none"/>
          <w:lang w:eastAsia="zh-CN"/>
        </w:rPr>
        <w:t>报告</w:t>
      </w:r>
      <w:r>
        <w:rPr>
          <w:rFonts w:hint="eastAsia" w:ascii="宋体" w:hAnsi="宋体" w:eastAsia="宋体" w:cs="宋体"/>
          <w:color w:val="auto"/>
          <w:sz w:val="21"/>
          <w:szCs w:val="21"/>
          <w:highlight w:val="none"/>
        </w:rPr>
        <w:t>由建设单位委托具有造价咨询资质单位审核的双方确认的结算造价作为本项目正式合同价进行结算。</w:t>
      </w:r>
    </w:p>
    <w:p w14:paraId="7ECDC953">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 合同价格形式：</w:t>
      </w:r>
      <w:r>
        <w:rPr>
          <w:rFonts w:hint="eastAsia" w:ascii="宋体" w:hAnsi="宋体" w:eastAsia="宋体" w:cs="宋体"/>
          <w:color w:val="auto"/>
          <w:sz w:val="21"/>
          <w:szCs w:val="21"/>
          <w:highlight w:val="none"/>
          <w:u w:val="single"/>
        </w:rPr>
        <w:t>采用固定综合单价合同形式</w:t>
      </w:r>
      <w:r>
        <w:rPr>
          <w:rFonts w:hint="eastAsia" w:ascii="宋体" w:hAnsi="宋体" w:eastAsia="宋体" w:cs="宋体"/>
          <w:color w:val="auto"/>
          <w:sz w:val="21"/>
          <w:szCs w:val="21"/>
          <w:highlight w:val="none"/>
        </w:rPr>
        <w:t>。</w:t>
      </w:r>
    </w:p>
    <w:p w14:paraId="42E19C73">
      <w:pPr>
        <w:pStyle w:val="33"/>
        <w:adjustRightInd w:val="0"/>
        <w:snapToGrid w:val="0"/>
        <w:spacing w:line="400" w:lineRule="exact"/>
        <w:ind w:firstLine="422"/>
        <w:outlineLvl w:val="0"/>
        <w:rPr>
          <w:rFonts w:hint="eastAsia" w:ascii="宋体" w:hAnsi="宋体" w:eastAsia="宋体" w:cs="宋体"/>
          <w:b/>
          <w:color w:val="auto"/>
          <w:sz w:val="21"/>
          <w:szCs w:val="21"/>
          <w:highlight w:val="none"/>
        </w:rPr>
      </w:pPr>
      <w:bookmarkStart w:id="177" w:name="_Toc351203485"/>
      <w:bookmarkStart w:id="178" w:name="_Toc10860"/>
      <w:bookmarkStart w:id="179" w:name="_Toc406522032"/>
      <w:bookmarkStart w:id="180" w:name="_Toc522201563"/>
      <w:bookmarkStart w:id="181" w:name="_Toc2133"/>
      <w:bookmarkStart w:id="182" w:name="_Toc406419157"/>
      <w:r>
        <w:rPr>
          <w:rFonts w:hint="eastAsia" w:ascii="宋体" w:hAnsi="宋体" w:eastAsia="宋体" w:cs="宋体"/>
          <w:b/>
          <w:color w:val="auto"/>
          <w:sz w:val="21"/>
          <w:szCs w:val="21"/>
          <w:highlight w:val="none"/>
        </w:rPr>
        <w:t>五、</w:t>
      </w:r>
      <w:bookmarkEnd w:id="177"/>
      <w:r>
        <w:rPr>
          <w:rFonts w:hint="eastAsia" w:ascii="宋体" w:hAnsi="宋体" w:eastAsia="宋体" w:cs="宋体"/>
          <w:b/>
          <w:color w:val="auto"/>
          <w:sz w:val="21"/>
          <w:szCs w:val="21"/>
          <w:highlight w:val="none"/>
        </w:rPr>
        <w:t>项目经理</w:t>
      </w:r>
      <w:bookmarkEnd w:id="178"/>
      <w:bookmarkEnd w:id="179"/>
      <w:bookmarkEnd w:id="180"/>
      <w:bookmarkEnd w:id="181"/>
      <w:bookmarkEnd w:id="182"/>
    </w:p>
    <w:p w14:paraId="1B1F46CE">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承包人项目经理：</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none"/>
          <w:lang w:eastAsia="zh-CN"/>
        </w:rPr>
        <w:t>；</w:t>
      </w:r>
      <w:r>
        <w:rPr>
          <w:rFonts w:hint="eastAsia" w:ascii="宋体" w:hAnsi="宋体" w:eastAsia="宋体" w:cs="宋体"/>
          <w:color w:val="auto"/>
          <w:sz w:val="21"/>
          <w:szCs w:val="21"/>
          <w:highlight w:val="none"/>
          <w:u w:val="none"/>
          <w:lang w:val="en-US" w:eastAsia="zh-CN"/>
        </w:rPr>
        <w:t>联系方式：</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rPr>
        <w:t>。</w:t>
      </w:r>
    </w:p>
    <w:p w14:paraId="6EFA3918">
      <w:pPr>
        <w:pStyle w:val="33"/>
        <w:adjustRightInd w:val="0"/>
        <w:snapToGrid w:val="0"/>
        <w:spacing w:line="400" w:lineRule="exact"/>
        <w:ind w:firstLine="422"/>
        <w:outlineLvl w:val="0"/>
        <w:rPr>
          <w:rFonts w:hint="eastAsia" w:ascii="宋体" w:hAnsi="宋体" w:eastAsia="宋体" w:cs="宋体"/>
          <w:b/>
          <w:color w:val="auto"/>
          <w:sz w:val="21"/>
          <w:szCs w:val="21"/>
          <w:highlight w:val="none"/>
        </w:rPr>
      </w:pPr>
      <w:bookmarkStart w:id="183" w:name="_Toc406522033"/>
      <w:bookmarkStart w:id="184" w:name="_Toc522201564"/>
      <w:bookmarkStart w:id="185" w:name="_Toc351203486"/>
      <w:bookmarkStart w:id="186" w:name="_Toc29699"/>
      <w:bookmarkStart w:id="187" w:name="_Toc23735"/>
      <w:bookmarkStart w:id="188" w:name="_Toc406419158"/>
      <w:r>
        <w:rPr>
          <w:rFonts w:hint="eastAsia" w:ascii="宋体" w:hAnsi="宋体" w:eastAsia="宋体" w:cs="宋体"/>
          <w:b/>
          <w:color w:val="auto"/>
          <w:sz w:val="21"/>
          <w:szCs w:val="21"/>
          <w:highlight w:val="none"/>
        </w:rPr>
        <w:t>六、合同文件构成</w:t>
      </w:r>
      <w:bookmarkEnd w:id="183"/>
      <w:bookmarkEnd w:id="184"/>
      <w:bookmarkEnd w:id="185"/>
      <w:bookmarkEnd w:id="186"/>
      <w:bookmarkEnd w:id="187"/>
      <w:bookmarkEnd w:id="188"/>
    </w:p>
    <w:p w14:paraId="39DCF2A2">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bookmarkStart w:id="189" w:name="_Toc406419159"/>
      <w:bookmarkStart w:id="190" w:name="_Toc7021"/>
      <w:bookmarkStart w:id="191" w:name="_Toc351203487"/>
      <w:bookmarkStart w:id="192" w:name="_Toc406522034"/>
      <w:r>
        <w:rPr>
          <w:rFonts w:hint="eastAsia" w:ascii="宋体" w:hAnsi="宋体" w:eastAsia="宋体" w:cs="宋体"/>
          <w:color w:val="auto"/>
          <w:sz w:val="21"/>
          <w:szCs w:val="21"/>
          <w:highlight w:val="none"/>
        </w:rPr>
        <w:t>本协议书与下列文件一起构成合同文件：</w:t>
      </w:r>
    </w:p>
    <w:p w14:paraId="2113A88B">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（1）中标通知书（如果有）；</w:t>
      </w:r>
    </w:p>
    <w:p w14:paraId="2AC3F5A8">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（2）投标函及其附录（如果有）； </w:t>
      </w:r>
    </w:p>
    <w:p w14:paraId="05A95847">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（3）专用合同条款及其附件；</w:t>
      </w:r>
    </w:p>
    <w:p w14:paraId="126A80BD">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（4）通用合同条款；</w:t>
      </w:r>
    </w:p>
    <w:p w14:paraId="7F8761D7">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（5）技术标准和要求；</w:t>
      </w:r>
    </w:p>
    <w:p w14:paraId="1D296AAE">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（6）图纸；</w:t>
      </w:r>
    </w:p>
    <w:p w14:paraId="51ADAF65">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（7）已标价工程量清单或预算书；</w:t>
      </w:r>
    </w:p>
    <w:p w14:paraId="25FCFC7D">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（8）其他合同文件。</w:t>
      </w:r>
    </w:p>
    <w:p w14:paraId="54905D7B">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在合同订立及履行过程中形成的与合同有关的文件均构成合同文件组成部分。</w:t>
      </w:r>
    </w:p>
    <w:p w14:paraId="3FC75480">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上述各项合同文件包括合同当事人就该项合同文件所作出的补充和修改，属于同一类内容的文件，应以最新签署的为准。专用合同条款及其附件须经合同当事人签字或盖章。</w:t>
      </w:r>
    </w:p>
    <w:p w14:paraId="0CCE12B4">
      <w:pPr>
        <w:pStyle w:val="33"/>
        <w:adjustRightInd w:val="0"/>
        <w:snapToGrid w:val="0"/>
        <w:spacing w:line="400" w:lineRule="exact"/>
        <w:ind w:firstLine="422"/>
        <w:outlineLvl w:val="0"/>
        <w:rPr>
          <w:rFonts w:hint="eastAsia" w:ascii="宋体" w:hAnsi="宋体" w:eastAsia="宋体" w:cs="宋体"/>
          <w:b/>
          <w:color w:val="auto"/>
          <w:sz w:val="21"/>
          <w:szCs w:val="21"/>
          <w:highlight w:val="none"/>
        </w:rPr>
      </w:pPr>
      <w:bookmarkStart w:id="193" w:name="_Toc4424"/>
      <w:bookmarkStart w:id="194" w:name="_Toc522201565"/>
      <w:r>
        <w:rPr>
          <w:rFonts w:hint="eastAsia" w:ascii="宋体" w:hAnsi="宋体" w:eastAsia="宋体" w:cs="宋体"/>
          <w:b/>
          <w:color w:val="auto"/>
          <w:sz w:val="21"/>
          <w:szCs w:val="21"/>
          <w:highlight w:val="none"/>
        </w:rPr>
        <w:t>七、承诺</w:t>
      </w:r>
      <w:bookmarkEnd w:id="189"/>
      <w:bookmarkEnd w:id="190"/>
      <w:bookmarkEnd w:id="191"/>
      <w:bookmarkEnd w:id="192"/>
      <w:bookmarkEnd w:id="193"/>
      <w:bookmarkEnd w:id="194"/>
    </w:p>
    <w:p w14:paraId="27BB190F">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bookmarkStart w:id="195" w:name="_Toc11962"/>
      <w:bookmarkStart w:id="196" w:name="_Toc351203488"/>
      <w:bookmarkStart w:id="197" w:name="_Toc406522035"/>
      <w:bookmarkStart w:id="198" w:name="_Toc406419160"/>
      <w:r>
        <w:rPr>
          <w:rFonts w:hint="eastAsia" w:ascii="宋体" w:hAnsi="宋体" w:eastAsia="宋体" w:cs="宋体"/>
          <w:color w:val="auto"/>
          <w:sz w:val="21"/>
          <w:szCs w:val="21"/>
          <w:highlight w:val="none"/>
        </w:rPr>
        <w:t>1.发包人承诺按照法律规定履行项目审批手续、筹集工程建设资金并按照合同约定的期限和方式支付合同价款。</w:t>
      </w:r>
    </w:p>
    <w:p w14:paraId="1240FAF4">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2.承包人承诺按照法律规定及合同约定组织完成工程施工，确保工程质量和安全，不进行转包及违法分包，并在缺陷责任期及保修期内承担相应的工程维修责任。</w:t>
      </w:r>
    </w:p>
    <w:p w14:paraId="1B686DAF">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3.发包人和承包人通过招投标形式签订合同的，双方理解并承诺不再就同一工程另行签订与合同实质性内容相背离的协议。</w:t>
      </w:r>
    </w:p>
    <w:p w14:paraId="019E3375">
      <w:pPr>
        <w:pStyle w:val="33"/>
        <w:adjustRightInd w:val="0"/>
        <w:snapToGrid w:val="0"/>
        <w:spacing w:line="400" w:lineRule="exact"/>
        <w:ind w:firstLine="422"/>
        <w:outlineLvl w:val="0"/>
        <w:rPr>
          <w:rFonts w:hint="eastAsia" w:ascii="宋体" w:hAnsi="宋体" w:eastAsia="宋体" w:cs="宋体"/>
          <w:b/>
          <w:color w:val="auto"/>
          <w:sz w:val="21"/>
          <w:szCs w:val="21"/>
          <w:highlight w:val="none"/>
        </w:rPr>
      </w:pPr>
      <w:bookmarkStart w:id="199" w:name="_Toc28024"/>
      <w:bookmarkStart w:id="200" w:name="_Toc522201566"/>
      <w:r>
        <w:rPr>
          <w:rFonts w:hint="eastAsia" w:ascii="宋体" w:hAnsi="宋体" w:eastAsia="宋体" w:cs="宋体"/>
          <w:b/>
          <w:color w:val="auto"/>
          <w:sz w:val="21"/>
          <w:szCs w:val="21"/>
          <w:highlight w:val="none"/>
        </w:rPr>
        <w:t>八、词语含义</w:t>
      </w:r>
      <w:bookmarkEnd w:id="195"/>
      <w:bookmarkEnd w:id="196"/>
      <w:bookmarkEnd w:id="197"/>
      <w:bookmarkEnd w:id="198"/>
      <w:bookmarkEnd w:id="199"/>
      <w:bookmarkEnd w:id="200"/>
    </w:p>
    <w:p w14:paraId="4C1BBDD3">
      <w:pPr>
        <w:pStyle w:val="32"/>
        <w:adjustRightInd w:val="0"/>
        <w:snapToGrid w:val="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本协议书中词语含义与第二部分通用合同条款中赋予的含义相同。</w:t>
      </w:r>
    </w:p>
    <w:p w14:paraId="18CCA87F">
      <w:pPr>
        <w:pStyle w:val="33"/>
        <w:adjustRightInd w:val="0"/>
        <w:snapToGrid w:val="0"/>
        <w:spacing w:line="400" w:lineRule="exact"/>
        <w:ind w:firstLine="422"/>
        <w:outlineLvl w:val="0"/>
        <w:rPr>
          <w:rFonts w:hint="eastAsia" w:ascii="宋体" w:hAnsi="宋体" w:eastAsia="宋体" w:cs="宋体"/>
          <w:b/>
          <w:color w:val="auto"/>
          <w:sz w:val="21"/>
          <w:szCs w:val="21"/>
          <w:highlight w:val="none"/>
        </w:rPr>
      </w:pPr>
      <w:bookmarkStart w:id="201" w:name="_Toc406419161"/>
      <w:bookmarkStart w:id="202" w:name="_Toc32285"/>
      <w:bookmarkStart w:id="203" w:name="_Toc522201567"/>
      <w:bookmarkStart w:id="204" w:name="_Toc406522036"/>
      <w:bookmarkStart w:id="205" w:name="_Toc351203489"/>
      <w:bookmarkStart w:id="206" w:name="_Toc22011"/>
      <w:r>
        <w:rPr>
          <w:rFonts w:hint="eastAsia" w:ascii="宋体" w:hAnsi="宋体" w:eastAsia="宋体" w:cs="宋体"/>
          <w:b/>
          <w:color w:val="auto"/>
          <w:sz w:val="21"/>
          <w:szCs w:val="21"/>
          <w:highlight w:val="none"/>
        </w:rPr>
        <w:t>九、签订时间</w:t>
      </w:r>
      <w:bookmarkEnd w:id="201"/>
      <w:bookmarkEnd w:id="202"/>
      <w:bookmarkEnd w:id="203"/>
      <w:bookmarkEnd w:id="204"/>
      <w:bookmarkEnd w:id="205"/>
      <w:bookmarkEnd w:id="206"/>
    </w:p>
    <w:p w14:paraId="513AFE09">
      <w:pPr>
        <w:pStyle w:val="32"/>
        <w:adjustRightInd w:val="0"/>
        <w:snapToGrid w:val="0"/>
        <w:spacing w:line="400" w:lineRule="exact"/>
        <w:ind w:firstLine="420" w:firstLineChars="200"/>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本合同于</w:t>
      </w:r>
      <w:r>
        <w:rPr>
          <w:rFonts w:hint="eastAsia" w:ascii="宋体" w:hAnsi="宋体" w:eastAsia="宋体" w:cs="宋体"/>
          <w:bCs/>
          <w:color w:val="auto"/>
          <w:sz w:val="21"/>
          <w:szCs w:val="21"/>
          <w:highlight w:val="none"/>
          <w:u w:val="single"/>
        </w:rPr>
        <w:t xml:space="preserve">  </w:t>
      </w:r>
      <w:r>
        <w:rPr>
          <w:rFonts w:hint="eastAsia" w:ascii="宋体" w:hAnsi="宋体" w:cs="宋体"/>
          <w:bCs/>
          <w:color w:val="auto"/>
          <w:sz w:val="21"/>
          <w:szCs w:val="21"/>
          <w:highlight w:val="none"/>
          <w:u w:val="single"/>
          <w:lang w:val="en-US" w:eastAsia="zh-CN"/>
        </w:rPr>
        <w:t xml:space="preserve">   </w:t>
      </w:r>
      <w:r>
        <w:rPr>
          <w:rFonts w:hint="eastAsia" w:ascii="宋体" w:hAnsi="宋体" w:eastAsia="宋体" w:cs="宋体"/>
          <w:bCs/>
          <w:color w:val="auto"/>
          <w:sz w:val="21"/>
          <w:szCs w:val="21"/>
          <w:highlight w:val="none"/>
        </w:rPr>
        <w:t>年</w:t>
      </w:r>
      <w:r>
        <w:rPr>
          <w:rFonts w:hint="eastAsia" w:ascii="宋体" w:hAnsi="宋体" w:eastAsia="宋体" w:cs="宋体"/>
          <w:bCs/>
          <w:color w:val="auto"/>
          <w:sz w:val="21"/>
          <w:szCs w:val="21"/>
          <w:highlight w:val="none"/>
          <w:u w:val="single"/>
          <w:lang w:val="en-US" w:eastAsia="zh-CN"/>
        </w:rPr>
        <w:t xml:space="preserve"> </w:t>
      </w:r>
      <w:r>
        <w:rPr>
          <w:rFonts w:hint="eastAsia" w:ascii="宋体" w:hAnsi="宋体" w:cs="宋体"/>
          <w:bCs/>
          <w:color w:val="auto"/>
          <w:sz w:val="21"/>
          <w:szCs w:val="21"/>
          <w:highlight w:val="none"/>
          <w:u w:val="single"/>
          <w:lang w:val="en-US" w:eastAsia="zh-CN"/>
        </w:rPr>
        <w:t xml:space="preserve">  </w:t>
      </w:r>
      <w:r>
        <w:rPr>
          <w:rFonts w:hint="eastAsia" w:ascii="宋体" w:hAnsi="宋体" w:eastAsia="宋体" w:cs="宋体"/>
          <w:bCs/>
          <w:color w:val="auto"/>
          <w:sz w:val="21"/>
          <w:szCs w:val="21"/>
          <w:highlight w:val="none"/>
          <w:u w:val="single"/>
        </w:rPr>
        <w:t xml:space="preserve"> </w:t>
      </w:r>
      <w:r>
        <w:rPr>
          <w:rFonts w:hint="eastAsia" w:ascii="宋体" w:hAnsi="宋体" w:cs="宋体"/>
          <w:bCs/>
          <w:color w:val="auto"/>
          <w:sz w:val="21"/>
          <w:szCs w:val="21"/>
          <w:highlight w:val="none"/>
          <w:u w:val="single"/>
          <w:lang w:val="en-US" w:eastAsia="zh-CN"/>
        </w:rPr>
        <w:t xml:space="preserve"> </w:t>
      </w:r>
      <w:r>
        <w:rPr>
          <w:rFonts w:hint="eastAsia" w:ascii="宋体" w:hAnsi="宋体" w:eastAsia="宋体" w:cs="宋体"/>
          <w:bCs/>
          <w:color w:val="auto"/>
          <w:sz w:val="21"/>
          <w:szCs w:val="21"/>
          <w:highlight w:val="none"/>
        </w:rPr>
        <w:t>月</w:t>
      </w:r>
      <w:r>
        <w:rPr>
          <w:rFonts w:hint="eastAsia" w:ascii="宋体" w:hAnsi="宋体" w:eastAsia="宋体" w:cs="宋体"/>
          <w:bCs/>
          <w:color w:val="auto"/>
          <w:sz w:val="21"/>
          <w:szCs w:val="21"/>
          <w:highlight w:val="none"/>
          <w:u w:val="single"/>
        </w:rPr>
        <w:t xml:space="preserve"> </w:t>
      </w:r>
      <w:r>
        <w:rPr>
          <w:rFonts w:hint="eastAsia" w:ascii="宋体" w:hAnsi="宋体" w:cs="宋体"/>
          <w:bCs/>
          <w:color w:val="auto"/>
          <w:sz w:val="21"/>
          <w:szCs w:val="21"/>
          <w:highlight w:val="none"/>
          <w:u w:val="single"/>
          <w:lang w:val="en-US" w:eastAsia="zh-CN"/>
        </w:rPr>
        <w:t xml:space="preserve">   </w:t>
      </w:r>
      <w:r>
        <w:rPr>
          <w:rFonts w:hint="eastAsia" w:ascii="宋体" w:hAnsi="宋体" w:eastAsia="宋体" w:cs="宋体"/>
          <w:bCs/>
          <w:color w:val="auto"/>
          <w:sz w:val="21"/>
          <w:szCs w:val="21"/>
          <w:highlight w:val="none"/>
          <w:u w:val="single"/>
        </w:rPr>
        <w:t xml:space="preserve"> </w:t>
      </w:r>
      <w:r>
        <w:rPr>
          <w:rFonts w:hint="eastAsia" w:ascii="宋体" w:hAnsi="宋体" w:eastAsia="宋体" w:cs="宋体"/>
          <w:bCs/>
          <w:color w:val="auto"/>
          <w:sz w:val="21"/>
          <w:szCs w:val="21"/>
          <w:highlight w:val="none"/>
        </w:rPr>
        <w:t>日签订。</w:t>
      </w:r>
    </w:p>
    <w:p w14:paraId="080D6D70">
      <w:pPr>
        <w:pStyle w:val="33"/>
        <w:adjustRightInd w:val="0"/>
        <w:snapToGrid w:val="0"/>
        <w:spacing w:line="400" w:lineRule="exact"/>
        <w:ind w:firstLine="422"/>
        <w:outlineLvl w:val="0"/>
        <w:rPr>
          <w:rFonts w:hint="eastAsia" w:ascii="宋体" w:hAnsi="宋体" w:eastAsia="宋体" w:cs="宋体"/>
          <w:b/>
          <w:color w:val="auto"/>
          <w:sz w:val="21"/>
          <w:szCs w:val="21"/>
          <w:highlight w:val="none"/>
        </w:rPr>
      </w:pPr>
      <w:bookmarkStart w:id="207" w:name="_Toc522201568"/>
      <w:bookmarkStart w:id="208" w:name="_Toc406522037"/>
      <w:bookmarkStart w:id="209" w:name="_Toc351203490"/>
      <w:bookmarkStart w:id="210" w:name="_Toc406419162"/>
      <w:bookmarkStart w:id="211" w:name="_Toc3692"/>
      <w:bookmarkStart w:id="212" w:name="_Toc22784"/>
      <w:r>
        <w:rPr>
          <w:rFonts w:hint="eastAsia" w:ascii="宋体" w:hAnsi="宋体" w:eastAsia="宋体" w:cs="宋体"/>
          <w:b/>
          <w:color w:val="auto"/>
          <w:sz w:val="21"/>
          <w:szCs w:val="21"/>
          <w:highlight w:val="none"/>
        </w:rPr>
        <w:t>十、签订地点</w:t>
      </w:r>
      <w:bookmarkEnd w:id="207"/>
      <w:bookmarkEnd w:id="208"/>
      <w:bookmarkEnd w:id="209"/>
      <w:bookmarkEnd w:id="210"/>
      <w:bookmarkEnd w:id="211"/>
      <w:bookmarkEnd w:id="212"/>
    </w:p>
    <w:p w14:paraId="7625D295">
      <w:pPr>
        <w:pStyle w:val="32"/>
        <w:adjustRightInd w:val="0"/>
        <w:snapToGrid w:val="0"/>
        <w:spacing w:line="400" w:lineRule="exact"/>
        <w:ind w:firstLine="420" w:firstLineChars="200"/>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本合同在</w:t>
      </w:r>
      <w:r>
        <w:rPr>
          <w:rFonts w:hint="eastAsia" w:ascii="宋体" w:hAnsi="宋体" w:eastAsia="宋体" w:cs="宋体"/>
          <w:bCs/>
          <w:color w:val="auto"/>
          <w:sz w:val="21"/>
          <w:szCs w:val="21"/>
          <w:highlight w:val="none"/>
          <w:u w:val="single"/>
        </w:rPr>
        <w:t xml:space="preserve">  </w:t>
      </w:r>
      <w:r>
        <w:rPr>
          <w:rFonts w:hint="eastAsia" w:ascii="宋体" w:hAnsi="宋体" w:cs="宋体"/>
          <w:bCs/>
          <w:color w:val="auto"/>
          <w:sz w:val="21"/>
          <w:szCs w:val="21"/>
          <w:highlight w:val="none"/>
          <w:u w:val="single"/>
          <w:lang w:val="en-US" w:eastAsia="zh-CN"/>
        </w:rPr>
        <w:t xml:space="preserve">                  </w:t>
      </w:r>
      <w:r>
        <w:rPr>
          <w:rFonts w:hint="eastAsia" w:ascii="宋体" w:hAnsi="宋体" w:eastAsia="宋体" w:cs="宋体"/>
          <w:bCs/>
          <w:color w:val="auto"/>
          <w:sz w:val="21"/>
          <w:szCs w:val="21"/>
          <w:highlight w:val="none"/>
          <w:u w:val="single"/>
        </w:rPr>
        <w:t xml:space="preserve"> </w:t>
      </w:r>
      <w:r>
        <w:rPr>
          <w:rFonts w:hint="eastAsia" w:ascii="宋体" w:hAnsi="宋体" w:eastAsia="宋体" w:cs="宋体"/>
          <w:bCs/>
          <w:color w:val="auto"/>
          <w:sz w:val="21"/>
          <w:szCs w:val="21"/>
          <w:highlight w:val="none"/>
        </w:rPr>
        <w:t>签订。</w:t>
      </w:r>
    </w:p>
    <w:p w14:paraId="366404F3">
      <w:pPr>
        <w:pStyle w:val="33"/>
        <w:adjustRightInd w:val="0"/>
        <w:snapToGrid w:val="0"/>
        <w:spacing w:line="400" w:lineRule="exact"/>
        <w:ind w:firstLine="422"/>
        <w:outlineLvl w:val="0"/>
        <w:rPr>
          <w:rFonts w:hint="eastAsia" w:ascii="宋体" w:hAnsi="宋体" w:eastAsia="宋体" w:cs="宋体"/>
          <w:b/>
          <w:color w:val="auto"/>
          <w:sz w:val="21"/>
          <w:szCs w:val="21"/>
          <w:highlight w:val="none"/>
        </w:rPr>
      </w:pPr>
      <w:bookmarkStart w:id="213" w:name="_Toc406419163"/>
      <w:bookmarkStart w:id="214" w:name="_Toc9576"/>
      <w:bookmarkStart w:id="215" w:name="_Toc522201569"/>
      <w:bookmarkStart w:id="216" w:name="_Toc27791"/>
      <w:bookmarkStart w:id="217" w:name="_Toc351203491"/>
      <w:bookmarkStart w:id="218" w:name="_Toc406522038"/>
      <w:r>
        <w:rPr>
          <w:rFonts w:hint="eastAsia" w:ascii="宋体" w:hAnsi="宋体" w:eastAsia="宋体" w:cs="宋体"/>
          <w:b/>
          <w:color w:val="auto"/>
          <w:sz w:val="21"/>
          <w:szCs w:val="21"/>
          <w:highlight w:val="none"/>
        </w:rPr>
        <w:t>十一、补充协议</w:t>
      </w:r>
      <w:bookmarkEnd w:id="213"/>
      <w:bookmarkEnd w:id="214"/>
      <w:bookmarkEnd w:id="215"/>
      <w:bookmarkEnd w:id="216"/>
      <w:bookmarkEnd w:id="217"/>
      <w:bookmarkEnd w:id="218"/>
    </w:p>
    <w:p w14:paraId="30C15695">
      <w:pPr>
        <w:pStyle w:val="32"/>
        <w:adjustRightInd w:val="0"/>
        <w:snapToGrid w:val="0"/>
        <w:spacing w:line="400" w:lineRule="exact"/>
        <w:ind w:firstLine="420" w:firstLineChars="200"/>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合同未尽事宜，合同当事人另行签订补充协议，补充协议是合同的组成部分。</w:t>
      </w:r>
    </w:p>
    <w:p w14:paraId="311D86D7">
      <w:pPr>
        <w:pStyle w:val="33"/>
        <w:adjustRightInd w:val="0"/>
        <w:snapToGrid w:val="0"/>
        <w:spacing w:line="400" w:lineRule="exact"/>
        <w:ind w:firstLine="422"/>
        <w:outlineLvl w:val="0"/>
        <w:rPr>
          <w:rFonts w:hint="eastAsia" w:ascii="宋体" w:hAnsi="宋体" w:eastAsia="宋体" w:cs="宋体"/>
          <w:b/>
          <w:color w:val="auto"/>
          <w:sz w:val="21"/>
          <w:szCs w:val="21"/>
          <w:highlight w:val="none"/>
        </w:rPr>
      </w:pPr>
      <w:bookmarkStart w:id="219" w:name="_Toc351203492"/>
      <w:bookmarkStart w:id="220" w:name="_Toc9517"/>
      <w:bookmarkStart w:id="221" w:name="_Toc522201570"/>
      <w:bookmarkStart w:id="222" w:name="_Toc32443"/>
      <w:bookmarkStart w:id="223" w:name="_Toc406522039"/>
      <w:bookmarkStart w:id="224" w:name="_Toc406419164"/>
      <w:r>
        <w:rPr>
          <w:rFonts w:hint="eastAsia" w:ascii="宋体" w:hAnsi="宋体" w:eastAsia="宋体" w:cs="宋体"/>
          <w:b/>
          <w:color w:val="auto"/>
          <w:sz w:val="21"/>
          <w:szCs w:val="21"/>
          <w:highlight w:val="none"/>
        </w:rPr>
        <w:t>十二、合同生效</w:t>
      </w:r>
      <w:bookmarkEnd w:id="219"/>
      <w:bookmarkEnd w:id="220"/>
      <w:bookmarkEnd w:id="221"/>
      <w:bookmarkEnd w:id="222"/>
      <w:bookmarkEnd w:id="223"/>
      <w:bookmarkEnd w:id="224"/>
    </w:p>
    <w:p w14:paraId="10A3982A">
      <w:pPr>
        <w:pStyle w:val="32"/>
        <w:adjustRightInd w:val="0"/>
        <w:snapToGrid w:val="0"/>
        <w:spacing w:line="400" w:lineRule="exact"/>
        <w:ind w:firstLine="420" w:firstLineChars="200"/>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本合同自</w:t>
      </w:r>
      <w:r>
        <w:rPr>
          <w:rFonts w:hint="eastAsia" w:ascii="宋体" w:hAnsi="宋体" w:eastAsia="宋体" w:cs="宋体"/>
          <w:bCs/>
          <w:color w:val="auto"/>
          <w:sz w:val="21"/>
          <w:szCs w:val="21"/>
          <w:highlight w:val="none"/>
          <w:u w:val="single"/>
        </w:rPr>
        <w:t xml:space="preserve">  </w:t>
      </w:r>
      <w:r>
        <w:rPr>
          <w:rFonts w:hint="eastAsia" w:ascii="宋体" w:hAnsi="宋体" w:eastAsia="宋体" w:cs="宋体"/>
          <w:color w:val="auto"/>
          <w:sz w:val="21"/>
          <w:szCs w:val="21"/>
          <w:highlight w:val="none"/>
          <w:u w:val="single"/>
        </w:rPr>
        <w:t>双方法定代表人或其委托代理人签字或盖章并加盖单位</w:t>
      </w:r>
      <w:r>
        <w:rPr>
          <w:rFonts w:hint="eastAsia" w:ascii="宋体" w:hAnsi="宋体" w:eastAsia="宋体" w:cs="宋体"/>
          <w:color w:val="auto"/>
          <w:sz w:val="21"/>
          <w:szCs w:val="21"/>
          <w:highlight w:val="none"/>
          <w:u w:val="single"/>
          <w:lang w:eastAsia="zh-CN"/>
        </w:rPr>
        <w:t>公</w:t>
      </w:r>
      <w:r>
        <w:rPr>
          <w:rFonts w:hint="eastAsia" w:ascii="宋体" w:hAnsi="宋体" w:eastAsia="宋体" w:cs="宋体"/>
          <w:color w:val="auto"/>
          <w:sz w:val="21"/>
          <w:szCs w:val="21"/>
          <w:highlight w:val="none"/>
          <w:u w:val="single"/>
        </w:rPr>
        <w:t>章后</w:t>
      </w:r>
      <w:r>
        <w:rPr>
          <w:rFonts w:hint="eastAsia" w:ascii="宋体" w:hAnsi="宋体" w:eastAsia="宋体" w:cs="宋体"/>
          <w:bCs/>
          <w:color w:val="auto"/>
          <w:sz w:val="21"/>
          <w:szCs w:val="21"/>
          <w:highlight w:val="none"/>
          <w:u w:val="single"/>
        </w:rPr>
        <w:t xml:space="preserve"> </w:t>
      </w:r>
      <w:r>
        <w:rPr>
          <w:rFonts w:hint="eastAsia" w:ascii="宋体" w:hAnsi="宋体" w:eastAsia="宋体" w:cs="宋体"/>
          <w:bCs/>
          <w:color w:val="auto"/>
          <w:sz w:val="21"/>
          <w:szCs w:val="21"/>
          <w:highlight w:val="none"/>
        </w:rPr>
        <w:t>生效。</w:t>
      </w:r>
    </w:p>
    <w:p w14:paraId="081ED7A4">
      <w:pPr>
        <w:pStyle w:val="33"/>
        <w:adjustRightInd w:val="0"/>
        <w:snapToGrid w:val="0"/>
        <w:spacing w:line="400" w:lineRule="exact"/>
        <w:ind w:firstLine="422"/>
        <w:outlineLvl w:val="0"/>
        <w:rPr>
          <w:rFonts w:hint="eastAsia" w:ascii="宋体" w:hAnsi="宋体" w:eastAsia="宋体" w:cs="宋体"/>
          <w:b/>
          <w:color w:val="auto"/>
          <w:sz w:val="21"/>
          <w:szCs w:val="21"/>
          <w:highlight w:val="none"/>
        </w:rPr>
      </w:pPr>
      <w:bookmarkStart w:id="225" w:name="_Toc406522040"/>
      <w:bookmarkStart w:id="226" w:name="_Toc351203493"/>
      <w:bookmarkStart w:id="227" w:name="_Toc14945"/>
      <w:bookmarkStart w:id="228" w:name="_Toc16804"/>
      <w:bookmarkStart w:id="229" w:name="_Toc406419165"/>
      <w:bookmarkStart w:id="230" w:name="_Toc522201571"/>
      <w:r>
        <w:rPr>
          <w:rFonts w:hint="eastAsia" w:ascii="宋体" w:hAnsi="宋体" w:eastAsia="宋体" w:cs="宋体"/>
          <w:b/>
          <w:color w:val="auto"/>
          <w:sz w:val="21"/>
          <w:szCs w:val="21"/>
          <w:highlight w:val="none"/>
        </w:rPr>
        <w:t>十三、合同份数</w:t>
      </w:r>
      <w:bookmarkEnd w:id="225"/>
      <w:bookmarkEnd w:id="226"/>
      <w:bookmarkEnd w:id="227"/>
      <w:bookmarkEnd w:id="228"/>
      <w:bookmarkEnd w:id="229"/>
      <w:bookmarkEnd w:id="230"/>
    </w:p>
    <w:p w14:paraId="4CD07538">
      <w:pPr>
        <w:pStyle w:val="32"/>
        <w:adjustRightInd w:val="0"/>
        <w:snapToGrid w:val="0"/>
        <w:spacing w:line="400" w:lineRule="exact"/>
        <w:ind w:firstLine="420" w:firstLineChars="200"/>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本合同一式</w:t>
      </w:r>
      <w:r>
        <w:rPr>
          <w:rFonts w:hint="eastAsia" w:ascii="宋体" w:hAnsi="宋体" w:eastAsia="宋体" w:cs="宋体"/>
          <w:bCs/>
          <w:color w:val="auto"/>
          <w:sz w:val="21"/>
          <w:szCs w:val="21"/>
          <w:highlight w:val="none"/>
          <w:u w:val="single"/>
        </w:rPr>
        <w:t xml:space="preserve"> </w:t>
      </w:r>
      <w:r>
        <w:rPr>
          <w:rFonts w:hint="eastAsia" w:ascii="宋体" w:hAnsi="宋体" w:eastAsia="宋体" w:cs="宋体"/>
          <w:bCs/>
          <w:color w:val="auto"/>
          <w:sz w:val="21"/>
          <w:szCs w:val="21"/>
          <w:highlight w:val="none"/>
          <w:u w:val="single"/>
          <w:lang w:val="en-US" w:eastAsia="zh-CN"/>
        </w:rPr>
        <w:t xml:space="preserve"> </w:t>
      </w:r>
      <w:r>
        <w:rPr>
          <w:rFonts w:hint="eastAsia" w:ascii="宋体" w:hAnsi="宋体" w:eastAsia="宋体" w:cs="宋体"/>
          <w:bCs/>
          <w:color w:val="auto"/>
          <w:sz w:val="21"/>
          <w:szCs w:val="21"/>
          <w:highlight w:val="none"/>
          <w:u w:val="single"/>
        </w:rPr>
        <w:t xml:space="preserve"> </w:t>
      </w:r>
      <w:r>
        <w:rPr>
          <w:rFonts w:hint="eastAsia" w:ascii="宋体" w:hAnsi="宋体" w:eastAsia="宋体" w:cs="宋体"/>
          <w:bCs/>
          <w:color w:val="auto"/>
          <w:sz w:val="21"/>
          <w:szCs w:val="21"/>
          <w:highlight w:val="none"/>
        </w:rPr>
        <w:t>份，均具有同等法律效力，发包人执</w:t>
      </w:r>
      <w:r>
        <w:rPr>
          <w:rFonts w:hint="eastAsia" w:ascii="宋体" w:hAnsi="宋体" w:eastAsia="宋体" w:cs="宋体"/>
          <w:bCs/>
          <w:color w:val="auto"/>
          <w:sz w:val="21"/>
          <w:szCs w:val="21"/>
          <w:highlight w:val="none"/>
          <w:u w:val="single"/>
        </w:rPr>
        <w:t xml:space="preserve">  </w:t>
      </w:r>
      <w:r>
        <w:rPr>
          <w:rFonts w:hint="eastAsia" w:ascii="宋体" w:hAnsi="宋体" w:eastAsia="宋体" w:cs="宋体"/>
          <w:bCs/>
          <w:color w:val="auto"/>
          <w:sz w:val="21"/>
          <w:szCs w:val="21"/>
          <w:highlight w:val="none"/>
          <w:u w:val="single"/>
          <w:lang w:val="en-US" w:eastAsia="zh-CN"/>
        </w:rPr>
        <w:t xml:space="preserve"> </w:t>
      </w:r>
      <w:r>
        <w:rPr>
          <w:rFonts w:hint="eastAsia" w:ascii="宋体" w:hAnsi="宋体" w:eastAsia="宋体" w:cs="宋体"/>
          <w:bCs/>
          <w:color w:val="auto"/>
          <w:sz w:val="21"/>
          <w:szCs w:val="21"/>
          <w:highlight w:val="none"/>
          <w:u w:val="single"/>
        </w:rPr>
        <w:t xml:space="preserve">  </w:t>
      </w:r>
      <w:r>
        <w:rPr>
          <w:rFonts w:hint="eastAsia" w:ascii="宋体" w:hAnsi="宋体" w:eastAsia="宋体" w:cs="宋体"/>
          <w:bCs/>
          <w:color w:val="auto"/>
          <w:sz w:val="21"/>
          <w:szCs w:val="21"/>
          <w:highlight w:val="none"/>
        </w:rPr>
        <w:t>份，承包人执</w:t>
      </w:r>
      <w:r>
        <w:rPr>
          <w:rFonts w:hint="eastAsia" w:ascii="宋体" w:hAnsi="宋体" w:eastAsia="宋体" w:cs="宋体"/>
          <w:bCs/>
          <w:color w:val="auto"/>
          <w:sz w:val="21"/>
          <w:szCs w:val="21"/>
          <w:highlight w:val="none"/>
          <w:u w:val="single"/>
        </w:rPr>
        <w:t xml:space="preserve"> </w:t>
      </w:r>
      <w:r>
        <w:rPr>
          <w:rFonts w:hint="eastAsia" w:ascii="宋体" w:hAnsi="宋体" w:eastAsia="宋体" w:cs="宋体"/>
          <w:bCs/>
          <w:color w:val="auto"/>
          <w:sz w:val="21"/>
          <w:szCs w:val="21"/>
          <w:highlight w:val="none"/>
          <w:u w:val="single"/>
          <w:lang w:val="en-US" w:eastAsia="zh-CN"/>
        </w:rPr>
        <w:t xml:space="preserve"> </w:t>
      </w:r>
      <w:r>
        <w:rPr>
          <w:rFonts w:hint="eastAsia" w:ascii="宋体" w:hAnsi="宋体" w:eastAsia="宋体" w:cs="宋体"/>
          <w:bCs/>
          <w:color w:val="auto"/>
          <w:sz w:val="21"/>
          <w:szCs w:val="21"/>
          <w:highlight w:val="none"/>
          <w:u w:val="single"/>
        </w:rPr>
        <w:t xml:space="preserve"> </w:t>
      </w:r>
      <w:r>
        <w:rPr>
          <w:rFonts w:hint="eastAsia" w:ascii="宋体" w:hAnsi="宋体" w:eastAsia="宋体" w:cs="宋体"/>
          <w:bCs/>
          <w:color w:val="auto"/>
          <w:sz w:val="21"/>
          <w:szCs w:val="21"/>
          <w:highlight w:val="none"/>
        </w:rPr>
        <w:t>份，招标代理机构执</w:t>
      </w:r>
      <w:r>
        <w:rPr>
          <w:rFonts w:hint="eastAsia" w:ascii="宋体" w:hAnsi="宋体" w:eastAsia="宋体" w:cs="宋体"/>
          <w:bCs/>
          <w:color w:val="auto"/>
          <w:sz w:val="21"/>
          <w:szCs w:val="21"/>
          <w:highlight w:val="none"/>
          <w:u w:val="single"/>
        </w:rPr>
        <w:t xml:space="preserve"> </w:t>
      </w:r>
      <w:r>
        <w:rPr>
          <w:rFonts w:hint="eastAsia" w:ascii="宋体" w:hAnsi="宋体" w:eastAsia="宋体" w:cs="宋体"/>
          <w:bCs/>
          <w:color w:val="auto"/>
          <w:sz w:val="21"/>
          <w:szCs w:val="21"/>
          <w:highlight w:val="none"/>
          <w:u w:val="single"/>
          <w:lang w:val="en-US" w:eastAsia="zh-CN"/>
        </w:rPr>
        <w:t xml:space="preserve"> </w:t>
      </w:r>
      <w:r>
        <w:rPr>
          <w:rFonts w:hint="eastAsia" w:ascii="宋体" w:hAnsi="宋体" w:eastAsia="宋体" w:cs="宋体"/>
          <w:bCs/>
          <w:color w:val="auto"/>
          <w:sz w:val="21"/>
          <w:szCs w:val="21"/>
          <w:highlight w:val="none"/>
          <w:u w:val="single"/>
        </w:rPr>
        <w:t xml:space="preserve"> </w:t>
      </w:r>
      <w:r>
        <w:rPr>
          <w:rFonts w:hint="eastAsia" w:ascii="宋体" w:hAnsi="宋体" w:eastAsia="宋体" w:cs="宋体"/>
          <w:bCs/>
          <w:color w:val="auto"/>
          <w:sz w:val="21"/>
          <w:szCs w:val="21"/>
          <w:highlight w:val="none"/>
        </w:rPr>
        <w:t>份。</w:t>
      </w:r>
    </w:p>
    <w:p w14:paraId="64FE67AA">
      <w:pPr>
        <w:pStyle w:val="32"/>
        <w:adjustRightInd w:val="0"/>
        <w:snapToGrid w:val="0"/>
        <w:spacing w:line="400" w:lineRule="exact"/>
        <w:ind w:firstLine="420" w:firstLineChars="200"/>
        <w:rPr>
          <w:rFonts w:hint="eastAsia" w:ascii="宋体" w:hAnsi="宋体" w:eastAsia="宋体" w:cs="宋体"/>
          <w:bCs/>
          <w:color w:val="auto"/>
          <w:sz w:val="21"/>
          <w:szCs w:val="21"/>
          <w:highlight w:val="none"/>
        </w:rPr>
      </w:pPr>
    </w:p>
    <w:tbl>
      <w:tblPr>
        <w:tblStyle w:val="19"/>
        <w:tblW w:w="8900" w:type="dxa"/>
        <w:tblInd w:w="46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303"/>
        <w:gridCol w:w="4597"/>
      </w:tblGrid>
      <w:tr w14:paraId="042032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303" w:type="dxa"/>
            <w:vAlign w:val="top"/>
          </w:tcPr>
          <w:p w14:paraId="6DA25BF9">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发包人：（公章）</w:t>
            </w:r>
          </w:p>
          <w:p w14:paraId="07405235">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 xml:space="preserve"> </w:t>
            </w:r>
          </w:p>
        </w:tc>
        <w:tc>
          <w:tcPr>
            <w:tcW w:w="4597" w:type="dxa"/>
            <w:vAlign w:val="top"/>
          </w:tcPr>
          <w:p w14:paraId="5481B6E3">
            <w:pPr>
              <w:spacing w:line="360" w:lineRule="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承包人：（公章）</w:t>
            </w:r>
          </w:p>
          <w:p w14:paraId="452E3415">
            <w:pPr>
              <w:pStyle w:val="8"/>
              <w:rPr>
                <w:rFonts w:hint="eastAsia" w:ascii="宋体" w:hAnsi="宋体" w:eastAsia="宋体" w:cs="宋体"/>
                <w:color w:val="auto"/>
                <w:sz w:val="21"/>
                <w:szCs w:val="21"/>
                <w:highlight w:val="none"/>
                <w:lang w:val="en-US" w:eastAsia="zh-CN"/>
              </w:rPr>
            </w:pPr>
          </w:p>
        </w:tc>
      </w:tr>
      <w:tr w14:paraId="41750C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303" w:type="dxa"/>
            <w:vAlign w:val="top"/>
          </w:tcPr>
          <w:p w14:paraId="474F615A">
            <w:pPr>
              <w:spacing w:line="360" w:lineRule="auto"/>
              <w:rPr>
                <w:rFonts w:hint="eastAsia" w:ascii="宋体" w:hAnsi="宋体" w:eastAsia="宋体" w:cs="宋体"/>
                <w:color w:val="auto"/>
                <w:kern w:val="0"/>
                <w:sz w:val="21"/>
                <w:szCs w:val="21"/>
                <w:highlight w:val="none"/>
                <w:u w:val="none"/>
                <w:lang w:val="en-US" w:eastAsia="zh-CN"/>
              </w:rPr>
            </w:pPr>
          </w:p>
        </w:tc>
        <w:tc>
          <w:tcPr>
            <w:tcW w:w="4597" w:type="dxa"/>
            <w:vAlign w:val="top"/>
          </w:tcPr>
          <w:p w14:paraId="7150637C">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 xml:space="preserve"> </w:t>
            </w:r>
          </w:p>
        </w:tc>
      </w:tr>
      <w:tr w14:paraId="3412DE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303" w:type="dxa"/>
            <w:vAlign w:val="top"/>
          </w:tcPr>
          <w:p w14:paraId="7DA75311">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法定代表人</w:t>
            </w:r>
            <w:r>
              <w:rPr>
                <w:rFonts w:hint="eastAsia" w:ascii="宋体" w:hAnsi="宋体" w:eastAsia="宋体" w:cs="宋体"/>
                <w:color w:val="auto"/>
                <w:sz w:val="21"/>
                <w:szCs w:val="21"/>
                <w:highlight w:val="none"/>
              </w:rPr>
              <w:t>或其委托代理人</w:t>
            </w:r>
            <w:r>
              <w:rPr>
                <w:rFonts w:hint="eastAsia" w:ascii="宋体" w:hAnsi="宋体" w:eastAsia="宋体" w:cs="宋体"/>
                <w:color w:val="auto"/>
                <w:kern w:val="0"/>
                <w:sz w:val="21"/>
                <w:szCs w:val="21"/>
                <w:highlight w:val="none"/>
                <w:u w:val="none"/>
                <w:lang w:val="en-US" w:eastAsia="zh-CN"/>
              </w:rPr>
              <w:t>：</w:t>
            </w:r>
          </w:p>
          <w:p w14:paraId="53836049">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（签字或盖章）</w:t>
            </w:r>
          </w:p>
        </w:tc>
        <w:tc>
          <w:tcPr>
            <w:tcW w:w="4597" w:type="dxa"/>
            <w:vAlign w:val="top"/>
          </w:tcPr>
          <w:p w14:paraId="764D0091">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法定代表人</w:t>
            </w:r>
            <w:r>
              <w:rPr>
                <w:rFonts w:hint="eastAsia" w:ascii="宋体" w:hAnsi="宋体" w:eastAsia="宋体" w:cs="宋体"/>
                <w:color w:val="auto"/>
                <w:sz w:val="21"/>
                <w:szCs w:val="21"/>
                <w:highlight w:val="none"/>
              </w:rPr>
              <w:t>或其委托代理人</w:t>
            </w:r>
            <w:r>
              <w:rPr>
                <w:rFonts w:hint="eastAsia" w:ascii="宋体" w:hAnsi="宋体" w:eastAsia="宋体" w:cs="宋体"/>
                <w:color w:val="auto"/>
                <w:kern w:val="0"/>
                <w:sz w:val="21"/>
                <w:szCs w:val="21"/>
                <w:highlight w:val="none"/>
                <w:u w:val="none"/>
                <w:lang w:val="en-US" w:eastAsia="zh-CN"/>
              </w:rPr>
              <w:t>：</w:t>
            </w:r>
          </w:p>
          <w:p w14:paraId="416AD993">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（签字或盖章）</w:t>
            </w:r>
          </w:p>
        </w:tc>
      </w:tr>
      <w:tr w14:paraId="1F1FF6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5" w:hRule="atLeast"/>
        </w:trPr>
        <w:tc>
          <w:tcPr>
            <w:tcW w:w="4303" w:type="dxa"/>
            <w:vAlign w:val="top"/>
          </w:tcPr>
          <w:p w14:paraId="18B99AFB">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统一社会信用代码：</w:t>
            </w:r>
          </w:p>
        </w:tc>
        <w:tc>
          <w:tcPr>
            <w:tcW w:w="4597" w:type="dxa"/>
            <w:vAlign w:val="top"/>
          </w:tcPr>
          <w:p w14:paraId="0815A3BB">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 xml:space="preserve">统一社会信用代码： </w:t>
            </w:r>
          </w:p>
        </w:tc>
      </w:tr>
      <w:tr w14:paraId="58A9E7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303" w:type="dxa"/>
            <w:vAlign w:val="top"/>
          </w:tcPr>
          <w:p w14:paraId="33B2AF92">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地址：</w:t>
            </w:r>
          </w:p>
        </w:tc>
        <w:tc>
          <w:tcPr>
            <w:tcW w:w="4597" w:type="dxa"/>
            <w:vAlign w:val="top"/>
          </w:tcPr>
          <w:p w14:paraId="6AF14F62">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地址：</w:t>
            </w:r>
            <w:r>
              <w:rPr>
                <w:rFonts w:hint="eastAsia" w:ascii="宋体" w:hAnsi="宋体" w:eastAsia="宋体" w:cs="宋体"/>
                <w:color w:val="auto"/>
                <w:sz w:val="21"/>
                <w:szCs w:val="21"/>
                <w:highlight w:val="none"/>
                <w:u w:val="none"/>
                <w:lang w:val="en-US" w:eastAsia="zh-CN"/>
              </w:rPr>
              <w:t xml:space="preserve"> </w:t>
            </w:r>
          </w:p>
        </w:tc>
      </w:tr>
      <w:tr w14:paraId="3370C5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303" w:type="dxa"/>
            <w:vAlign w:val="top"/>
          </w:tcPr>
          <w:p w14:paraId="4D21C945">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邮政编码：</w:t>
            </w:r>
          </w:p>
        </w:tc>
        <w:tc>
          <w:tcPr>
            <w:tcW w:w="4597" w:type="dxa"/>
            <w:vAlign w:val="top"/>
          </w:tcPr>
          <w:p w14:paraId="03ACBD89">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 xml:space="preserve">邮政编码： </w:t>
            </w:r>
          </w:p>
        </w:tc>
      </w:tr>
      <w:tr w14:paraId="26EFBE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303" w:type="dxa"/>
            <w:vAlign w:val="top"/>
          </w:tcPr>
          <w:p w14:paraId="2AA40F57">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联系人：</w:t>
            </w:r>
          </w:p>
        </w:tc>
        <w:tc>
          <w:tcPr>
            <w:tcW w:w="4597" w:type="dxa"/>
            <w:vAlign w:val="top"/>
          </w:tcPr>
          <w:p w14:paraId="345D53BC">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联系人：</w:t>
            </w:r>
          </w:p>
        </w:tc>
      </w:tr>
      <w:tr w14:paraId="10068F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303" w:type="dxa"/>
            <w:vAlign w:val="top"/>
          </w:tcPr>
          <w:p w14:paraId="6F330BBA">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电话：</w:t>
            </w:r>
          </w:p>
        </w:tc>
        <w:tc>
          <w:tcPr>
            <w:tcW w:w="4597" w:type="dxa"/>
            <w:vAlign w:val="top"/>
          </w:tcPr>
          <w:p w14:paraId="11141B06">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 xml:space="preserve">电话： </w:t>
            </w:r>
          </w:p>
        </w:tc>
      </w:tr>
      <w:tr w14:paraId="4DDCCF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303" w:type="dxa"/>
            <w:vAlign w:val="top"/>
          </w:tcPr>
          <w:p w14:paraId="4F59E997">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传真：</w:t>
            </w:r>
          </w:p>
        </w:tc>
        <w:tc>
          <w:tcPr>
            <w:tcW w:w="4597" w:type="dxa"/>
            <w:vAlign w:val="top"/>
          </w:tcPr>
          <w:p w14:paraId="3DE87C58">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 xml:space="preserve">传真： </w:t>
            </w:r>
          </w:p>
        </w:tc>
      </w:tr>
      <w:tr w14:paraId="53AE2F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303" w:type="dxa"/>
            <w:vAlign w:val="top"/>
          </w:tcPr>
          <w:p w14:paraId="693D3C6B">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电子信箱：</w:t>
            </w:r>
          </w:p>
        </w:tc>
        <w:tc>
          <w:tcPr>
            <w:tcW w:w="4597" w:type="dxa"/>
            <w:vAlign w:val="top"/>
          </w:tcPr>
          <w:p w14:paraId="44509483">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 xml:space="preserve">电子信箱： </w:t>
            </w:r>
          </w:p>
        </w:tc>
      </w:tr>
      <w:tr w14:paraId="50FE17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303" w:type="dxa"/>
            <w:vAlign w:val="top"/>
          </w:tcPr>
          <w:p w14:paraId="33DDB6F4">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开户银行：</w:t>
            </w:r>
          </w:p>
        </w:tc>
        <w:tc>
          <w:tcPr>
            <w:tcW w:w="4597" w:type="dxa"/>
            <w:vAlign w:val="top"/>
          </w:tcPr>
          <w:p w14:paraId="7787E019">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 xml:space="preserve">开户银行： </w:t>
            </w:r>
          </w:p>
        </w:tc>
      </w:tr>
      <w:tr w14:paraId="02E165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303" w:type="dxa"/>
            <w:vAlign w:val="top"/>
          </w:tcPr>
          <w:p w14:paraId="30E7FCCA">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开户名称：</w:t>
            </w:r>
          </w:p>
        </w:tc>
        <w:tc>
          <w:tcPr>
            <w:tcW w:w="4597" w:type="dxa"/>
            <w:vAlign w:val="top"/>
          </w:tcPr>
          <w:p w14:paraId="4EFCFD6A">
            <w:pPr>
              <w:spacing w:line="360" w:lineRule="auto"/>
              <w:rPr>
                <w:rFonts w:hint="eastAsia" w:ascii="宋体" w:hAnsi="宋体" w:eastAsia="宋体" w:cs="宋体"/>
                <w:color w:val="auto"/>
                <w:kern w:val="0"/>
                <w:sz w:val="21"/>
                <w:szCs w:val="21"/>
                <w:highlight w:val="none"/>
                <w:u w:val="none"/>
                <w:lang w:val="en-US" w:eastAsia="zh-CN"/>
              </w:rPr>
            </w:pPr>
            <w:r>
              <w:rPr>
                <w:rFonts w:hint="eastAsia" w:ascii="宋体" w:hAnsi="宋体" w:eastAsia="宋体" w:cs="宋体"/>
                <w:color w:val="auto"/>
                <w:kern w:val="0"/>
                <w:sz w:val="21"/>
                <w:szCs w:val="21"/>
                <w:highlight w:val="none"/>
                <w:u w:val="none"/>
                <w:lang w:val="en-US" w:eastAsia="zh-CN"/>
              </w:rPr>
              <w:t>开户名称：</w:t>
            </w:r>
          </w:p>
        </w:tc>
      </w:tr>
      <w:tr w14:paraId="0EEF69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303" w:type="dxa"/>
            <w:vAlign w:val="top"/>
          </w:tcPr>
          <w:p w14:paraId="22627520">
            <w:pPr>
              <w:spacing w:line="360" w:lineRule="auto"/>
              <w:rPr>
                <w:rFonts w:hint="eastAsia" w:ascii="宋体" w:hAnsi="宋体" w:eastAsia="宋体" w:cs="宋体"/>
                <w:color w:val="auto"/>
                <w:kern w:val="0"/>
                <w:sz w:val="21"/>
                <w:szCs w:val="21"/>
                <w:highlight w:val="none"/>
                <w:u w:val="none"/>
                <w:lang w:val="en-US" w:eastAsia="zh-CN" w:bidi="ar-SA"/>
              </w:rPr>
            </w:pPr>
            <w:r>
              <w:rPr>
                <w:rFonts w:hint="eastAsia" w:ascii="宋体" w:hAnsi="宋体" w:eastAsia="宋体" w:cs="宋体"/>
                <w:color w:val="auto"/>
                <w:kern w:val="0"/>
                <w:sz w:val="21"/>
                <w:szCs w:val="21"/>
                <w:highlight w:val="none"/>
                <w:u w:val="none"/>
                <w:lang w:val="en-US" w:eastAsia="zh-CN"/>
              </w:rPr>
              <w:t>账号：</w:t>
            </w:r>
          </w:p>
        </w:tc>
        <w:tc>
          <w:tcPr>
            <w:tcW w:w="4597" w:type="dxa"/>
            <w:vAlign w:val="top"/>
          </w:tcPr>
          <w:p w14:paraId="06EE6FC9">
            <w:pPr>
              <w:spacing w:line="360" w:lineRule="auto"/>
              <w:rPr>
                <w:rFonts w:hint="eastAsia" w:ascii="宋体" w:hAnsi="宋体" w:eastAsia="宋体" w:cs="宋体"/>
                <w:color w:val="auto"/>
                <w:kern w:val="0"/>
                <w:sz w:val="21"/>
                <w:szCs w:val="21"/>
                <w:highlight w:val="none"/>
                <w:u w:val="none"/>
                <w:lang w:val="en-US" w:eastAsia="zh-CN" w:bidi="ar-SA"/>
              </w:rPr>
            </w:pPr>
            <w:r>
              <w:rPr>
                <w:rFonts w:hint="eastAsia" w:ascii="宋体" w:hAnsi="宋体" w:eastAsia="宋体" w:cs="宋体"/>
                <w:color w:val="auto"/>
                <w:kern w:val="0"/>
                <w:sz w:val="21"/>
                <w:szCs w:val="21"/>
                <w:highlight w:val="none"/>
                <w:u w:val="none"/>
                <w:lang w:val="en-US" w:eastAsia="zh-CN"/>
              </w:rPr>
              <w:t xml:space="preserve">账号： </w:t>
            </w:r>
          </w:p>
        </w:tc>
      </w:tr>
    </w:tbl>
    <w:p w14:paraId="17227BBE">
      <w:pPr>
        <w:pStyle w:val="32"/>
        <w:adjustRightInd w:val="0"/>
        <w:snapToGrid w:val="0"/>
        <w:spacing w:line="400" w:lineRule="exact"/>
        <w:jc w:val="center"/>
        <w:rPr>
          <w:rFonts w:hint="eastAsia" w:ascii="宋体" w:hAnsi="宋体" w:eastAsia="宋体" w:cs="宋体"/>
          <w:b/>
          <w:bCs/>
          <w:color w:val="auto"/>
          <w:sz w:val="21"/>
          <w:szCs w:val="21"/>
          <w:highlight w:val="none"/>
        </w:rPr>
      </w:pPr>
    </w:p>
    <w:p w14:paraId="1D757FEF">
      <w:pPr>
        <w:pStyle w:val="28"/>
        <w:jc w:val="center"/>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br w:type="page"/>
      </w:r>
      <w:bookmarkStart w:id="231" w:name="_Toc351203494"/>
      <w:bookmarkStart w:id="232" w:name="_Toc30906"/>
      <w:bookmarkStart w:id="233" w:name="_Toc256000032"/>
      <w:bookmarkStart w:id="234" w:name="_Toc522201572"/>
      <w:bookmarkStart w:id="235" w:name="_Toc2370"/>
      <w:r>
        <w:rPr>
          <w:rFonts w:hint="eastAsia" w:ascii="宋体" w:hAnsi="宋体" w:eastAsia="宋体" w:cs="宋体"/>
          <w:color w:val="auto"/>
          <w:sz w:val="21"/>
          <w:szCs w:val="21"/>
          <w:highlight w:val="none"/>
        </w:rPr>
        <w:t>第二部分 通用合同条款</w:t>
      </w:r>
      <w:bookmarkEnd w:id="231"/>
      <w:bookmarkEnd w:id="232"/>
      <w:bookmarkEnd w:id="233"/>
      <w:bookmarkEnd w:id="234"/>
      <w:bookmarkEnd w:id="235"/>
      <w:bookmarkStart w:id="236" w:name="_Toc337558727"/>
    </w:p>
    <w:bookmarkEnd w:id="236"/>
    <w:p w14:paraId="1DD816F5">
      <w:pPr>
        <w:pStyle w:val="4"/>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b w:val="0"/>
          <w:bCs w:val="0"/>
          <w:color w:val="auto"/>
          <w:sz w:val="21"/>
          <w:szCs w:val="21"/>
          <w:highlight w:val="none"/>
        </w:rPr>
      </w:pPr>
      <w:bookmarkStart w:id="237" w:name="_Toc16978"/>
    </w:p>
    <w:p w14:paraId="2696AE87">
      <w:pPr>
        <w:pStyle w:val="4"/>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本工程的施工合同通用条款按国家工商行政管理局和建设部颁布的：《建设工程施工合同（示范文本）》（GF-2017-0201）通用条款执行。</w:t>
      </w:r>
      <w:bookmarkEnd w:id="237"/>
    </w:p>
    <w:p w14:paraId="472FBC4A">
      <w:pPr>
        <w:pStyle w:val="31"/>
        <w:ind w:left="63" w:right="63"/>
        <w:rPr>
          <w:rFonts w:hint="eastAsia" w:ascii="宋体" w:hAnsi="宋体" w:eastAsia="宋体" w:cs="宋体"/>
          <w:color w:val="auto"/>
          <w:sz w:val="21"/>
          <w:szCs w:val="21"/>
          <w:highlight w:val="none"/>
        </w:rPr>
        <w:sectPr>
          <w:footerReference r:id="rId10" w:type="default"/>
          <w:pgSz w:w="11906" w:h="16838"/>
          <w:pgMar w:top="1134" w:right="1134" w:bottom="1134" w:left="1418" w:header="851" w:footer="992" w:gutter="0"/>
          <w:pgNumType w:fmt="decimal"/>
          <w:cols w:space="720" w:num="1"/>
          <w:docGrid w:type="lines" w:linePitch="312" w:charSpace="0"/>
        </w:sectPr>
      </w:pPr>
    </w:p>
    <w:p w14:paraId="26F47DDC">
      <w:pPr>
        <w:pStyle w:val="28"/>
        <w:spacing w:line="400" w:lineRule="atLeast"/>
        <w:jc w:val="center"/>
        <w:rPr>
          <w:rFonts w:hint="eastAsia" w:ascii="宋体" w:hAnsi="宋体" w:eastAsia="宋体" w:cs="宋体"/>
          <w:color w:val="auto"/>
          <w:sz w:val="21"/>
          <w:szCs w:val="21"/>
          <w:highlight w:val="none"/>
        </w:rPr>
      </w:pPr>
      <w:bookmarkStart w:id="238" w:name="_Toc256000171"/>
      <w:bookmarkStart w:id="239" w:name="_Toc20404"/>
      <w:r>
        <w:rPr>
          <w:rFonts w:hint="eastAsia" w:ascii="宋体" w:hAnsi="宋体" w:eastAsia="宋体" w:cs="宋体"/>
          <w:color w:val="auto"/>
          <w:sz w:val="21"/>
          <w:szCs w:val="21"/>
          <w:highlight w:val="none"/>
        </w:rPr>
        <w:t>第三部分 专用合同条款</w:t>
      </w:r>
      <w:bookmarkEnd w:id="238"/>
      <w:bookmarkEnd w:id="239"/>
    </w:p>
    <w:p w14:paraId="75B7BF13">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240" w:name="_Toc351203633"/>
      <w:bookmarkStart w:id="241" w:name="_Toc267251499"/>
      <w:bookmarkStart w:id="242" w:name="_Toc267251497"/>
      <w:bookmarkStart w:id="243" w:name="_Toc267251504"/>
      <w:bookmarkStart w:id="244" w:name="_Toc267251509"/>
      <w:bookmarkStart w:id="245" w:name="_Toc267251502"/>
      <w:bookmarkStart w:id="246" w:name="_Toc267251492"/>
      <w:bookmarkStart w:id="247" w:name="_Toc267251496"/>
      <w:bookmarkStart w:id="248" w:name="_Toc267251514"/>
      <w:bookmarkStart w:id="249" w:name="_Toc267251507"/>
      <w:bookmarkStart w:id="250" w:name="_Toc267251495"/>
      <w:bookmarkStart w:id="251" w:name="_Toc267251511"/>
      <w:bookmarkStart w:id="252" w:name="_Toc267251498"/>
      <w:bookmarkStart w:id="253" w:name="_Toc267251510"/>
      <w:bookmarkStart w:id="254" w:name="_Toc267251513"/>
      <w:bookmarkStart w:id="255" w:name="_Toc267251494"/>
      <w:bookmarkStart w:id="256" w:name="_Toc267251515"/>
      <w:bookmarkStart w:id="257" w:name="_Toc267251491"/>
      <w:bookmarkStart w:id="258" w:name="_Toc267251503"/>
      <w:bookmarkStart w:id="259" w:name="_Toc267251506"/>
      <w:bookmarkStart w:id="260" w:name="_Toc267251508"/>
      <w:bookmarkStart w:id="261" w:name="_Toc267251501"/>
      <w:bookmarkStart w:id="262" w:name="_Toc267251493"/>
      <w:r>
        <w:rPr>
          <w:rFonts w:hint="eastAsia" w:ascii="宋体" w:hAnsi="宋体" w:eastAsia="宋体" w:cs="宋体"/>
          <w:b w:val="0"/>
          <w:color w:val="auto"/>
          <w:sz w:val="21"/>
          <w:szCs w:val="21"/>
          <w:highlight w:val="none"/>
        </w:rPr>
        <w:t>1</w:t>
      </w:r>
      <w:bookmarkStart w:id="263" w:name="_Toc292559866"/>
      <w:bookmarkStart w:id="264" w:name="_Toc292559361"/>
      <w:bookmarkStart w:id="265" w:name="_Toc297120456"/>
      <w:bookmarkStart w:id="266" w:name="_Toc296347155"/>
      <w:bookmarkStart w:id="267" w:name="_Toc296890984"/>
      <w:bookmarkStart w:id="268" w:name="_Toc296346657"/>
      <w:bookmarkStart w:id="269" w:name="_Toc296891196"/>
      <w:bookmarkStart w:id="270" w:name="_Toc296944495"/>
      <w:bookmarkStart w:id="271" w:name="_Toc296503156"/>
      <w:bookmarkStart w:id="272" w:name="_Toc297048342"/>
      <w:r>
        <w:rPr>
          <w:rFonts w:hint="eastAsia" w:ascii="宋体" w:hAnsi="宋体" w:eastAsia="宋体" w:cs="宋体"/>
          <w:b w:val="0"/>
          <w:color w:val="auto"/>
          <w:sz w:val="21"/>
          <w:szCs w:val="21"/>
          <w:highlight w:val="none"/>
        </w:rPr>
        <w:t>. 一般约定</w:t>
      </w:r>
      <w:bookmarkEnd w:id="240"/>
    </w:p>
    <w:bookmarkEnd w:id="263"/>
    <w:bookmarkEnd w:id="264"/>
    <w:bookmarkEnd w:id="265"/>
    <w:bookmarkEnd w:id="266"/>
    <w:bookmarkEnd w:id="267"/>
    <w:bookmarkEnd w:id="268"/>
    <w:bookmarkEnd w:id="269"/>
    <w:bookmarkEnd w:id="270"/>
    <w:bookmarkEnd w:id="271"/>
    <w:bookmarkEnd w:id="272"/>
    <w:p w14:paraId="17F84DD8">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1.1 词语定义</w:t>
      </w:r>
    </w:p>
    <w:p w14:paraId="1D963400">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1.1.1合同</w:t>
      </w:r>
    </w:p>
    <w:p w14:paraId="0184794A">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1.1.1.10其他合同文件包括：</w:t>
      </w:r>
      <w:r>
        <w:rPr>
          <w:rFonts w:hint="eastAsia" w:ascii="宋体" w:hAnsi="宋体" w:eastAsia="宋体" w:cs="宋体"/>
          <w:color w:val="auto"/>
          <w:kern w:val="0"/>
          <w:sz w:val="21"/>
          <w:szCs w:val="21"/>
          <w:highlight w:val="none"/>
          <w:u w:val="single"/>
        </w:rPr>
        <w:t>（1）本合同协议书；（2）中标通知书；（3）投标书及其附件；（4）本合同专用条款及补充条款；（5）本合同通用条款；（6）标准、规范及有关技术文件；（7）图纸（含图纸修改通知单及图纸设计变更文件）；（8）工程量清单；（9）本工程预算控制价造价成果文件、招标文件及其他合同文件（10）履行合同过程中双方书面确认的对合同内容有实际影响的会议纪要、签证、设计变更等资料</w:t>
      </w:r>
      <w:r>
        <w:rPr>
          <w:rFonts w:hint="eastAsia" w:ascii="宋体" w:hAnsi="宋体" w:eastAsia="宋体" w:cs="宋体"/>
          <w:color w:val="auto"/>
          <w:sz w:val="21"/>
          <w:szCs w:val="21"/>
          <w:highlight w:val="none"/>
        </w:rPr>
        <w:t>。</w:t>
      </w:r>
    </w:p>
    <w:p w14:paraId="62D09778">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1.1.2 合同当事人及其他相关方</w:t>
      </w:r>
    </w:p>
    <w:p w14:paraId="253FDD78">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1.1.2.4监理人：</w:t>
      </w:r>
    </w:p>
    <w:p w14:paraId="2AFD0068">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名    称：</w:t>
      </w:r>
      <w:r>
        <w:rPr>
          <w:rFonts w:hint="eastAsia" w:ascii="宋体" w:hAnsi="宋体" w:eastAsia="宋体" w:cs="宋体"/>
          <w:b/>
          <w:color w:val="auto"/>
          <w:sz w:val="21"/>
          <w:szCs w:val="21"/>
          <w:highlight w:val="none"/>
          <w:u w:val="single"/>
        </w:rPr>
        <w:t xml:space="preserve">      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3DD2D79C">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资质类别和等级：</w:t>
      </w:r>
      <w:r>
        <w:rPr>
          <w:rFonts w:hint="eastAsia" w:ascii="宋体" w:hAnsi="宋体" w:eastAsia="宋体" w:cs="宋体"/>
          <w:b/>
          <w:color w:val="auto"/>
          <w:sz w:val="21"/>
          <w:szCs w:val="21"/>
          <w:highlight w:val="none"/>
          <w:u w:val="single"/>
        </w:rPr>
        <w:t xml:space="preserve">      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04C1AC83">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联系电话：</w:t>
      </w:r>
      <w:r>
        <w:rPr>
          <w:rFonts w:hint="eastAsia" w:ascii="宋体" w:hAnsi="宋体" w:eastAsia="宋体" w:cs="宋体"/>
          <w:b/>
          <w:color w:val="auto"/>
          <w:sz w:val="21"/>
          <w:szCs w:val="21"/>
          <w:highlight w:val="none"/>
          <w:u w:val="single"/>
        </w:rPr>
        <w:t xml:space="preserve">      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280D2E0C">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电子信箱：</w:t>
      </w:r>
      <w:r>
        <w:rPr>
          <w:rFonts w:hint="eastAsia" w:ascii="宋体" w:hAnsi="宋体" w:eastAsia="宋体" w:cs="宋体"/>
          <w:b/>
          <w:color w:val="auto"/>
          <w:sz w:val="21"/>
          <w:szCs w:val="21"/>
          <w:highlight w:val="none"/>
          <w:u w:val="single"/>
        </w:rPr>
        <w:t xml:space="preserve">      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589EA01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通信地址：</w:t>
      </w:r>
      <w:r>
        <w:rPr>
          <w:rFonts w:hint="eastAsia" w:ascii="宋体" w:hAnsi="宋体" w:eastAsia="宋体" w:cs="宋体"/>
          <w:b/>
          <w:color w:val="auto"/>
          <w:sz w:val="21"/>
          <w:szCs w:val="21"/>
          <w:highlight w:val="none"/>
          <w:u w:val="single"/>
        </w:rPr>
        <w:t xml:space="preserve">      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3B8A2720">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1.1.2.5 设计人：</w:t>
      </w:r>
    </w:p>
    <w:p w14:paraId="1846000B">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名    称：</w:t>
      </w:r>
      <w:r>
        <w:rPr>
          <w:rFonts w:hint="eastAsia" w:ascii="宋体" w:hAnsi="宋体" w:eastAsia="宋体" w:cs="宋体"/>
          <w:b/>
          <w:color w:val="auto"/>
          <w:sz w:val="21"/>
          <w:szCs w:val="21"/>
          <w:highlight w:val="none"/>
          <w:u w:val="single"/>
        </w:rPr>
        <w:t xml:space="preserve">      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2FA3C33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资质类别和等级：</w:t>
      </w:r>
      <w:r>
        <w:rPr>
          <w:rFonts w:hint="eastAsia" w:ascii="宋体" w:hAnsi="宋体" w:eastAsia="宋体" w:cs="宋体"/>
          <w:b/>
          <w:color w:val="auto"/>
          <w:sz w:val="21"/>
          <w:szCs w:val="21"/>
          <w:highlight w:val="none"/>
          <w:u w:val="single"/>
        </w:rPr>
        <w:t xml:space="preserve">      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6B0FD1B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联系电话：</w:t>
      </w:r>
      <w:r>
        <w:rPr>
          <w:rFonts w:hint="eastAsia" w:ascii="宋体" w:hAnsi="宋体" w:eastAsia="宋体" w:cs="宋体"/>
          <w:b/>
          <w:color w:val="auto"/>
          <w:sz w:val="21"/>
          <w:szCs w:val="21"/>
          <w:highlight w:val="none"/>
          <w:u w:val="single"/>
        </w:rPr>
        <w:t xml:space="preserve">      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5882374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电子信箱：</w:t>
      </w:r>
      <w:r>
        <w:rPr>
          <w:rFonts w:hint="eastAsia" w:ascii="宋体" w:hAnsi="宋体" w:eastAsia="宋体" w:cs="宋体"/>
          <w:b/>
          <w:color w:val="auto"/>
          <w:sz w:val="21"/>
          <w:szCs w:val="21"/>
          <w:highlight w:val="none"/>
          <w:u w:val="single"/>
        </w:rPr>
        <w:t xml:space="preserve">      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16E1246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通信地址：</w:t>
      </w:r>
      <w:r>
        <w:rPr>
          <w:rFonts w:hint="eastAsia" w:ascii="宋体" w:hAnsi="宋体" w:eastAsia="宋体" w:cs="宋体"/>
          <w:b/>
          <w:color w:val="auto"/>
          <w:sz w:val="21"/>
          <w:szCs w:val="21"/>
          <w:highlight w:val="none"/>
          <w:u w:val="single"/>
        </w:rPr>
        <w:t xml:space="preserve">      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7F05579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1.1.3 工程和设备</w:t>
      </w:r>
    </w:p>
    <w:p w14:paraId="64F51972">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1.1.3.7 作为施工现场组成部分的其他场所包括：</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sz w:val="21"/>
          <w:szCs w:val="21"/>
          <w:highlight w:val="none"/>
        </w:rPr>
        <w:t>。</w:t>
      </w:r>
    </w:p>
    <w:p w14:paraId="0D461DDD">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 xml:space="preserve">1.1.3.9 永久占地包括： </w:t>
      </w:r>
      <w:r>
        <w:rPr>
          <w:rFonts w:hint="eastAsia" w:ascii="宋体" w:hAnsi="宋体" w:eastAsia="宋体" w:cs="宋体"/>
          <w:color w:val="auto"/>
          <w:sz w:val="21"/>
          <w:szCs w:val="21"/>
          <w:highlight w:val="none"/>
          <w:u w:val="single"/>
        </w:rPr>
        <w:t>按合同约定建造并移交给发包人的工程（包括工程设备）                       所占用的土地</w:t>
      </w:r>
      <w:r>
        <w:rPr>
          <w:rFonts w:hint="eastAsia" w:ascii="宋体" w:hAnsi="宋体" w:eastAsia="宋体" w:cs="宋体"/>
          <w:color w:val="auto"/>
          <w:sz w:val="21"/>
          <w:szCs w:val="21"/>
          <w:highlight w:val="none"/>
        </w:rPr>
        <w:t>。</w:t>
      </w:r>
    </w:p>
    <w:p w14:paraId="20298C48">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1.1.3.10 临时占地包括：</w:t>
      </w:r>
      <w:r>
        <w:rPr>
          <w:rFonts w:hint="eastAsia" w:ascii="宋体" w:hAnsi="宋体" w:eastAsia="宋体" w:cs="宋体"/>
          <w:color w:val="auto"/>
          <w:sz w:val="21"/>
          <w:szCs w:val="21"/>
          <w:highlight w:val="none"/>
          <w:u w:val="single"/>
        </w:rPr>
        <w:t>为完成合同约定的永久工程所修建的各类临时性工程及设施所占用的土地，由承包人根据现场踏勘情况结合施工现场所处位置自行解决</w:t>
      </w:r>
      <w:r>
        <w:rPr>
          <w:rFonts w:hint="eastAsia" w:ascii="宋体" w:hAnsi="宋体" w:eastAsia="宋体" w:cs="宋体"/>
          <w:color w:val="auto"/>
          <w:kern w:val="0"/>
          <w:sz w:val="21"/>
          <w:szCs w:val="21"/>
          <w:highlight w:val="none"/>
        </w:rPr>
        <w:t>。</w:t>
      </w:r>
    </w:p>
    <w:p w14:paraId="3A8C857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1.3法律 </w:t>
      </w:r>
    </w:p>
    <w:p w14:paraId="33601632">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适用于合同的其他规范性文件：</w:t>
      </w:r>
      <w:r>
        <w:rPr>
          <w:rFonts w:hint="eastAsia" w:ascii="宋体" w:hAnsi="宋体" w:eastAsia="宋体" w:cs="宋体"/>
          <w:color w:val="auto"/>
          <w:sz w:val="21"/>
          <w:szCs w:val="21"/>
          <w:highlight w:val="none"/>
          <w:u w:val="single"/>
        </w:rPr>
        <w:t xml:space="preserve"> 《中华人民共和国民法典》、《中华人民共和国建筑法》、《建设工程质量管理条例》、《</w:t>
      </w:r>
      <w:r>
        <w:rPr>
          <w:rFonts w:hint="eastAsia" w:ascii="宋体" w:hAnsi="宋体" w:cs="宋体"/>
          <w:color w:val="auto"/>
          <w:sz w:val="21"/>
          <w:szCs w:val="21"/>
          <w:highlight w:val="none"/>
          <w:u w:val="single"/>
          <w:lang w:eastAsia="zh-CN"/>
        </w:rPr>
        <w:t>建设工程安全生产管理条例</w:t>
      </w:r>
      <w:r>
        <w:rPr>
          <w:rFonts w:hint="eastAsia" w:ascii="宋体" w:hAnsi="宋体" w:eastAsia="宋体" w:cs="宋体"/>
          <w:color w:val="auto"/>
          <w:sz w:val="21"/>
          <w:szCs w:val="21"/>
          <w:highlight w:val="none"/>
          <w:u w:val="single"/>
        </w:rPr>
        <w:t xml:space="preserve">》及现行的国家法律、行政法规及部门规章，工程所在地政府、行政主管部门的有关法规和规章及规范性文件  </w:t>
      </w:r>
      <w:r>
        <w:rPr>
          <w:rFonts w:hint="eastAsia" w:ascii="宋体" w:hAnsi="宋体" w:eastAsia="宋体" w:cs="宋体"/>
          <w:color w:val="auto"/>
          <w:sz w:val="21"/>
          <w:szCs w:val="21"/>
          <w:highlight w:val="none"/>
        </w:rPr>
        <w:t>。</w:t>
      </w:r>
    </w:p>
    <w:p w14:paraId="0569F839">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1.4 标准和规范</w:t>
      </w:r>
    </w:p>
    <w:p w14:paraId="7474744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1.4.1适用于工程的标准规范包括：</w:t>
      </w:r>
      <w:r>
        <w:rPr>
          <w:rFonts w:hint="eastAsia" w:ascii="宋体" w:hAnsi="宋体" w:eastAsia="宋体" w:cs="宋体"/>
          <w:color w:val="auto"/>
          <w:sz w:val="21"/>
          <w:szCs w:val="21"/>
          <w:highlight w:val="none"/>
          <w:u w:val="single"/>
        </w:rPr>
        <w:t>国家及工程所在地省市颁布的与本合同工程有关的现行的法律、行政法规、技术标准及规范。国家和本地方没有规定的，按发包人指定的规范、标准执行</w:t>
      </w:r>
      <w:r>
        <w:rPr>
          <w:rFonts w:hint="eastAsia" w:ascii="宋体" w:hAnsi="宋体" w:eastAsia="宋体" w:cs="宋体"/>
          <w:b w:val="0"/>
          <w:bCs/>
          <w:color w:val="auto"/>
          <w:sz w:val="21"/>
          <w:szCs w:val="21"/>
          <w:highlight w:val="none"/>
          <w:u w:val="none"/>
        </w:rPr>
        <w:t>。</w:t>
      </w:r>
    </w:p>
    <w:p w14:paraId="04E241F6">
      <w:pPr>
        <w:pStyle w:val="48"/>
        <w:pageBreakBefore w:val="0"/>
        <w:widowControl w:val="0"/>
        <w:kinsoku/>
        <w:wordWrap/>
        <w:overflowPunct/>
        <w:topLinePunct w:val="0"/>
        <w:bidi w:val="0"/>
        <w:snapToGrid/>
        <w:spacing w:before="0" w:after="0" w:line="360" w:lineRule="exact"/>
        <w:ind w:left="0" w:leftChars="0" w:right="0" w:rightChars="0" w:firstLine="420" w:firstLineChars="200"/>
        <w:textAlignment w:val="auto"/>
        <w:rPr>
          <w:rFonts w:hint="eastAsia" w:ascii="宋体" w:hAnsi="宋体" w:eastAsia="宋体" w:cs="宋体"/>
          <w:b/>
          <w:color w:val="auto"/>
          <w:sz w:val="21"/>
          <w:szCs w:val="21"/>
          <w:highlight w:val="none"/>
          <w:u w:val="single"/>
        </w:rPr>
      </w:pPr>
      <w:r>
        <w:rPr>
          <w:rFonts w:hint="eastAsia" w:ascii="宋体" w:hAnsi="宋体" w:eastAsia="宋体" w:cs="宋体"/>
          <w:color w:val="auto"/>
          <w:sz w:val="21"/>
          <w:szCs w:val="21"/>
          <w:highlight w:val="none"/>
        </w:rPr>
        <w:t>1.4.2 发包人提供国外标准、规范的名称：</w:t>
      </w:r>
      <w:r>
        <w:rPr>
          <w:rFonts w:hint="eastAsia" w:ascii="宋体" w:hAnsi="宋体" w:eastAsia="宋体" w:cs="宋体"/>
          <w:b/>
          <w:color w:val="auto"/>
          <w:sz w:val="21"/>
          <w:szCs w:val="21"/>
          <w:highlight w:val="none"/>
          <w:u w:val="single"/>
        </w:rPr>
        <w:t>无。</w:t>
      </w:r>
    </w:p>
    <w:p w14:paraId="4288E2BD">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发包人提供国外标准、规范的份数：</w:t>
      </w:r>
      <w:r>
        <w:rPr>
          <w:rFonts w:hint="eastAsia" w:ascii="宋体" w:hAnsi="宋体" w:eastAsia="宋体" w:cs="宋体"/>
          <w:color w:val="auto"/>
          <w:kern w:val="0"/>
          <w:sz w:val="21"/>
          <w:szCs w:val="21"/>
          <w:highlight w:val="none"/>
          <w:u w:val="single"/>
        </w:rPr>
        <w:t xml:space="preserve">  无  </w:t>
      </w:r>
      <w:r>
        <w:rPr>
          <w:rFonts w:hint="eastAsia" w:ascii="宋体" w:hAnsi="宋体" w:eastAsia="宋体" w:cs="宋体"/>
          <w:color w:val="auto"/>
          <w:kern w:val="0"/>
          <w:sz w:val="21"/>
          <w:szCs w:val="21"/>
          <w:highlight w:val="none"/>
        </w:rPr>
        <w:t>；</w:t>
      </w:r>
    </w:p>
    <w:p w14:paraId="4E45D1F9">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1.4.3发包人对工程的技术标准和功能要求的特殊要求：</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p w14:paraId="5554C48B">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1.5 合同文件的优先顺序</w:t>
      </w:r>
    </w:p>
    <w:p w14:paraId="54374282">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b/>
          <w:color w:val="auto"/>
          <w:kern w:val="0"/>
          <w:sz w:val="21"/>
          <w:szCs w:val="21"/>
          <w:highlight w:val="none"/>
          <w:u w:val="single"/>
        </w:rPr>
      </w:pPr>
      <w:r>
        <w:rPr>
          <w:rFonts w:hint="eastAsia" w:ascii="宋体" w:hAnsi="宋体" w:eastAsia="宋体" w:cs="宋体"/>
          <w:color w:val="auto"/>
          <w:sz w:val="21"/>
          <w:szCs w:val="21"/>
          <w:highlight w:val="none"/>
        </w:rPr>
        <w:t>合同文件组成及优先顺序为：</w:t>
      </w:r>
      <w:r>
        <w:rPr>
          <w:rFonts w:hint="eastAsia" w:ascii="宋体" w:hAnsi="宋体" w:eastAsia="宋体" w:cs="宋体"/>
          <w:b/>
          <w:color w:val="auto"/>
          <w:sz w:val="21"/>
          <w:szCs w:val="21"/>
          <w:highlight w:val="none"/>
          <w:u w:val="single"/>
        </w:rPr>
        <w:t>（1）本合同协议书（2）中标通知书（3）报价文件及其附件（4）本合同专用条款（5）本合同通用条款（6）技术标准和要求（7）图纸（含图纸修改通知单及图纸设计变更文件）（8）已标价工程量清单（9）本工程预算控制价造价成果文件。</w:t>
      </w:r>
      <w:r>
        <w:rPr>
          <w:rFonts w:hint="eastAsia" w:ascii="宋体" w:hAnsi="宋体" w:eastAsia="宋体" w:cs="宋体"/>
          <w:b/>
          <w:color w:val="auto"/>
          <w:kern w:val="0"/>
          <w:sz w:val="21"/>
          <w:szCs w:val="21"/>
          <w:highlight w:val="none"/>
          <w:u w:val="single"/>
        </w:rPr>
        <w:t>（10）招标文件（11）其他合同文件。</w:t>
      </w:r>
    </w:p>
    <w:p w14:paraId="2120E70A">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1.6 图纸和承包人文件</w:t>
      </w:r>
      <w:r>
        <w:rPr>
          <w:rFonts w:hint="eastAsia" w:ascii="宋体" w:hAnsi="宋体" w:eastAsia="宋体" w:cs="宋体"/>
          <w:color w:val="auto"/>
          <w:sz w:val="21"/>
          <w:szCs w:val="21"/>
          <w:highlight w:val="none"/>
        </w:rPr>
        <w:tab/>
      </w:r>
    </w:p>
    <w:p w14:paraId="6DE85AC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1.6.1 图纸的提供</w:t>
      </w:r>
    </w:p>
    <w:p w14:paraId="1A5D41C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发包人向承包人提供图纸的期限：</w:t>
      </w:r>
      <w:r>
        <w:rPr>
          <w:rFonts w:hint="eastAsia" w:ascii="宋体" w:hAnsi="宋体" w:eastAsia="宋体" w:cs="宋体"/>
          <w:color w:val="auto"/>
          <w:sz w:val="21"/>
          <w:szCs w:val="21"/>
          <w:highlight w:val="none"/>
          <w:u w:val="single"/>
        </w:rPr>
        <w:t xml:space="preserve">合同签订生效后7天内    </w:t>
      </w:r>
      <w:r>
        <w:rPr>
          <w:rFonts w:hint="eastAsia" w:ascii="宋体" w:hAnsi="宋体" w:eastAsia="宋体" w:cs="宋体"/>
          <w:color w:val="auto"/>
          <w:sz w:val="21"/>
          <w:szCs w:val="21"/>
          <w:highlight w:val="none"/>
        </w:rPr>
        <w:t>；</w:t>
      </w:r>
    </w:p>
    <w:p w14:paraId="5E975310">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发包人向承包人提供图纸的数量：</w:t>
      </w:r>
      <w:r>
        <w:rPr>
          <w:rFonts w:hint="eastAsia" w:ascii="宋体" w:hAnsi="宋体" w:eastAsia="宋体" w:cs="宋体"/>
          <w:color w:val="auto"/>
          <w:sz w:val="21"/>
          <w:szCs w:val="21"/>
          <w:highlight w:val="none"/>
          <w:u w:val="single"/>
        </w:rPr>
        <w:t>合同签订生效后五天内向承包人免费提供施工图叁份</w:t>
      </w:r>
      <w:r>
        <w:rPr>
          <w:rFonts w:hint="eastAsia" w:ascii="宋体" w:hAnsi="宋体" w:eastAsia="宋体" w:cs="宋体"/>
          <w:color w:val="auto"/>
          <w:sz w:val="21"/>
          <w:szCs w:val="21"/>
          <w:highlight w:val="none"/>
        </w:rPr>
        <w:t>；</w:t>
      </w:r>
    </w:p>
    <w:p w14:paraId="12704C5A">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发包人向承包人提供图纸的内容：</w:t>
      </w:r>
      <w:r>
        <w:rPr>
          <w:rFonts w:hint="eastAsia" w:ascii="宋体" w:hAnsi="宋体" w:eastAsia="宋体" w:cs="宋体"/>
          <w:color w:val="auto"/>
          <w:sz w:val="21"/>
          <w:szCs w:val="21"/>
          <w:highlight w:val="none"/>
          <w:u w:val="single"/>
        </w:rPr>
        <w:t xml:space="preserve">       施工图       </w:t>
      </w:r>
      <w:r>
        <w:rPr>
          <w:rFonts w:hint="eastAsia" w:ascii="宋体" w:hAnsi="宋体" w:eastAsia="宋体" w:cs="宋体"/>
          <w:color w:val="auto"/>
          <w:sz w:val="21"/>
          <w:szCs w:val="21"/>
          <w:highlight w:val="none"/>
        </w:rPr>
        <w:t>。</w:t>
      </w:r>
    </w:p>
    <w:p w14:paraId="08159529">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1.6.4 承包人文件</w:t>
      </w:r>
    </w:p>
    <w:p w14:paraId="3FED0AA0">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需要由承包人提供的文件，包括：</w:t>
      </w:r>
      <w:r>
        <w:rPr>
          <w:rFonts w:hint="eastAsia" w:ascii="宋体" w:hAnsi="宋体" w:eastAsia="宋体" w:cs="宋体"/>
          <w:color w:val="auto"/>
          <w:sz w:val="21"/>
          <w:szCs w:val="21"/>
          <w:highlight w:val="none"/>
          <w:u w:val="single"/>
        </w:rPr>
        <w:t xml:space="preserve">     施工图以外的大样图、加工图、标准图等      </w:t>
      </w:r>
      <w:r>
        <w:rPr>
          <w:rFonts w:hint="eastAsia" w:ascii="宋体" w:hAnsi="宋体" w:eastAsia="宋体" w:cs="宋体"/>
          <w:color w:val="auto"/>
          <w:sz w:val="21"/>
          <w:szCs w:val="21"/>
          <w:highlight w:val="none"/>
        </w:rPr>
        <w:t>；</w:t>
      </w:r>
    </w:p>
    <w:p w14:paraId="5A7E2DC5">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承包人提供的文件的期限为：</w:t>
      </w:r>
      <w:r>
        <w:rPr>
          <w:rFonts w:hint="eastAsia" w:ascii="宋体" w:hAnsi="宋体" w:eastAsia="宋体" w:cs="宋体"/>
          <w:color w:val="auto"/>
          <w:sz w:val="21"/>
          <w:szCs w:val="21"/>
          <w:highlight w:val="none"/>
          <w:u w:val="single"/>
        </w:rPr>
        <w:t xml:space="preserve">      </w:t>
      </w:r>
      <w:r>
        <w:rPr>
          <w:rFonts w:hint="eastAsia" w:ascii="宋体" w:hAnsi="宋体" w:eastAsia="宋体" w:cs="宋体"/>
          <w:b/>
          <w:color w:val="auto"/>
          <w:sz w:val="21"/>
          <w:szCs w:val="21"/>
          <w:highlight w:val="none"/>
          <w:u w:val="single"/>
        </w:rPr>
        <w:t>施工前7天内</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7C5BA82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承包人提供的文件的数量为：</w:t>
      </w:r>
      <w:r>
        <w:rPr>
          <w:rFonts w:hint="eastAsia" w:ascii="宋体" w:hAnsi="宋体" w:eastAsia="宋体" w:cs="宋体"/>
          <w:color w:val="auto"/>
          <w:sz w:val="21"/>
          <w:szCs w:val="21"/>
          <w:highlight w:val="none"/>
          <w:u w:val="single"/>
        </w:rPr>
        <w:t xml:space="preserve">       8份       </w:t>
      </w:r>
      <w:r>
        <w:rPr>
          <w:rFonts w:hint="eastAsia" w:ascii="宋体" w:hAnsi="宋体" w:eastAsia="宋体" w:cs="宋体"/>
          <w:color w:val="auto"/>
          <w:sz w:val="21"/>
          <w:szCs w:val="21"/>
          <w:highlight w:val="none"/>
        </w:rPr>
        <w:t>；</w:t>
      </w:r>
    </w:p>
    <w:p w14:paraId="0398A0BA">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承包人提供的文件的形式为：</w:t>
      </w:r>
      <w:r>
        <w:rPr>
          <w:rFonts w:hint="eastAsia" w:ascii="宋体" w:hAnsi="宋体" w:eastAsia="宋体" w:cs="宋体"/>
          <w:color w:val="auto"/>
          <w:sz w:val="21"/>
          <w:szCs w:val="21"/>
          <w:highlight w:val="none"/>
          <w:u w:val="single"/>
        </w:rPr>
        <w:t xml:space="preserve">       纸质版       </w:t>
      </w:r>
      <w:r>
        <w:rPr>
          <w:rFonts w:hint="eastAsia" w:ascii="宋体" w:hAnsi="宋体" w:eastAsia="宋体" w:cs="宋体"/>
          <w:color w:val="auto"/>
          <w:sz w:val="21"/>
          <w:szCs w:val="21"/>
          <w:highlight w:val="none"/>
        </w:rPr>
        <w:t>；</w:t>
      </w:r>
    </w:p>
    <w:p w14:paraId="08B5DAEC">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发包人审批承包人文件的期限：</w:t>
      </w:r>
      <w:r>
        <w:rPr>
          <w:rFonts w:hint="eastAsia" w:ascii="宋体" w:hAnsi="宋体" w:eastAsia="宋体" w:cs="宋体"/>
          <w:color w:val="auto"/>
          <w:sz w:val="21"/>
          <w:szCs w:val="21"/>
          <w:highlight w:val="none"/>
          <w:u w:val="single"/>
        </w:rPr>
        <w:t xml:space="preserve">       7天       </w:t>
      </w:r>
      <w:r>
        <w:rPr>
          <w:rFonts w:hint="eastAsia" w:ascii="宋体" w:hAnsi="宋体" w:eastAsia="宋体" w:cs="宋体"/>
          <w:color w:val="auto"/>
          <w:sz w:val="21"/>
          <w:szCs w:val="21"/>
          <w:highlight w:val="none"/>
        </w:rPr>
        <w:t>。</w:t>
      </w:r>
    </w:p>
    <w:p w14:paraId="1389855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1.6.5 现场图纸准备</w:t>
      </w:r>
    </w:p>
    <w:p w14:paraId="40298EA8">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关于现场图纸准备的约定：</w:t>
      </w:r>
      <w:r>
        <w:rPr>
          <w:rFonts w:hint="eastAsia" w:ascii="宋体" w:hAnsi="宋体" w:eastAsia="宋体" w:cs="宋体"/>
          <w:color w:val="auto"/>
          <w:sz w:val="21"/>
          <w:szCs w:val="21"/>
          <w:highlight w:val="none"/>
          <w:u w:val="single"/>
        </w:rPr>
        <w:t xml:space="preserve">       按通用条款执行       </w:t>
      </w:r>
      <w:r>
        <w:rPr>
          <w:rFonts w:hint="eastAsia" w:ascii="宋体" w:hAnsi="宋体" w:eastAsia="宋体" w:cs="宋体"/>
          <w:color w:val="auto"/>
          <w:sz w:val="21"/>
          <w:szCs w:val="21"/>
          <w:highlight w:val="none"/>
        </w:rPr>
        <w:t>。</w:t>
      </w:r>
    </w:p>
    <w:p w14:paraId="2ADB0B0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1.7 联络</w:t>
      </w:r>
    </w:p>
    <w:p w14:paraId="790A762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1.7.1发包人和承包人应当在</w:t>
      </w:r>
      <w:r>
        <w:rPr>
          <w:rFonts w:hint="eastAsia" w:ascii="宋体" w:hAnsi="宋体" w:eastAsia="宋体" w:cs="宋体"/>
          <w:color w:val="auto"/>
          <w:sz w:val="21"/>
          <w:szCs w:val="21"/>
          <w:highlight w:val="none"/>
          <w:u w:val="single"/>
        </w:rPr>
        <w:t xml:space="preserve">     7   </w:t>
      </w:r>
      <w:r>
        <w:rPr>
          <w:rFonts w:hint="eastAsia" w:ascii="宋体" w:hAnsi="宋体" w:eastAsia="宋体" w:cs="宋体"/>
          <w:color w:val="auto"/>
          <w:kern w:val="0"/>
          <w:sz w:val="21"/>
          <w:szCs w:val="21"/>
          <w:highlight w:val="none"/>
        </w:rPr>
        <w:t>天内将与合同有关的通知、批准、证明、证书、指示、指令、要求、请求、同意、意见、确定和决定等书面函件送达对方当事人。</w:t>
      </w:r>
    </w:p>
    <w:p w14:paraId="75C40E1F">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1.7.2 发包人接收文件的地点：</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kern w:val="0"/>
          <w:sz w:val="21"/>
          <w:szCs w:val="21"/>
          <w:highlight w:val="none"/>
        </w:rPr>
        <w:t>；</w:t>
      </w:r>
    </w:p>
    <w:p w14:paraId="053F33C3">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发包人指定的接收人为：</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kern w:val="0"/>
          <w:sz w:val="21"/>
          <w:szCs w:val="21"/>
          <w:highlight w:val="none"/>
        </w:rPr>
        <w:t>。</w:t>
      </w:r>
    </w:p>
    <w:p w14:paraId="1439209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承包人接收文件的地点：</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kern w:val="0"/>
          <w:sz w:val="21"/>
          <w:szCs w:val="21"/>
          <w:highlight w:val="none"/>
        </w:rPr>
        <w:t>；</w:t>
      </w:r>
    </w:p>
    <w:p w14:paraId="4C49FFA0">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承包人指定的接收人为：</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kern w:val="0"/>
          <w:sz w:val="21"/>
          <w:szCs w:val="21"/>
          <w:highlight w:val="none"/>
        </w:rPr>
        <w:t>。</w:t>
      </w:r>
    </w:p>
    <w:p w14:paraId="33CD8449">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监理人接收文件的地点：</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kern w:val="0"/>
          <w:sz w:val="21"/>
          <w:szCs w:val="21"/>
          <w:highlight w:val="none"/>
        </w:rPr>
        <w:t>；</w:t>
      </w:r>
    </w:p>
    <w:p w14:paraId="42A08713">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监理人指定的接收人为：</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kern w:val="0"/>
          <w:sz w:val="21"/>
          <w:szCs w:val="21"/>
          <w:highlight w:val="none"/>
        </w:rPr>
        <w:t>。</w:t>
      </w:r>
    </w:p>
    <w:p w14:paraId="658A7E4A">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1.10 交通运输</w:t>
      </w:r>
    </w:p>
    <w:p w14:paraId="6C411BC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bookmarkStart w:id="273" w:name="_Toc318581155"/>
      <w:bookmarkStart w:id="274" w:name="_Toc312677986"/>
      <w:bookmarkStart w:id="275" w:name="_Toc300934943"/>
      <w:bookmarkStart w:id="276" w:name="_Toc304295521"/>
      <w:bookmarkStart w:id="277" w:name="_Toc303539100"/>
      <w:r>
        <w:rPr>
          <w:rFonts w:hint="eastAsia" w:ascii="宋体" w:hAnsi="宋体" w:eastAsia="宋体" w:cs="宋体"/>
          <w:color w:val="auto"/>
          <w:sz w:val="21"/>
          <w:szCs w:val="21"/>
          <w:highlight w:val="none"/>
        </w:rPr>
        <w:t>.10.1 出入现场的权利</w:t>
      </w:r>
    </w:p>
    <w:p w14:paraId="5DE3AFBF">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关于出入现场的权利的约定：</w:t>
      </w:r>
      <w:r>
        <w:rPr>
          <w:rFonts w:hint="eastAsia" w:ascii="宋体" w:hAnsi="宋体" w:eastAsia="宋体" w:cs="宋体"/>
          <w:color w:val="auto"/>
          <w:sz w:val="21"/>
          <w:szCs w:val="21"/>
          <w:highlight w:val="none"/>
          <w:u w:val="single"/>
        </w:rPr>
        <w:t xml:space="preserve">   按通用条款执行   </w:t>
      </w:r>
      <w:r>
        <w:rPr>
          <w:rFonts w:hint="eastAsia" w:ascii="宋体" w:hAnsi="宋体" w:eastAsia="宋体" w:cs="宋体"/>
          <w:color w:val="auto"/>
          <w:sz w:val="21"/>
          <w:szCs w:val="21"/>
          <w:highlight w:val="none"/>
        </w:rPr>
        <w:t>。</w:t>
      </w:r>
    </w:p>
    <w:bookmarkEnd w:id="273"/>
    <w:bookmarkEnd w:id="274"/>
    <w:bookmarkEnd w:id="275"/>
    <w:bookmarkEnd w:id="276"/>
    <w:bookmarkEnd w:id="277"/>
    <w:p w14:paraId="6FDCAAF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bookmarkStart w:id="278" w:name="_Toc303539101"/>
      <w:bookmarkStart w:id="279" w:name="_Toc300934944"/>
      <w:bookmarkStart w:id="280" w:name="_Toc304295522"/>
      <w:bookmarkStart w:id="281" w:name="_Toc312677987"/>
      <w:bookmarkStart w:id="282" w:name="_Toc318581156"/>
      <w:r>
        <w:rPr>
          <w:rFonts w:hint="eastAsia" w:ascii="宋体" w:hAnsi="宋体" w:eastAsia="宋体" w:cs="宋体"/>
          <w:color w:val="auto"/>
          <w:sz w:val="21"/>
          <w:szCs w:val="21"/>
          <w:highlight w:val="none"/>
        </w:rPr>
        <w:t>.10.3 场内交通</w:t>
      </w:r>
    </w:p>
    <w:p w14:paraId="0E1E76AD">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关于场外交通和场内交通的边界的约定：</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3067A04F">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关于发包人向承包人免费提供满足工程施工需要的场内道路和交通设施的约定：</w:t>
      </w:r>
      <w:r>
        <w:rPr>
          <w:rFonts w:hint="eastAsia" w:ascii="宋体" w:hAnsi="宋体" w:eastAsia="宋体" w:cs="宋体"/>
          <w:color w:val="auto"/>
          <w:sz w:val="21"/>
          <w:szCs w:val="21"/>
          <w:highlight w:val="none"/>
          <w:u w:val="single"/>
        </w:rPr>
        <w:t xml:space="preserve">由承包人负责场内道路和交通设施的修建并承担相应费用     </w:t>
      </w:r>
      <w:r>
        <w:rPr>
          <w:rFonts w:hint="eastAsia" w:ascii="宋体" w:hAnsi="宋体" w:eastAsia="宋体" w:cs="宋体"/>
          <w:color w:val="auto"/>
          <w:sz w:val="21"/>
          <w:szCs w:val="21"/>
          <w:highlight w:val="none"/>
        </w:rPr>
        <w:t>。</w:t>
      </w:r>
      <w:bookmarkEnd w:id="278"/>
      <w:bookmarkEnd w:id="279"/>
      <w:bookmarkEnd w:id="280"/>
      <w:bookmarkEnd w:id="281"/>
      <w:bookmarkEnd w:id="282"/>
      <w:r>
        <w:rPr>
          <w:rFonts w:hint="eastAsia" w:ascii="宋体" w:hAnsi="宋体" w:eastAsia="宋体" w:cs="宋体"/>
          <w:color w:val="auto"/>
          <w:sz w:val="21"/>
          <w:szCs w:val="21"/>
          <w:highlight w:val="none"/>
        </w:rPr>
        <w:t xml:space="preserve">  </w:t>
      </w:r>
      <w:bookmarkStart w:id="283" w:name="_Toc318581157"/>
    </w:p>
    <w:p w14:paraId="4CD6493D">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1.10.4超大件和超重件的运输</w:t>
      </w:r>
    </w:p>
    <w:p w14:paraId="7661D9EC">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运输超大件或超重件所需的道路和桥梁临时加固改造费用和其他有关费用由</w:t>
      </w:r>
      <w:r>
        <w:rPr>
          <w:rFonts w:hint="eastAsia" w:ascii="宋体" w:hAnsi="宋体" w:eastAsia="宋体" w:cs="宋体"/>
          <w:color w:val="auto"/>
          <w:sz w:val="21"/>
          <w:szCs w:val="21"/>
          <w:highlight w:val="none"/>
          <w:u w:val="single"/>
        </w:rPr>
        <w:t xml:space="preserve">  承包人  </w:t>
      </w:r>
      <w:r>
        <w:rPr>
          <w:rFonts w:hint="eastAsia" w:ascii="宋体" w:hAnsi="宋体" w:eastAsia="宋体" w:cs="宋体"/>
          <w:color w:val="auto"/>
          <w:sz w:val="21"/>
          <w:szCs w:val="21"/>
          <w:highlight w:val="none"/>
        </w:rPr>
        <w:t>承担。</w:t>
      </w:r>
    </w:p>
    <w:bookmarkEnd w:id="283"/>
    <w:p w14:paraId="4A148A7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1.11 知识产权</w:t>
      </w:r>
    </w:p>
    <w:p w14:paraId="5633FF43">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1.11.1关于发包人提供给承包人的图纸、发包人为实施工程自行编制或委托编制的技术规范以及反映发包人关于合同要求或其他类似性质的文件的著作权的归属：</w:t>
      </w:r>
      <w:r>
        <w:rPr>
          <w:rFonts w:hint="eastAsia" w:ascii="宋体" w:hAnsi="宋体" w:eastAsia="宋体" w:cs="宋体"/>
          <w:color w:val="auto"/>
          <w:sz w:val="21"/>
          <w:szCs w:val="21"/>
          <w:highlight w:val="none"/>
          <w:u w:val="single"/>
        </w:rPr>
        <w:t>著作权属于发包人</w:t>
      </w:r>
      <w:r>
        <w:rPr>
          <w:rFonts w:hint="eastAsia" w:ascii="宋体" w:hAnsi="宋体" w:eastAsia="宋体" w:cs="宋体"/>
          <w:color w:val="auto"/>
          <w:sz w:val="21"/>
          <w:szCs w:val="21"/>
          <w:highlight w:val="none"/>
        </w:rPr>
        <w:t>。</w:t>
      </w:r>
    </w:p>
    <w:p w14:paraId="1D53C131">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关于发包人提供的上述文件的使用限制的要求：</w:t>
      </w:r>
      <w:r>
        <w:rPr>
          <w:rFonts w:hint="eastAsia" w:ascii="宋体" w:hAnsi="宋体" w:eastAsia="宋体" w:cs="宋体"/>
          <w:color w:val="auto"/>
          <w:sz w:val="21"/>
          <w:szCs w:val="21"/>
          <w:highlight w:val="none"/>
          <w:u w:val="single"/>
        </w:rPr>
        <w:t>未经发包人同意，承包人不得为了合同以外的目的而复制、使用上述文件或将之提供给任何第三方</w:t>
      </w:r>
      <w:r>
        <w:rPr>
          <w:rFonts w:hint="eastAsia" w:ascii="宋体" w:hAnsi="宋体" w:eastAsia="宋体" w:cs="宋体"/>
          <w:color w:val="auto"/>
          <w:sz w:val="21"/>
          <w:szCs w:val="21"/>
          <w:highlight w:val="none"/>
        </w:rPr>
        <w:t>。</w:t>
      </w:r>
    </w:p>
    <w:p w14:paraId="34094043">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1.11.2 关于承包人为实施工程所编制文件的著作权的归属：</w:t>
      </w:r>
      <w:r>
        <w:rPr>
          <w:rFonts w:hint="eastAsia" w:ascii="宋体" w:hAnsi="宋体" w:eastAsia="宋体" w:cs="宋体"/>
          <w:color w:val="auto"/>
          <w:sz w:val="21"/>
          <w:szCs w:val="21"/>
          <w:highlight w:val="none"/>
          <w:u w:val="single"/>
        </w:rPr>
        <w:t>除署名以外著作权属于发包人</w:t>
      </w:r>
      <w:r>
        <w:rPr>
          <w:rFonts w:hint="eastAsia" w:ascii="宋体" w:hAnsi="宋体" w:eastAsia="宋体" w:cs="宋体"/>
          <w:color w:val="auto"/>
          <w:sz w:val="21"/>
          <w:szCs w:val="21"/>
          <w:highlight w:val="none"/>
        </w:rPr>
        <w:t>。</w:t>
      </w:r>
    </w:p>
    <w:p w14:paraId="7AB3FF8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关于承包人提供的上述文件的使用限制的要求：</w:t>
      </w:r>
      <w:r>
        <w:rPr>
          <w:rFonts w:hint="eastAsia" w:ascii="宋体" w:hAnsi="宋体" w:eastAsia="宋体" w:cs="宋体"/>
          <w:color w:val="auto"/>
          <w:sz w:val="21"/>
          <w:szCs w:val="21"/>
          <w:highlight w:val="none"/>
          <w:u w:val="single"/>
        </w:rPr>
        <w:t>未经发包人同意，承包人不得为了合同以外的目的而复制、使用上述文件或将之提供给任何第三方</w:t>
      </w:r>
      <w:r>
        <w:rPr>
          <w:rFonts w:hint="eastAsia" w:ascii="宋体" w:hAnsi="宋体" w:eastAsia="宋体" w:cs="宋体"/>
          <w:color w:val="auto"/>
          <w:sz w:val="21"/>
          <w:szCs w:val="21"/>
          <w:highlight w:val="none"/>
        </w:rPr>
        <w:t>。</w:t>
      </w:r>
    </w:p>
    <w:p w14:paraId="74BD7B5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sz w:val="21"/>
          <w:szCs w:val="21"/>
          <w:highlight w:val="none"/>
        </w:rPr>
        <w:t>1.11.4 承包人在施工过程中所采用的专利、专有技术、技术秘密的使用费的承担方式：</w:t>
      </w:r>
      <w:r>
        <w:rPr>
          <w:rFonts w:hint="eastAsia" w:ascii="宋体" w:hAnsi="宋体" w:eastAsia="宋体" w:cs="宋体"/>
          <w:color w:val="auto"/>
          <w:sz w:val="21"/>
          <w:szCs w:val="21"/>
          <w:highlight w:val="none"/>
          <w:u w:val="single"/>
        </w:rPr>
        <w:t>由承包人承担</w:t>
      </w:r>
      <w:r>
        <w:rPr>
          <w:rFonts w:hint="eastAsia" w:ascii="宋体" w:hAnsi="宋体" w:eastAsia="宋体" w:cs="宋体"/>
          <w:color w:val="auto"/>
          <w:kern w:val="0"/>
          <w:sz w:val="21"/>
          <w:szCs w:val="21"/>
          <w:highlight w:val="none"/>
        </w:rPr>
        <w:t>。</w:t>
      </w:r>
    </w:p>
    <w:p w14:paraId="7FBFCE6A">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1.13工程量清单错误的修正</w:t>
      </w:r>
    </w:p>
    <w:p w14:paraId="0D54D5C8">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出现工程量清单错误时，是否调整合同价格：</w:t>
      </w:r>
      <w:r>
        <w:rPr>
          <w:rFonts w:hint="eastAsia" w:ascii="宋体" w:hAnsi="宋体" w:eastAsia="宋体" w:cs="宋体"/>
          <w:color w:val="auto"/>
          <w:sz w:val="21"/>
          <w:szCs w:val="21"/>
          <w:highlight w:val="none"/>
          <w:u w:val="single"/>
        </w:rPr>
        <w:t xml:space="preserve">    按通用条款执行     </w:t>
      </w:r>
      <w:r>
        <w:rPr>
          <w:rFonts w:hint="eastAsia" w:ascii="宋体" w:hAnsi="宋体" w:eastAsia="宋体" w:cs="宋体"/>
          <w:color w:val="auto"/>
          <w:kern w:val="0"/>
          <w:sz w:val="21"/>
          <w:szCs w:val="21"/>
          <w:highlight w:val="none"/>
        </w:rPr>
        <w:t>。</w:t>
      </w:r>
    </w:p>
    <w:p w14:paraId="60E08178">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允许调整合同价格的工程量偏差范围：</w:t>
      </w:r>
      <w:r>
        <w:rPr>
          <w:rFonts w:hint="eastAsia" w:ascii="宋体" w:hAnsi="宋体" w:eastAsia="宋体" w:cs="宋体"/>
          <w:color w:val="auto"/>
          <w:sz w:val="21"/>
          <w:szCs w:val="21"/>
          <w:highlight w:val="none"/>
          <w:u w:val="single"/>
        </w:rPr>
        <w:t xml:space="preserve"> 超出15%  </w:t>
      </w:r>
      <w:r>
        <w:rPr>
          <w:rFonts w:hint="eastAsia" w:ascii="宋体" w:hAnsi="宋体" w:eastAsia="宋体" w:cs="宋体"/>
          <w:color w:val="auto"/>
          <w:kern w:val="0"/>
          <w:sz w:val="21"/>
          <w:szCs w:val="21"/>
          <w:highlight w:val="none"/>
        </w:rPr>
        <w:t>。</w:t>
      </w:r>
    </w:p>
    <w:p w14:paraId="3BB65171">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284" w:name="_Toc351203634"/>
      <w:r>
        <w:rPr>
          <w:rFonts w:hint="eastAsia" w:ascii="宋体" w:hAnsi="宋体" w:eastAsia="宋体" w:cs="宋体"/>
          <w:b w:val="0"/>
          <w:color w:val="auto"/>
          <w:sz w:val="21"/>
          <w:szCs w:val="21"/>
          <w:highlight w:val="none"/>
        </w:rPr>
        <w:t>2</w:t>
      </w:r>
      <w:bookmarkStart w:id="285" w:name="_Toc296890985"/>
      <w:bookmarkStart w:id="286" w:name="_Toc297048343"/>
      <w:bookmarkStart w:id="287" w:name="_Toc296346658"/>
      <w:bookmarkStart w:id="288" w:name="_Toc292559362"/>
      <w:bookmarkStart w:id="289" w:name="_Toc296944496"/>
      <w:bookmarkStart w:id="290" w:name="_Toc297120457"/>
      <w:bookmarkStart w:id="291" w:name="_Toc296891197"/>
      <w:bookmarkStart w:id="292" w:name="_Toc292559867"/>
      <w:bookmarkStart w:id="293" w:name="_Toc296347156"/>
      <w:bookmarkStart w:id="294" w:name="_Toc296503157"/>
      <w:r>
        <w:rPr>
          <w:rFonts w:hint="eastAsia" w:ascii="宋体" w:hAnsi="宋体" w:eastAsia="宋体" w:cs="宋体"/>
          <w:b w:val="0"/>
          <w:color w:val="auto"/>
          <w:sz w:val="21"/>
          <w:szCs w:val="21"/>
          <w:highlight w:val="none"/>
        </w:rPr>
        <w:t>. 发包人</w:t>
      </w:r>
      <w:bookmarkEnd w:id="284"/>
    </w:p>
    <w:bookmarkEnd w:id="285"/>
    <w:bookmarkEnd w:id="286"/>
    <w:bookmarkEnd w:id="287"/>
    <w:bookmarkEnd w:id="288"/>
    <w:bookmarkEnd w:id="289"/>
    <w:bookmarkEnd w:id="290"/>
    <w:bookmarkEnd w:id="291"/>
    <w:bookmarkEnd w:id="292"/>
    <w:bookmarkEnd w:id="293"/>
    <w:bookmarkEnd w:id="294"/>
    <w:p w14:paraId="74699DF3">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2.2 发包人代表</w:t>
      </w:r>
    </w:p>
    <w:p w14:paraId="00494778">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发包人代表：</w:t>
      </w:r>
    </w:p>
    <w:p w14:paraId="448F8326">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姓    名：</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699E4A22">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身份证号：</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0D9525D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职    务：</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45D7B62F">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联系电话：</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0F5CD9A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电子信箱：</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464D1AAD">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通信地址：</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666225C0">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发包人对发包人代表的授权范围如下：</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66174959">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2.4 施工现场、施工条件和基础资料的提供</w:t>
      </w:r>
    </w:p>
    <w:p w14:paraId="371F9AFB">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2.4.1 提供施工现场</w:t>
      </w:r>
    </w:p>
    <w:p w14:paraId="1A91CA7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关于发包人移交施工现场的期限要求：</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43AF4C3B">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2.4.2 提供施工条件</w:t>
      </w:r>
    </w:p>
    <w:p w14:paraId="5F2D99CD">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关于发包人应负责提供施工所需要的条件，包括：</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719CF0B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2.5 资金来源证明及支付担保</w:t>
      </w:r>
    </w:p>
    <w:p w14:paraId="5C4F63F3">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发包人提供资金来源证明的期限要求：</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p w14:paraId="7EF89EB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发包人是否提供支付担保：</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无     </w:t>
      </w:r>
      <w:r>
        <w:rPr>
          <w:rFonts w:hint="eastAsia" w:ascii="宋体" w:hAnsi="宋体" w:eastAsia="宋体" w:cs="宋体"/>
          <w:color w:val="auto"/>
          <w:sz w:val="21"/>
          <w:szCs w:val="21"/>
          <w:highlight w:val="none"/>
        </w:rPr>
        <w:t>。</w:t>
      </w:r>
    </w:p>
    <w:p w14:paraId="32D3339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发包人提供支付担保的形式：</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p w14:paraId="2D01DAF9">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295" w:name="_Toc351203635"/>
      <w:r>
        <w:rPr>
          <w:rFonts w:hint="eastAsia" w:ascii="宋体" w:hAnsi="宋体" w:eastAsia="宋体" w:cs="宋体"/>
          <w:b w:val="0"/>
          <w:color w:val="auto"/>
          <w:sz w:val="21"/>
          <w:szCs w:val="21"/>
          <w:highlight w:val="none"/>
        </w:rPr>
        <w:t>3</w:t>
      </w:r>
      <w:bookmarkStart w:id="296" w:name="_Toc292559868"/>
      <w:bookmarkStart w:id="297" w:name="_Toc297048344"/>
      <w:bookmarkStart w:id="298" w:name="_Toc296347157"/>
      <w:bookmarkStart w:id="299" w:name="_Toc297120458"/>
      <w:bookmarkStart w:id="300" w:name="_Toc296944497"/>
      <w:bookmarkStart w:id="301" w:name="_Toc296891198"/>
      <w:bookmarkStart w:id="302" w:name="_Toc296890986"/>
      <w:bookmarkStart w:id="303" w:name="_Toc296346659"/>
      <w:bookmarkStart w:id="304" w:name="_Toc292559363"/>
      <w:bookmarkStart w:id="305" w:name="_Toc296503158"/>
      <w:r>
        <w:rPr>
          <w:rFonts w:hint="eastAsia" w:ascii="宋体" w:hAnsi="宋体" w:eastAsia="宋体" w:cs="宋体"/>
          <w:b w:val="0"/>
          <w:color w:val="auto"/>
          <w:sz w:val="21"/>
          <w:szCs w:val="21"/>
          <w:highlight w:val="none"/>
        </w:rPr>
        <w:t>. 承包人</w:t>
      </w:r>
      <w:bookmarkEnd w:id="295"/>
    </w:p>
    <w:bookmarkEnd w:id="296"/>
    <w:bookmarkEnd w:id="297"/>
    <w:bookmarkEnd w:id="298"/>
    <w:bookmarkEnd w:id="299"/>
    <w:bookmarkEnd w:id="300"/>
    <w:bookmarkEnd w:id="301"/>
    <w:bookmarkEnd w:id="302"/>
    <w:bookmarkEnd w:id="303"/>
    <w:bookmarkEnd w:id="304"/>
    <w:bookmarkEnd w:id="305"/>
    <w:p w14:paraId="10A77BE8">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3.1 承包人的一般义务</w:t>
      </w:r>
    </w:p>
    <w:p w14:paraId="577A8A53">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（5）</w:t>
      </w:r>
      <w:r>
        <w:rPr>
          <w:rFonts w:hint="eastAsia" w:ascii="宋体" w:hAnsi="宋体" w:eastAsia="宋体" w:cs="宋体"/>
          <w:color w:val="auto"/>
          <w:sz w:val="21"/>
          <w:szCs w:val="21"/>
          <w:highlight w:val="none"/>
        </w:rPr>
        <w:t>承包人提交的竣工资料的内容：</w:t>
      </w:r>
      <w:r>
        <w:rPr>
          <w:rFonts w:hint="eastAsia" w:ascii="宋体" w:hAnsi="宋体" w:eastAsia="宋体" w:cs="宋体"/>
          <w:color w:val="auto"/>
          <w:position w:val="-2"/>
          <w:sz w:val="21"/>
          <w:szCs w:val="21"/>
          <w:highlight w:val="none"/>
          <w:u w:val="single"/>
        </w:rPr>
        <w:t>①工程具备竣工验收条件，承包人按工程竣工验收有关规定，向发包人提交符合归档要求内容装订成册的完整竣工资料及竣工验收报告、工程竣工图；②承包人所提交的竣工资料必须符合《建设工程文件归档整理规范》要求，并在结算审批时出具符合规定的《工程档案验收合格证明》及建设单位接收档案资料清单证明。</w:t>
      </w:r>
    </w:p>
    <w:p w14:paraId="5FC88CD0">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承包人需要提交的竣工资料套数：</w:t>
      </w:r>
      <w:r>
        <w:rPr>
          <w:rFonts w:hint="eastAsia" w:ascii="宋体" w:hAnsi="宋体" w:eastAsia="宋体" w:cs="宋体"/>
          <w:color w:val="auto"/>
          <w:sz w:val="21"/>
          <w:szCs w:val="21"/>
          <w:highlight w:val="none"/>
          <w:u w:val="single"/>
        </w:rPr>
        <w:t xml:space="preserve">全套竣工资料一式4份  </w:t>
      </w:r>
      <w:r>
        <w:rPr>
          <w:rFonts w:hint="eastAsia" w:ascii="宋体" w:hAnsi="宋体" w:eastAsia="宋体" w:cs="宋体"/>
          <w:color w:val="auto"/>
          <w:sz w:val="21"/>
          <w:szCs w:val="21"/>
          <w:highlight w:val="none"/>
        </w:rPr>
        <w:t>。</w:t>
      </w:r>
    </w:p>
    <w:p w14:paraId="5E4B7C0B">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承包人提交的竣工资料的费用承担：</w:t>
      </w:r>
      <w:r>
        <w:rPr>
          <w:rFonts w:hint="eastAsia" w:ascii="宋体" w:hAnsi="宋体" w:eastAsia="宋体" w:cs="宋体"/>
          <w:color w:val="auto"/>
          <w:sz w:val="21"/>
          <w:szCs w:val="21"/>
          <w:highlight w:val="none"/>
          <w:u w:val="single"/>
        </w:rPr>
        <w:t>由承包人承担相关费用</w:t>
      </w:r>
      <w:r>
        <w:rPr>
          <w:rFonts w:hint="eastAsia" w:ascii="宋体" w:hAnsi="宋体" w:eastAsia="宋体" w:cs="宋体"/>
          <w:color w:val="auto"/>
          <w:sz w:val="21"/>
          <w:szCs w:val="21"/>
          <w:highlight w:val="none"/>
        </w:rPr>
        <w:t>。</w:t>
      </w:r>
    </w:p>
    <w:p w14:paraId="12003EF1">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承包人提交的竣工资料移交时间：</w:t>
      </w:r>
      <w:r>
        <w:rPr>
          <w:rFonts w:hint="eastAsia" w:ascii="宋体" w:hAnsi="宋体" w:eastAsia="宋体" w:cs="宋体"/>
          <w:color w:val="auto"/>
          <w:sz w:val="21"/>
          <w:szCs w:val="21"/>
          <w:highlight w:val="none"/>
          <w:u w:val="single"/>
        </w:rPr>
        <w:t xml:space="preserve"> 工程竣工验收合格后14天内   </w:t>
      </w:r>
      <w:r>
        <w:rPr>
          <w:rFonts w:hint="eastAsia" w:ascii="宋体" w:hAnsi="宋体" w:eastAsia="宋体" w:cs="宋体"/>
          <w:color w:val="auto"/>
          <w:sz w:val="21"/>
          <w:szCs w:val="21"/>
          <w:highlight w:val="none"/>
        </w:rPr>
        <w:t>。</w:t>
      </w:r>
    </w:p>
    <w:p w14:paraId="24310049">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承包人提交的竣工资料形式要求：</w:t>
      </w:r>
      <w:r>
        <w:rPr>
          <w:rFonts w:hint="eastAsia" w:ascii="宋体" w:hAnsi="宋体" w:eastAsia="宋体" w:cs="宋体"/>
          <w:color w:val="auto"/>
          <w:sz w:val="21"/>
          <w:szCs w:val="21"/>
          <w:highlight w:val="none"/>
          <w:u w:val="single"/>
        </w:rPr>
        <w:t xml:space="preserve">   纸质版   </w:t>
      </w:r>
      <w:r>
        <w:rPr>
          <w:rFonts w:hint="eastAsia" w:ascii="宋体" w:hAnsi="宋体" w:eastAsia="宋体" w:cs="宋体"/>
          <w:color w:val="auto"/>
          <w:sz w:val="21"/>
          <w:szCs w:val="21"/>
          <w:highlight w:val="none"/>
        </w:rPr>
        <w:t>。</w:t>
      </w:r>
    </w:p>
    <w:p w14:paraId="1A6E15B5">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（6）承包人应履行的其他义务：</w:t>
      </w:r>
      <w:r>
        <w:rPr>
          <w:rFonts w:hint="eastAsia" w:ascii="宋体" w:hAnsi="宋体" w:eastAsia="宋体" w:cs="宋体"/>
          <w:color w:val="auto"/>
          <w:sz w:val="21"/>
          <w:szCs w:val="21"/>
          <w:highlight w:val="none"/>
          <w:u w:val="single"/>
        </w:rPr>
        <w:t>①承包人应当主动配合发包人协调与施工现场周边农村及村民的关系，确保项目施工顺利进行；②农民工工资按桂劳社发</w:t>
      </w:r>
      <w:r>
        <w:rPr>
          <w:rFonts w:hint="eastAsia" w:ascii="宋体" w:hAnsi="宋体" w:cs="宋体"/>
          <w:color w:val="auto"/>
          <w:sz w:val="21"/>
          <w:szCs w:val="21"/>
          <w:highlight w:val="none"/>
          <w:u w:val="single"/>
          <w:lang w:eastAsia="zh-CN"/>
        </w:rPr>
        <w:t>〔2009〕50号</w:t>
      </w:r>
      <w:r>
        <w:rPr>
          <w:rFonts w:hint="eastAsia" w:ascii="宋体" w:hAnsi="宋体" w:eastAsia="宋体" w:cs="宋体"/>
          <w:color w:val="auto"/>
          <w:sz w:val="21"/>
          <w:szCs w:val="21"/>
          <w:highlight w:val="none"/>
          <w:u w:val="single"/>
        </w:rPr>
        <w:t>文件执行</w:t>
      </w:r>
      <w:r>
        <w:rPr>
          <w:rFonts w:hint="eastAsia" w:ascii="宋体" w:hAnsi="宋体" w:eastAsia="宋体" w:cs="宋体"/>
          <w:color w:val="auto"/>
          <w:kern w:val="0"/>
          <w:sz w:val="21"/>
          <w:szCs w:val="21"/>
          <w:highlight w:val="none"/>
          <w:u w:val="single"/>
        </w:rPr>
        <w:t>，中标单位应按时支付农民工工资，发包人支付到合同价款的80％时，承包人应全部支付完农民工工资，之后如有农民工到发包方单位及上级部门反映索要工资现象视为违约，每发生一次扣最终结算价的1％，发包方可从应向承包方支付的款项中扣除；③</w:t>
      </w:r>
      <w:r>
        <w:rPr>
          <w:rFonts w:hint="eastAsia" w:ascii="宋体" w:hAnsi="宋体" w:eastAsia="宋体" w:cs="宋体"/>
          <w:color w:val="auto"/>
          <w:sz w:val="21"/>
          <w:szCs w:val="21"/>
          <w:highlight w:val="none"/>
          <w:u w:val="single"/>
        </w:rPr>
        <w:t>本工程必须是中标人独立完成，不得转包。如一经发现转包，发包人有权终止合同，依法另行选择承包人，原承包人无条件退出现场；④发包人另行发包的招标范围以外的工程，承包人必须无条件配合；⑤承包人在承包工程施工期间所发生的一切责任事故，全部由承包人承担经济责任和法律责任</w:t>
      </w:r>
      <w:r>
        <w:rPr>
          <w:rFonts w:hint="eastAsia" w:ascii="宋体" w:hAnsi="宋体" w:eastAsia="宋体" w:cs="宋体"/>
          <w:color w:val="auto"/>
          <w:kern w:val="0"/>
          <w:sz w:val="21"/>
          <w:szCs w:val="21"/>
          <w:highlight w:val="none"/>
        </w:rPr>
        <w:t>。</w:t>
      </w:r>
      <w:r>
        <w:rPr>
          <w:rFonts w:hint="eastAsia" w:ascii="宋体" w:hAnsi="宋体" w:eastAsia="宋体" w:cs="宋体"/>
          <w:color w:val="auto"/>
          <w:sz w:val="21"/>
          <w:szCs w:val="21"/>
          <w:highlight w:val="none"/>
        </w:rPr>
        <w:t xml:space="preserve"> </w:t>
      </w:r>
    </w:p>
    <w:p w14:paraId="1DA0E1C3">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3.2 项目经理</w:t>
      </w:r>
    </w:p>
    <w:p w14:paraId="44604C0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 xml:space="preserve">3.2.1 </w:t>
      </w:r>
      <w:r>
        <w:rPr>
          <w:rFonts w:hint="eastAsia" w:ascii="宋体" w:hAnsi="宋体" w:eastAsia="宋体" w:cs="宋体"/>
          <w:color w:val="auto"/>
          <w:sz w:val="21"/>
          <w:szCs w:val="21"/>
          <w:highlight w:val="none"/>
        </w:rPr>
        <w:t>项目经理：</w:t>
      </w:r>
    </w:p>
    <w:p w14:paraId="2D49E10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姓    名：</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190D184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身份证号：</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2883557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建造师执业资格等级：</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283C78DD">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建造师注册证书号：</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5800E348">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建造师执业印章号：</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3DB83B8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安全生产考核合格证书号：</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5220746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联系电话：</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05EA310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电子信箱：</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645344A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通信地址：</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537D899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承包人对项目经理的授权范围如下：</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3854A44A">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关于项目经理每月在施工现场的时间要求：</w:t>
      </w:r>
      <w:r>
        <w:rPr>
          <w:rFonts w:hint="eastAsia" w:ascii="宋体" w:hAnsi="宋体" w:eastAsia="宋体" w:cs="宋体"/>
          <w:color w:val="auto"/>
          <w:sz w:val="21"/>
          <w:szCs w:val="21"/>
          <w:highlight w:val="none"/>
          <w:u w:val="single"/>
        </w:rPr>
        <w:t xml:space="preserve">  不少于22</w:t>
      </w:r>
      <w:r>
        <w:rPr>
          <w:rFonts w:hint="eastAsia" w:ascii="宋体" w:hAnsi="宋体" w:eastAsia="宋体" w:cs="宋体"/>
          <w:color w:val="auto"/>
          <w:sz w:val="21"/>
          <w:szCs w:val="21"/>
          <w:highlight w:val="none"/>
          <w:u w:val="single"/>
          <w:lang w:val="en-US" w:eastAsia="zh-CN"/>
        </w:rPr>
        <w:t>天</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62E14D42">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承包人未提交劳动合同，以及没有为项目经理缴纳社会保险证明的违约责任：</w:t>
      </w:r>
      <w:r>
        <w:rPr>
          <w:rFonts w:hint="eastAsia" w:ascii="宋体" w:hAnsi="宋体" w:eastAsia="宋体" w:cs="宋体"/>
          <w:color w:val="auto"/>
          <w:sz w:val="21"/>
          <w:szCs w:val="21"/>
          <w:highlight w:val="none"/>
          <w:u w:val="single"/>
        </w:rPr>
        <w:t xml:space="preserve">  发包人有权更换项目经理直至解除承包合同    </w:t>
      </w:r>
      <w:r>
        <w:rPr>
          <w:rFonts w:hint="eastAsia" w:ascii="宋体" w:hAnsi="宋体" w:eastAsia="宋体" w:cs="宋体"/>
          <w:color w:val="auto"/>
          <w:sz w:val="21"/>
          <w:szCs w:val="21"/>
          <w:highlight w:val="none"/>
        </w:rPr>
        <w:t>。</w:t>
      </w:r>
    </w:p>
    <w:p w14:paraId="6BB05CFA">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rPr>
        <w:t>项目经理未经批准，擅自离开施工现场的违约责任：</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4566EDB6">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3.2.3 承包人擅自更换项目经理的违约责任：</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kern w:val="0"/>
          <w:sz w:val="21"/>
          <w:szCs w:val="21"/>
          <w:highlight w:val="none"/>
          <w:u w:val="single"/>
        </w:rPr>
        <w:t>承包人若不能按投标书的承诺派驻项目经理必须承担违约责任：若经发包人检查发现人员不齐、不符合要求的，发包人发出整改通知书，承包人按整改通知书进行整改，若整改仍不符合要求，则扣款2</w:t>
      </w:r>
      <w:r>
        <w:rPr>
          <w:rFonts w:hint="eastAsia" w:ascii="宋体" w:hAnsi="宋体" w:eastAsia="宋体" w:cs="宋体"/>
          <w:color w:val="auto"/>
          <w:kern w:val="0"/>
          <w:sz w:val="21"/>
          <w:szCs w:val="21"/>
          <w:highlight w:val="none"/>
          <w:u w:val="single"/>
          <w:lang w:val="en-US" w:eastAsia="zh-CN"/>
        </w:rPr>
        <w:t>000</w:t>
      </w:r>
      <w:r>
        <w:rPr>
          <w:rFonts w:hint="eastAsia" w:ascii="宋体" w:hAnsi="宋体" w:eastAsia="宋体" w:cs="宋体"/>
          <w:color w:val="auto"/>
          <w:kern w:val="0"/>
          <w:sz w:val="21"/>
          <w:szCs w:val="21"/>
          <w:highlight w:val="none"/>
          <w:u w:val="single"/>
        </w:rPr>
        <w:t>元；若未经发包人同意，承包人擅自更换注册建造师，每更换一次，扣款2</w:t>
      </w:r>
      <w:r>
        <w:rPr>
          <w:rFonts w:hint="eastAsia" w:ascii="宋体" w:hAnsi="宋体" w:eastAsia="宋体" w:cs="宋体"/>
          <w:color w:val="auto"/>
          <w:kern w:val="0"/>
          <w:sz w:val="21"/>
          <w:szCs w:val="21"/>
          <w:highlight w:val="none"/>
          <w:u w:val="single"/>
          <w:lang w:val="en-US" w:eastAsia="zh-CN"/>
        </w:rPr>
        <w:t>000</w:t>
      </w:r>
      <w:r>
        <w:rPr>
          <w:rFonts w:hint="eastAsia" w:ascii="宋体" w:hAnsi="宋体" w:eastAsia="宋体" w:cs="宋体"/>
          <w:color w:val="auto"/>
          <w:kern w:val="0"/>
          <w:sz w:val="21"/>
          <w:szCs w:val="21"/>
          <w:highlight w:val="none"/>
          <w:u w:val="single"/>
        </w:rPr>
        <w:t>元；直至实现承诺。</w:t>
      </w:r>
      <w:r>
        <w:rPr>
          <w:rFonts w:hint="eastAsia" w:ascii="宋体" w:hAnsi="宋体" w:eastAsia="宋体" w:cs="宋体"/>
          <w:color w:val="auto"/>
          <w:sz w:val="21"/>
          <w:szCs w:val="21"/>
          <w:highlight w:val="none"/>
          <w:u w:val="single"/>
        </w:rPr>
        <w:t xml:space="preserve"> </w:t>
      </w:r>
    </w:p>
    <w:p w14:paraId="761FAF12">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3.2.4 承包人无正当理由拒绝更换项目经理的违约责任：</w:t>
      </w:r>
      <w:r>
        <w:rPr>
          <w:rFonts w:hint="eastAsia" w:ascii="宋体" w:hAnsi="宋体" w:eastAsia="宋体" w:cs="宋体"/>
          <w:color w:val="auto"/>
          <w:kern w:val="0"/>
          <w:sz w:val="21"/>
          <w:szCs w:val="21"/>
          <w:highlight w:val="none"/>
          <w:u w:val="single"/>
        </w:rPr>
        <w:t>解除承包合同</w:t>
      </w:r>
      <w:r>
        <w:rPr>
          <w:rFonts w:hint="eastAsia" w:ascii="宋体" w:hAnsi="宋体" w:eastAsia="宋体" w:cs="宋体"/>
          <w:color w:val="auto"/>
          <w:sz w:val="21"/>
          <w:szCs w:val="21"/>
          <w:highlight w:val="none"/>
        </w:rPr>
        <w:t>。</w:t>
      </w:r>
    </w:p>
    <w:p w14:paraId="1F04F72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3.3 承包人人员</w:t>
      </w:r>
    </w:p>
    <w:p w14:paraId="5A2F094F">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3.3.1 承包人提交项目管理机构及施工现场管理人员安排报告的期限：</w:t>
      </w:r>
      <w:r>
        <w:rPr>
          <w:rFonts w:hint="eastAsia" w:ascii="宋体" w:hAnsi="宋体" w:eastAsia="宋体" w:cs="宋体"/>
          <w:color w:val="auto"/>
          <w:sz w:val="21"/>
          <w:szCs w:val="21"/>
          <w:highlight w:val="none"/>
          <w:u w:val="single"/>
        </w:rPr>
        <w:t>按通用条款执行，无特殊约定</w:t>
      </w:r>
      <w:r>
        <w:rPr>
          <w:rFonts w:hint="eastAsia" w:ascii="宋体" w:hAnsi="宋体" w:eastAsia="宋体" w:cs="宋体"/>
          <w:color w:val="auto"/>
          <w:sz w:val="21"/>
          <w:szCs w:val="21"/>
          <w:highlight w:val="none"/>
        </w:rPr>
        <w:t>。</w:t>
      </w:r>
    </w:p>
    <w:p w14:paraId="1D699072">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3.3.3 承包人无正当理由拒绝撤换主要施工管理人员的违约责任：</w:t>
      </w:r>
      <w:r>
        <w:rPr>
          <w:rFonts w:hint="eastAsia" w:ascii="宋体" w:hAnsi="宋体" w:eastAsia="宋体" w:cs="宋体"/>
          <w:color w:val="auto"/>
          <w:kern w:val="0"/>
          <w:sz w:val="21"/>
          <w:szCs w:val="21"/>
          <w:highlight w:val="none"/>
          <w:u w:val="single"/>
        </w:rPr>
        <w:t>解除承包合同。</w:t>
      </w:r>
      <w:r>
        <w:rPr>
          <w:rFonts w:hint="eastAsia" w:ascii="宋体" w:hAnsi="宋体" w:eastAsia="宋体" w:cs="宋体"/>
          <w:color w:val="auto"/>
          <w:sz w:val="21"/>
          <w:szCs w:val="21"/>
          <w:highlight w:val="none"/>
          <w:u w:val="single"/>
        </w:rPr>
        <w:t xml:space="preserve"> </w:t>
      </w:r>
    </w:p>
    <w:p w14:paraId="4AB31339">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3.3.4 承包人主要施工管理人员离开施工现场的批准要求：</w:t>
      </w:r>
      <w:r>
        <w:rPr>
          <w:rFonts w:hint="eastAsia" w:ascii="宋体" w:hAnsi="宋体" w:eastAsia="宋体" w:cs="宋体"/>
          <w:color w:val="auto"/>
          <w:sz w:val="21"/>
          <w:szCs w:val="21"/>
          <w:highlight w:val="none"/>
          <w:u w:val="single"/>
        </w:rPr>
        <w:t xml:space="preserve"> 按通用条款执行，无特殊约定</w:t>
      </w:r>
      <w:r>
        <w:rPr>
          <w:rFonts w:hint="eastAsia" w:ascii="宋体" w:hAnsi="宋体" w:eastAsia="宋体" w:cs="宋体"/>
          <w:color w:val="auto"/>
          <w:sz w:val="21"/>
          <w:szCs w:val="21"/>
          <w:highlight w:val="none"/>
        </w:rPr>
        <w:t>。</w:t>
      </w:r>
    </w:p>
    <w:p w14:paraId="20F2824F">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3.3.5承包人擅自更换主要施工管理人员的违约责任：</w:t>
      </w:r>
      <w:r>
        <w:rPr>
          <w:rFonts w:hint="eastAsia" w:ascii="宋体" w:hAnsi="宋体" w:eastAsia="宋体" w:cs="宋体"/>
          <w:color w:val="auto"/>
          <w:kern w:val="0"/>
          <w:sz w:val="21"/>
          <w:szCs w:val="21"/>
          <w:highlight w:val="none"/>
          <w:u w:val="single"/>
        </w:rPr>
        <w:t>承包人若不能按投标书的承诺派驻主要技术管理人员及施工人员，必须承担违约责任：若经发包人检查发现人员不齐、不符合要求的，发包人发出整改通知书，承包人按整改通知书进行整改，若整改仍不符合要求，</w:t>
      </w:r>
      <w:r>
        <w:rPr>
          <w:rFonts w:hint="eastAsia" w:ascii="宋体" w:hAnsi="宋体" w:eastAsia="宋体" w:cs="宋体"/>
          <w:color w:val="auto"/>
          <w:sz w:val="21"/>
          <w:szCs w:val="21"/>
          <w:highlight w:val="none"/>
          <w:u w:val="single"/>
        </w:rPr>
        <w:t>发包人有权终止合同，原承包人无条件退出现场</w:t>
      </w:r>
      <w:r>
        <w:rPr>
          <w:rFonts w:hint="eastAsia" w:ascii="宋体" w:hAnsi="宋体" w:eastAsia="宋体" w:cs="宋体"/>
          <w:color w:val="auto"/>
          <w:sz w:val="21"/>
          <w:szCs w:val="21"/>
          <w:highlight w:val="none"/>
        </w:rPr>
        <w:t>。</w:t>
      </w:r>
    </w:p>
    <w:p w14:paraId="2FDC1A49">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承包人主要施工管理人员擅自离开施工现场的违约责任：</w:t>
      </w:r>
      <w:r>
        <w:rPr>
          <w:rFonts w:hint="eastAsia" w:ascii="宋体" w:hAnsi="宋体" w:eastAsia="宋体" w:cs="宋体"/>
          <w:color w:val="auto"/>
          <w:sz w:val="21"/>
          <w:szCs w:val="21"/>
          <w:highlight w:val="none"/>
          <w:u w:val="single"/>
        </w:rPr>
        <w:t>解除承包合同</w:t>
      </w:r>
      <w:r>
        <w:rPr>
          <w:rFonts w:hint="eastAsia" w:ascii="宋体" w:hAnsi="宋体" w:eastAsia="宋体" w:cs="宋体"/>
          <w:color w:val="auto"/>
          <w:sz w:val="21"/>
          <w:szCs w:val="21"/>
          <w:highlight w:val="none"/>
        </w:rPr>
        <w:t>。</w:t>
      </w:r>
    </w:p>
    <w:p w14:paraId="263BBA3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bookmarkStart w:id="306" w:name="_Toc304295523"/>
      <w:bookmarkStart w:id="307" w:name="_Toc296890987"/>
      <w:bookmarkStart w:id="308" w:name="_Toc297048345"/>
      <w:bookmarkStart w:id="309" w:name="_Toc297216151"/>
      <w:bookmarkStart w:id="310" w:name="_Toc297123492"/>
      <w:bookmarkStart w:id="311" w:name="_Toc297120459"/>
      <w:bookmarkStart w:id="312" w:name="_Toc296347158"/>
      <w:bookmarkStart w:id="313" w:name="_Toc292559869"/>
      <w:bookmarkStart w:id="314" w:name="_Toc300934945"/>
      <w:bookmarkStart w:id="315" w:name="_Toc296346660"/>
      <w:bookmarkStart w:id="316" w:name="_Toc296891199"/>
      <w:bookmarkStart w:id="317" w:name="_Toc296944498"/>
      <w:bookmarkStart w:id="318" w:name="_Toc296503159"/>
      <w:bookmarkStart w:id="319" w:name="_Toc303539102"/>
      <w:bookmarkStart w:id="320" w:name="_Toc292559364"/>
      <w:bookmarkStart w:id="321" w:name="_Toc312677988"/>
      <w:r>
        <w:rPr>
          <w:rFonts w:hint="eastAsia" w:ascii="宋体" w:hAnsi="宋体" w:eastAsia="宋体" w:cs="宋体"/>
          <w:color w:val="auto"/>
          <w:sz w:val="21"/>
          <w:szCs w:val="21"/>
          <w:highlight w:val="none"/>
        </w:rPr>
        <w:t>.5 分包</w:t>
      </w:r>
    </w:p>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14:paraId="43EEB2F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bookmarkStart w:id="322" w:name="_Toc303539103"/>
      <w:bookmarkStart w:id="323" w:name="_Toc304295524"/>
      <w:bookmarkStart w:id="324" w:name="_Toc296891200"/>
      <w:bookmarkStart w:id="325" w:name="_Toc300934946"/>
      <w:bookmarkStart w:id="326" w:name="_Toc297123493"/>
      <w:bookmarkStart w:id="327" w:name="_Toc296944499"/>
      <w:bookmarkStart w:id="328" w:name="_Toc297216152"/>
      <w:bookmarkStart w:id="329" w:name="_Toc292559365"/>
      <w:bookmarkStart w:id="330" w:name="_Toc292559870"/>
      <w:bookmarkStart w:id="331" w:name="_Toc296347159"/>
      <w:bookmarkStart w:id="332" w:name="_Toc296346661"/>
      <w:bookmarkStart w:id="333" w:name="_Toc296503160"/>
      <w:bookmarkStart w:id="334" w:name="_Toc296890988"/>
      <w:bookmarkStart w:id="335" w:name="_Toc297048346"/>
      <w:bookmarkStart w:id="336" w:name="_Toc297120460"/>
      <w:bookmarkStart w:id="337" w:name="_Toc312677989"/>
      <w:bookmarkStart w:id="338" w:name="_Toc318581158"/>
      <w:r>
        <w:rPr>
          <w:rFonts w:hint="eastAsia" w:ascii="宋体" w:hAnsi="宋体" w:eastAsia="宋体" w:cs="宋体"/>
          <w:color w:val="auto"/>
          <w:sz w:val="21"/>
          <w:szCs w:val="21"/>
          <w:highlight w:val="none"/>
        </w:rPr>
        <w:t>.5.1 分包的一般约定</w:t>
      </w:r>
    </w:p>
    <w:p w14:paraId="518716AF">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禁止分包的工程包括：</w:t>
      </w:r>
      <w:r>
        <w:rPr>
          <w:rFonts w:hint="eastAsia" w:ascii="宋体" w:hAnsi="宋体" w:eastAsia="宋体" w:cs="宋体"/>
          <w:color w:val="auto"/>
          <w:sz w:val="21"/>
          <w:szCs w:val="21"/>
          <w:highlight w:val="none"/>
          <w:u w:val="single"/>
        </w:rPr>
        <w:t xml:space="preserve">   按通用条款执行       </w:t>
      </w:r>
      <w:r>
        <w:rPr>
          <w:rFonts w:hint="eastAsia" w:ascii="宋体" w:hAnsi="宋体" w:eastAsia="宋体" w:cs="宋体"/>
          <w:color w:val="auto"/>
          <w:sz w:val="21"/>
          <w:szCs w:val="21"/>
          <w:highlight w:val="none"/>
        </w:rPr>
        <w:t>。</w:t>
      </w:r>
    </w:p>
    <w:p w14:paraId="0F8A8E3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主体结构、关键性工作的范围：</w:t>
      </w:r>
      <w:r>
        <w:rPr>
          <w:rFonts w:hint="eastAsia" w:ascii="宋体" w:hAnsi="宋体" w:eastAsia="宋体" w:cs="宋体"/>
          <w:color w:val="auto"/>
          <w:sz w:val="21"/>
          <w:szCs w:val="21"/>
          <w:highlight w:val="none"/>
          <w:u w:val="single"/>
        </w:rPr>
        <w:t xml:space="preserve">  按照国家有关规定执行  </w:t>
      </w:r>
      <w:r>
        <w:rPr>
          <w:rFonts w:hint="eastAsia" w:ascii="宋体" w:hAnsi="宋体" w:eastAsia="宋体" w:cs="宋体"/>
          <w:color w:val="auto"/>
          <w:sz w:val="21"/>
          <w:szCs w:val="21"/>
          <w:highlight w:val="none"/>
        </w:rPr>
        <w:t>。</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Start w:id="339" w:name="_Toc297123494"/>
      <w:bookmarkStart w:id="340" w:name="_Toc300934947"/>
      <w:bookmarkStart w:id="341" w:name="_Toc296347160"/>
      <w:bookmarkStart w:id="342" w:name="_Toc296944500"/>
      <w:bookmarkStart w:id="343" w:name="_Toc304295525"/>
      <w:bookmarkStart w:id="344" w:name="_Toc303539104"/>
      <w:bookmarkStart w:id="345" w:name="_Toc297120461"/>
      <w:bookmarkStart w:id="346" w:name="_Toc297216153"/>
      <w:bookmarkStart w:id="347" w:name="_Toc296891201"/>
      <w:bookmarkStart w:id="348" w:name="_Toc296346662"/>
      <w:bookmarkStart w:id="349" w:name="_Toc296890989"/>
      <w:bookmarkStart w:id="350" w:name="_Toc296503161"/>
      <w:bookmarkStart w:id="351" w:name="_Toc297048347"/>
    </w:p>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14:paraId="715C997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bookmarkStart w:id="352" w:name="_Toc318581159"/>
      <w:bookmarkStart w:id="353" w:name="_Toc312677990"/>
      <w:r>
        <w:rPr>
          <w:rFonts w:hint="eastAsia" w:ascii="宋体" w:hAnsi="宋体" w:eastAsia="宋体" w:cs="宋体"/>
          <w:color w:val="auto"/>
          <w:sz w:val="21"/>
          <w:szCs w:val="21"/>
          <w:highlight w:val="none"/>
        </w:rPr>
        <w:t>.5.2分包的确定</w:t>
      </w:r>
    </w:p>
    <w:p w14:paraId="487EEDA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允许分包的专业工程包括：</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435A3306">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其他关于分包的约定：</w:t>
      </w:r>
      <w:r>
        <w:rPr>
          <w:rFonts w:hint="eastAsia" w:ascii="宋体" w:hAnsi="宋体" w:eastAsia="宋体" w:cs="宋体"/>
          <w:color w:val="auto"/>
          <w:sz w:val="21"/>
          <w:szCs w:val="21"/>
          <w:highlight w:val="none"/>
          <w:u w:val="single"/>
        </w:rPr>
        <w:t xml:space="preserve">     按照国家有关规定执行      </w:t>
      </w:r>
      <w:r>
        <w:rPr>
          <w:rFonts w:hint="eastAsia" w:ascii="宋体" w:hAnsi="宋体" w:eastAsia="宋体" w:cs="宋体"/>
          <w:color w:val="auto"/>
          <w:sz w:val="21"/>
          <w:szCs w:val="21"/>
          <w:highlight w:val="none"/>
        </w:rPr>
        <w:t>。</w:t>
      </w:r>
    </w:p>
    <w:p w14:paraId="01E7BA45">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3.5.4 分包合同价款</w:t>
      </w:r>
    </w:p>
    <w:p w14:paraId="0AF5A04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关于分包合同价款支付的约定：</w:t>
      </w:r>
      <w:r>
        <w:rPr>
          <w:rFonts w:hint="eastAsia" w:ascii="宋体" w:hAnsi="宋体" w:eastAsia="宋体" w:cs="宋体"/>
          <w:color w:val="auto"/>
          <w:sz w:val="21"/>
          <w:szCs w:val="21"/>
          <w:highlight w:val="none"/>
          <w:u w:val="single"/>
        </w:rPr>
        <w:t xml:space="preserve">  按通用条款执行   </w:t>
      </w:r>
      <w:r>
        <w:rPr>
          <w:rFonts w:hint="eastAsia" w:ascii="宋体" w:hAnsi="宋体" w:eastAsia="宋体" w:cs="宋体"/>
          <w:color w:val="auto"/>
          <w:sz w:val="21"/>
          <w:szCs w:val="21"/>
          <w:highlight w:val="none"/>
        </w:rPr>
        <w:t>。</w:t>
      </w:r>
    </w:p>
    <w:bookmarkEnd w:id="352"/>
    <w:bookmarkEnd w:id="353"/>
    <w:p w14:paraId="0B577A6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3.6 工程照管与成品、半成品保护</w:t>
      </w:r>
    </w:p>
    <w:p w14:paraId="1354EC16">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kern w:val="0"/>
          <w:sz w:val="21"/>
          <w:szCs w:val="21"/>
          <w:highlight w:val="none"/>
        </w:rPr>
        <w:t>承包人负责照管工程及工程相关的材料、工程设备的起始时间：</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kern w:val="0"/>
          <w:sz w:val="21"/>
          <w:szCs w:val="21"/>
          <w:highlight w:val="none"/>
        </w:rPr>
        <w:t>。</w:t>
      </w:r>
    </w:p>
    <w:p w14:paraId="385D9F8D">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3.7 履约担保</w:t>
      </w:r>
    </w:p>
    <w:p w14:paraId="349A830A">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承包人是否提供履约担保：</w:t>
      </w:r>
      <w:r>
        <w:rPr>
          <w:rFonts w:hint="eastAsia" w:ascii="宋体" w:hAnsi="宋体" w:eastAsia="宋体" w:cs="宋体"/>
          <w:color w:val="auto"/>
          <w:sz w:val="21"/>
          <w:szCs w:val="21"/>
          <w:highlight w:val="none"/>
          <w:u w:val="single"/>
        </w:rPr>
        <w:t xml:space="preserve">  </w:t>
      </w:r>
      <w:r>
        <w:rPr>
          <w:rFonts w:hint="eastAsia" w:ascii="宋体" w:hAnsi="宋体" w:cs="宋体"/>
          <w:color w:val="auto"/>
          <w:sz w:val="21"/>
          <w:szCs w:val="21"/>
          <w:highlight w:val="none"/>
          <w:u w:val="single"/>
          <w:lang w:eastAsia="zh-CN"/>
        </w:rPr>
        <w:t>否</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7410A16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承包人提供履约担保的形式、金额及期限的：</w:t>
      </w:r>
      <w:r>
        <w:rPr>
          <w:rFonts w:hint="eastAsia" w:ascii="宋体" w:hAnsi="宋体" w:eastAsia="宋体" w:cs="宋体"/>
          <w:color w:val="auto"/>
          <w:sz w:val="21"/>
          <w:szCs w:val="21"/>
          <w:highlight w:val="none"/>
          <w:u w:val="single"/>
        </w:rPr>
        <w:t xml:space="preserve">  </w:t>
      </w:r>
      <w:r>
        <w:rPr>
          <w:rFonts w:hint="eastAsia" w:ascii="宋体" w:hAnsi="宋体" w:cs="宋体"/>
          <w:color w:val="auto"/>
          <w:sz w:val="21"/>
          <w:szCs w:val="21"/>
          <w:highlight w:val="none"/>
          <w:u w:val="single"/>
          <w:lang w:val="en-US" w:eastAsia="zh-CN"/>
        </w:rPr>
        <w:t>/</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051E44FE">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354" w:name="_Toc351203636"/>
      <w:r>
        <w:rPr>
          <w:rFonts w:hint="eastAsia" w:ascii="宋体" w:hAnsi="宋体" w:eastAsia="宋体" w:cs="宋体"/>
          <w:b w:val="0"/>
          <w:color w:val="auto"/>
          <w:sz w:val="21"/>
          <w:szCs w:val="21"/>
          <w:highlight w:val="none"/>
        </w:rPr>
        <w:t>4</w:t>
      </w:r>
      <w:bookmarkStart w:id="355" w:name="_Toc297048348"/>
      <w:bookmarkStart w:id="356" w:name="_Toc267251413"/>
      <w:bookmarkStart w:id="357" w:name="_Toc296891202"/>
      <w:bookmarkStart w:id="358" w:name="_Toc292559366"/>
      <w:bookmarkStart w:id="359" w:name="_Toc292559871"/>
      <w:bookmarkStart w:id="360" w:name="_Toc297120462"/>
      <w:bookmarkStart w:id="361" w:name="_Toc296503162"/>
      <w:bookmarkStart w:id="362" w:name="_Toc296347161"/>
      <w:bookmarkStart w:id="363" w:name="_Toc296346663"/>
      <w:bookmarkStart w:id="364" w:name="_Toc296890990"/>
      <w:bookmarkStart w:id="365" w:name="_Toc296944501"/>
      <w:r>
        <w:rPr>
          <w:rFonts w:hint="eastAsia" w:ascii="宋体" w:hAnsi="宋体" w:eastAsia="宋体" w:cs="宋体"/>
          <w:b w:val="0"/>
          <w:color w:val="auto"/>
          <w:sz w:val="21"/>
          <w:szCs w:val="21"/>
          <w:highlight w:val="none"/>
        </w:rPr>
        <w:t>. 监</w:t>
      </w:r>
      <w:bookmarkEnd w:id="355"/>
      <w:bookmarkEnd w:id="356"/>
      <w:bookmarkEnd w:id="357"/>
      <w:bookmarkEnd w:id="358"/>
      <w:bookmarkEnd w:id="359"/>
      <w:bookmarkEnd w:id="360"/>
      <w:bookmarkEnd w:id="361"/>
      <w:bookmarkEnd w:id="362"/>
      <w:bookmarkEnd w:id="363"/>
      <w:bookmarkEnd w:id="364"/>
      <w:bookmarkEnd w:id="365"/>
      <w:r>
        <w:rPr>
          <w:rFonts w:hint="eastAsia" w:ascii="宋体" w:hAnsi="宋体" w:eastAsia="宋体" w:cs="宋体"/>
          <w:b w:val="0"/>
          <w:color w:val="auto"/>
          <w:sz w:val="21"/>
          <w:szCs w:val="21"/>
          <w:highlight w:val="none"/>
        </w:rPr>
        <w:t>理人</w:t>
      </w:r>
      <w:bookmarkEnd w:id="354"/>
    </w:p>
    <w:p w14:paraId="2D832230">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4.1监理人的一般规定</w:t>
      </w:r>
    </w:p>
    <w:p w14:paraId="19A5F662">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关于监理人的监理内容：</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2A7C105A">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关于监理人的监理权限：</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 xml:space="preserve">。 </w:t>
      </w:r>
    </w:p>
    <w:p w14:paraId="4AD966EC">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sz w:val="21"/>
          <w:szCs w:val="21"/>
          <w:highlight w:val="none"/>
        </w:rPr>
        <w:t>关于监理人在施工现场的办公场所、生活场所的提供和费用承担的约定：</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kern w:val="0"/>
          <w:sz w:val="21"/>
          <w:szCs w:val="21"/>
          <w:highlight w:val="none"/>
        </w:rPr>
        <w:t>。</w:t>
      </w:r>
    </w:p>
    <w:p w14:paraId="4FD3D68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4.2 监理人员</w:t>
      </w:r>
    </w:p>
    <w:p w14:paraId="2599420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总监理工程师：</w:t>
      </w:r>
    </w:p>
    <w:p w14:paraId="34908AD3">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姓    名：</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7105259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职    务：</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1764DA26">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监理工程师执业资格证书号：</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5AE044F3">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联系电话：</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2D22BE1A">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电子信箱：</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0ED76893">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通信地址：</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36E3A74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关于监理人的其他约定：</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292601F2">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4.4 商定或确定</w:t>
      </w:r>
    </w:p>
    <w:p w14:paraId="07BBEB0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bookmarkStart w:id="366" w:name="_Toc267251418"/>
      <w:r>
        <w:rPr>
          <w:rFonts w:hint="eastAsia" w:ascii="宋体" w:hAnsi="宋体" w:eastAsia="宋体" w:cs="宋体"/>
          <w:color w:val="auto"/>
          <w:sz w:val="21"/>
          <w:szCs w:val="21"/>
          <w:highlight w:val="none"/>
        </w:rPr>
        <w:t>在发包人和承包人不能通过协商达成一致意见时，发包人授权监理人对以下事项进行确定：</w:t>
      </w:r>
    </w:p>
    <w:p w14:paraId="019B741B">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p w14:paraId="6694471D">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p w14:paraId="57DFC07B">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p w14:paraId="491C94E9">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367" w:name="_Toc351203637"/>
      <w:r>
        <w:rPr>
          <w:rFonts w:hint="eastAsia" w:ascii="宋体" w:hAnsi="宋体" w:eastAsia="宋体" w:cs="宋体"/>
          <w:b w:val="0"/>
          <w:color w:val="auto"/>
          <w:sz w:val="21"/>
          <w:szCs w:val="21"/>
          <w:highlight w:val="none"/>
        </w:rPr>
        <w:t>5</w:t>
      </w:r>
      <w:bookmarkEnd w:id="366"/>
      <w:bookmarkStart w:id="368" w:name="_Toc297048349"/>
      <w:bookmarkStart w:id="369" w:name="_Toc297120463"/>
      <w:bookmarkStart w:id="370" w:name="_Toc292559367"/>
      <w:bookmarkStart w:id="371" w:name="_Toc296347162"/>
      <w:bookmarkStart w:id="372" w:name="_Toc296346664"/>
      <w:bookmarkStart w:id="373" w:name="_Toc296891203"/>
      <w:bookmarkStart w:id="374" w:name="_Toc292559872"/>
      <w:bookmarkStart w:id="375" w:name="_Toc296503163"/>
      <w:bookmarkStart w:id="376" w:name="_Toc296944502"/>
      <w:bookmarkStart w:id="377" w:name="_Toc296890991"/>
      <w:r>
        <w:rPr>
          <w:rFonts w:hint="eastAsia" w:ascii="宋体" w:hAnsi="宋体" w:eastAsia="宋体" w:cs="宋体"/>
          <w:b w:val="0"/>
          <w:color w:val="auto"/>
          <w:sz w:val="21"/>
          <w:szCs w:val="21"/>
          <w:highlight w:val="none"/>
        </w:rPr>
        <w:t>. 工程质量</w:t>
      </w:r>
      <w:bookmarkEnd w:id="367"/>
    </w:p>
    <w:p w14:paraId="37F11325">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5.1 质量要求</w:t>
      </w:r>
    </w:p>
    <w:p w14:paraId="774412C8">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5</w:t>
      </w:r>
      <w:bookmarkStart w:id="378" w:name="_Toc312677997"/>
      <w:bookmarkStart w:id="379" w:name="_Toc304295527"/>
      <w:bookmarkStart w:id="380" w:name="_Toc297123496"/>
      <w:bookmarkStart w:id="381" w:name="_Toc300934949"/>
      <w:bookmarkStart w:id="382" w:name="_Toc303539106"/>
      <w:bookmarkStart w:id="383" w:name="_Toc318581164"/>
      <w:bookmarkStart w:id="384" w:name="_Toc297216155"/>
      <w:r>
        <w:rPr>
          <w:rFonts w:hint="eastAsia" w:ascii="宋体" w:hAnsi="宋体" w:eastAsia="宋体" w:cs="宋体"/>
          <w:color w:val="auto"/>
          <w:sz w:val="21"/>
          <w:szCs w:val="21"/>
          <w:highlight w:val="none"/>
        </w:rPr>
        <w:t>.1.1 特殊质量标准和要求：</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p w14:paraId="699B247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关于工程奖项的约定：</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p w14:paraId="7E4B435D">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5.3 隐蔽工程检查</w:t>
      </w:r>
    </w:p>
    <w:p w14:paraId="7FB3C825">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5.3.2承包人提前通知监理人隐蔽工程检查的期限的约定：</w:t>
      </w:r>
      <w:r>
        <w:rPr>
          <w:rFonts w:hint="eastAsia" w:ascii="宋体" w:hAnsi="宋体" w:eastAsia="宋体" w:cs="宋体"/>
          <w:color w:val="auto"/>
          <w:kern w:val="0"/>
          <w:sz w:val="21"/>
          <w:szCs w:val="21"/>
          <w:highlight w:val="none"/>
          <w:u w:val="single"/>
        </w:rPr>
        <w:t>任何部位的工程需要覆盖或隐蔽前，均应提前24小时通知监理工程师进行中间验收并拍照，没有监理工程师的批准，均不得隐蔽或验收。</w:t>
      </w:r>
      <w:r>
        <w:rPr>
          <w:rFonts w:hint="eastAsia" w:ascii="宋体" w:hAnsi="宋体" w:eastAsia="宋体" w:cs="宋体"/>
          <w:color w:val="auto"/>
          <w:sz w:val="21"/>
          <w:szCs w:val="21"/>
          <w:highlight w:val="none"/>
          <w:u w:val="single"/>
        </w:rPr>
        <w:t xml:space="preserve">   </w:t>
      </w:r>
    </w:p>
    <w:p w14:paraId="2D88EC4B">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监理人不能按时进行检查时，应提前</w:t>
      </w:r>
      <w:r>
        <w:rPr>
          <w:rFonts w:hint="eastAsia" w:ascii="宋体" w:hAnsi="宋体" w:eastAsia="宋体" w:cs="宋体"/>
          <w:color w:val="auto"/>
          <w:sz w:val="21"/>
          <w:szCs w:val="21"/>
          <w:highlight w:val="none"/>
          <w:u w:val="single"/>
        </w:rPr>
        <w:t xml:space="preserve">  24  </w:t>
      </w:r>
      <w:r>
        <w:rPr>
          <w:rFonts w:hint="eastAsia" w:ascii="宋体" w:hAnsi="宋体" w:eastAsia="宋体" w:cs="宋体"/>
          <w:color w:val="auto"/>
          <w:sz w:val="21"/>
          <w:szCs w:val="21"/>
          <w:highlight w:val="none"/>
        </w:rPr>
        <w:t>小时提交书面延期要求。</w:t>
      </w:r>
    </w:p>
    <w:p w14:paraId="29E91355">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关于延期最长不得超过：</w:t>
      </w:r>
      <w:r>
        <w:rPr>
          <w:rFonts w:hint="eastAsia" w:ascii="宋体" w:hAnsi="宋体" w:eastAsia="宋体" w:cs="宋体"/>
          <w:color w:val="auto"/>
          <w:sz w:val="21"/>
          <w:szCs w:val="21"/>
          <w:highlight w:val="none"/>
          <w:u w:val="single"/>
        </w:rPr>
        <w:t xml:space="preserve">  48 </w:t>
      </w:r>
      <w:r>
        <w:rPr>
          <w:rFonts w:hint="eastAsia" w:ascii="宋体" w:hAnsi="宋体" w:eastAsia="宋体" w:cs="宋体"/>
          <w:color w:val="auto"/>
          <w:sz w:val="21"/>
          <w:szCs w:val="21"/>
          <w:highlight w:val="none"/>
        </w:rPr>
        <w:t>小时。</w:t>
      </w:r>
    </w:p>
    <w:p w14:paraId="2DCA2E2F">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385" w:name="_Toc351203638"/>
      <w:r>
        <w:rPr>
          <w:rFonts w:hint="eastAsia" w:ascii="宋体" w:hAnsi="宋体" w:eastAsia="宋体" w:cs="宋体"/>
          <w:b w:val="0"/>
          <w:color w:val="auto"/>
          <w:sz w:val="21"/>
          <w:szCs w:val="21"/>
          <w:highlight w:val="none"/>
        </w:rPr>
        <w:t>6. 安全文明施工与环境保护</w:t>
      </w:r>
      <w:bookmarkEnd w:id="385"/>
    </w:p>
    <w:p w14:paraId="3EE8BB49">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6.1安全文明施工</w:t>
      </w:r>
    </w:p>
    <w:p w14:paraId="7FE0D91C">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6.1.1 项目安全生产的达标目标及相应事项的约定：</w:t>
      </w:r>
      <w:r>
        <w:rPr>
          <w:rFonts w:hint="eastAsia" w:ascii="宋体" w:hAnsi="宋体" w:eastAsia="宋体" w:cs="宋体"/>
          <w:color w:val="auto"/>
          <w:sz w:val="21"/>
          <w:szCs w:val="21"/>
          <w:highlight w:val="none"/>
          <w:u w:val="single"/>
        </w:rPr>
        <w:t xml:space="preserve">  按照国家及地方安全文明施工的有关规定执行   </w:t>
      </w:r>
      <w:r>
        <w:rPr>
          <w:rFonts w:hint="eastAsia" w:ascii="宋体" w:hAnsi="宋体" w:eastAsia="宋体" w:cs="宋体"/>
          <w:color w:val="auto"/>
          <w:sz w:val="21"/>
          <w:szCs w:val="21"/>
          <w:highlight w:val="none"/>
        </w:rPr>
        <w:t>。</w:t>
      </w:r>
    </w:p>
    <w:p w14:paraId="69AB774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6.1.4 关于治安保卫的特别约定：</w:t>
      </w:r>
      <w:r>
        <w:rPr>
          <w:rFonts w:hint="eastAsia" w:ascii="宋体" w:hAnsi="宋体" w:eastAsia="宋体" w:cs="宋体"/>
          <w:color w:val="auto"/>
          <w:sz w:val="21"/>
          <w:szCs w:val="21"/>
          <w:highlight w:val="none"/>
          <w:u w:val="single"/>
        </w:rPr>
        <w:t xml:space="preserve">   承包人应当负责统一管理施工场地的治安保卫事项，履行合同工程的治安保卫职责   </w:t>
      </w:r>
      <w:r>
        <w:rPr>
          <w:rFonts w:hint="eastAsia" w:ascii="宋体" w:hAnsi="宋体" w:eastAsia="宋体" w:cs="宋体"/>
          <w:color w:val="auto"/>
          <w:kern w:val="0"/>
          <w:sz w:val="21"/>
          <w:szCs w:val="21"/>
          <w:highlight w:val="none"/>
        </w:rPr>
        <w:t>。</w:t>
      </w:r>
    </w:p>
    <w:p w14:paraId="65171AED">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关于编制施工场地治安管理计划的约定：</w:t>
      </w:r>
      <w:r>
        <w:rPr>
          <w:rFonts w:hint="eastAsia" w:ascii="宋体" w:hAnsi="宋体" w:eastAsia="宋体" w:cs="宋体"/>
          <w:color w:val="auto"/>
          <w:sz w:val="21"/>
          <w:szCs w:val="21"/>
          <w:highlight w:val="none"/>
          <w:u w:val="single"/>
        </w:rPr>
        <w:t xml:space="preserve">  开工前7天内承包人编制施工场地治安管理计划和突发治安事件紧急预案   。</w:t>
      </w:r>
    </w:p>
    <w:p w14:paraId="34397B3B">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6.1.5 文明施工</w:t>
      </w:r>
    </w:p>
    <w:p w14:paraId="790861DB">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sz w:val="21"/>
          <w:szCs w:val="21"/>
          <w:highlight w:val="none"/>
        </w:rPr>
        <w:t>合同当事人对文明施工的要求：</w:t>
      </w:r>
      <w:r>
        <w:rPr>
          <w:rFonts w:hint="eastAsia" w:ascii="宋体" w:hAnsi="宋体" w:eastAsia="宋体" w:cs="宋体"/>
          <w:color w:val="auto"/>
          <w:sz w:val="21"/>
          <w:szCs w:val="21"/>
          <w:highlight w:val="none"/>
          <w:u w:val="single"/>
        </w:rPr>
        <w:t xml:space="preserve">按照国家及地方安全文明施工的有关规定执行 </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sz w:val="21"/>
          <w:szCs w:val="21"/>
          <w:highlight w:val="none"/>
        </w:rPr>
        <w:t>。</w:t>
      </w:r>
    </w:p>
    <w:p w14:paraId="62DDCA8B">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sz w:val="21"/>
          <w:szCs w:val="21"/>
          <w:highlight w:val="none"/>
        </w:rPr>
        <w:t>6.1.6 关于安全文明施工费支付比例和支付期限的约定：</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sz w:val="21"/>
          <w:szCs w:val="21"/>
          <w:highlight w:val="none"/>
        </w:rPr>
        <w:t>。</w:t>
      </w:r>
    </w:p>
    <w:bookmarkEnd w:id="378"/>
    <w:bookmarkEnd w:id="379"/>
    <w:bookmarkEnd w:id="380"/>
    <w:bookmarkEnd w:id="381"/>
    <w:bookmarkEnd w:id="382"/>
    <w:bookmarkEnd w:id="383"/>
    <w:bookmarkEnd w:id="384"/>
    <w:p w14:paraId="3724FC60">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386" w:name="_Toc351203639"/>
      <w:r>
        <w:rPr>
          <w:rFonts w:hint="eastAsia" w:ascii="宋体" w:hAnsi="宋体" w:eastAsia="宋体" w:cs="宋体"/>
          <w:b w:val="0"/>
          <w:color w:val="auto"/>
          <w:sz w:val="21"/>
          <w:szCs w:val="21"/>
          <w:highlight w:val="none"/>
        </w:rPr>
        <w:t>7. 工期和进度</w:t>
      </w:r>
      <w:bookmarkEnd w:id="386"/>
    </w:p>
    <w:p w14:paraId="17B13902">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7.1 施工组织设计</w:t>
      </w:r>
    </w:p>
    <w:p w14:paraId="6A9B34BD">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sz w:val="21"/>
          <w:szCs w:val="21"/>
          <w:highlight w:val="none"/>
        </w:rPr>
        <w:t>7.1.1 合</w:t>
      </w:r>
      <w:r>
        <w:rPr>
          <w:rFonts w:hint="eastAsia" w:ascii="宋体" w:hAnsi="宋体" w:eastAsia="宋体" w:cs="宋体"/>
          <w:color w:val="auto"/>
          <w:kern w:val="0"/>
          <w:sz w:val="21"/>
          <w:szCs w:val="21"/>
          <w:highlight w:val="none"/>
        </w:rPr>
        <w:t>同当事人约定的施工组织设计应包括的其他内容：</w:t>
      </w:r>
      <w:r>
        <w:rPr>
          <w:rFonts w:hint="eastAsia" w:ascii="宋体" w:hAnsi="宋体" w:eastAsia="宋体" w:cs="宋体"/>
          <w:color w:val="auto"/>
          <w:sz w:val="21"/>
          <w:szCs w:val="21"/>
          <w:highlight w:val="none"/>
          <w:u w:val="single"/>
        </w:rPr>
        <w:t>①管理人员名单、职称、职务、上岗证等；②按照国家及地方有关规定应当提交的内容</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sz w:val="21"/>
          <w:szCs w:val="21"/>
          <w:highlight w:val="none"/>
        </w:rPr>
        <w:t>。</w:t>
      </w:r>
    </w:p>
    <w:p w14:paraId="7F56BE30">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sz w:val="21"/>
          <w:szCs w:val="21"/>
          <w:highlight w:val="none"/>
        </w:rPr>
        <w:t xml:space="preserve">7.1.2 </w:t>
      </w:r>
      <w:r>
        <w:rPr>
          <w:rFonts w:hint="eastAsia" w:ascii="宋体" w:hAnsi="宋体" w:eastAsia="宋体" w:cs="宋体"/>
          <w:color w:val="auto"/>
          <w:kern w:val="0"/>
          <w:sz w:val="21"/>
          <w:szCs w:val="21"/>
          <w:highlight w:val="none"/>
        </w:rPr>
        <w:t>施工组织设计的提交和修改</w:t>
      </w:r>
    </w:p>
    <w:p w14:paraId="68E8C8E3">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kern w:val="0"/>
          <w:sz w:val="21"/>
          <w:szCs w:val="21"/>
          <w:highlight w:val="none"/>
        </w:rPr>
        <w:t>承包人提交详细施工组织设计的期限的约定：</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sz w:val="21"/>
          <w:szCs w:val="21"/>
          <w:highlight w:val="none"/>
        </w:rPr>
        <w:t>。</w:t>
      </w:r>
    </w:p>
    <w:p w14:paraId="4EAB303A">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sz w:val="21"/>
          <w:szCs w:val="21"/>
          <w:highlight w:val="none"/>
        </w:rPr>
        <w:t>发包人和监理人在收到详细的施工组织设计后确认或提出修改意见的期限：</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sz w:val="21"/>
          <w:szCs w:val="21"/>
          <w:highlight w:val="none"/>
        </w:rPr>
        <w:t>。</w:t>
      </w:r>
    </w:p>
    <w:p w14:paraId="6438CC8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w:t>
      </w:r>
      <w:bookmarkStart w:id="387" w:name="_Toc297216173"/>
      <w:bookmarkStart w:id="388" w:name="_Toc304295541"/>
      <w:bookmarkStart w:id="389" w:name="_Toc300934966"/>
      <w:bookmarkStart w:id="390" w:name="_Toc297123514"/>
      <w:bookmarkStart w:id="391" w:name="_Toc303539123"/>
      <w:bookmarkStart w:id="392" w:name="_Toc312678005"/>
      <w:bookmarkStart w:id="393" w:name="_Toc312677479"/>
      <w:r>
        <w:rPr>
          <w:rFonts w:hint="eastAsia" w:ascii="宋体" w:hAnsi="宋体" w:eastAsia="宋体" w:cs="宋体"/>
          <w:color w:val="auto"/>
          <w:sz w:val="21"/>
          <w:szCs w:val="21"/>
          <w:highlight w:val="none"/>
        </w:rPr>
        <w:t>.2 施工进度计划</w:t>
      </w:r>
    </w:p>
    <w:p w14:paraId="03379063">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7.2.2 施工进度计划的修订</w:t>
      </w:r>
    </w:p>
    <w:p w14:paraId="68849949">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sz w:val="21"/>
          <w:szCs w:val="21"/>
          <w:highlight w:val="none"/>
        </w:rPr>
        <w:t>发包人和监理人在收到修订的施工进度计划后确认或提出修改意见的期限：</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sz w:val="21"/>
          <w:szCs w:val="21"/>
          <w:highlight w:val="none"/>
        </w:rPr>
        <w:t>。</w:t>
      </w:r>
    </w:p>
    <w:p w14:paraId="6200730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7.3 开工</w:t>
      </w:r>
    </w:p>
    <w:p w14:paraId="407D9F42">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7.3.1 开工准备</w:t>
      </w:r>
    </w:p>
    <w:p w14:paraId="001F4ECF">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sz w:val="21"/>
          <w:szCs w:val="21"/>
          <w:highlight w:val="none"/>
        </w:rPr>
        <w:t>关于承包人提交</w:t>
      </w:r>
      <w:r>
        <w:rPr>
          <w:rFonts w:hint="eastAsia" w:ascii="宋体" w:hAnsi="宋体" w:eastAsia="宋体" w:cs="宋体"/>
          <w:color w:val="auto"/>
          <w:kern w:val="0"/>
          <w:sz w:val="21"/>
          <w:szCs w:val="21"/>
          <w:highlight w:val="none"/>
        </w:rPr>
        <w:t>工程开工报审表的期限：</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kern w:val="0"/>
          <w:sz w:val="21"/>
          <w:szCs w:val="21"/>
          <w:highlight w:val="none"/>
        </w:rPr>
        <w:t>。</w:t>
      </w:r>
    </w:p>
    <w:p w14:paraId="1F85BA9C">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sz w:val="21"/>
          <w:szCs w:val="21"/>
          <w:highlight w:val="none"/>
        </w:rPr>
        <w:t>关于发包人应完成的其他开工准备工作及期限：</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kern w:val="0"/>
          <w:sz w:val="21"/>
          <w:szCs w:val="21"/>
          <w:highlight w:val="none"/>
        </w:rPr>
        <w:t>。</w:t>
      </w:r>
    </w:p>
    <w:p w14:paraId="39BAF0BD">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sz w:val="21"/>
          <w:szCs w:val="21"/>
          <w:highlight w:val="none"/>
        </w:rPr>
        <w:t>关于承包人应完成的其他开工准备工作及期限：</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kern w:val="0"/>
          <w:sz w:val="21"/>
          <w:szCs w:val="21"/>
          <w:highlight w:val="none"/>
        </w:rPr>
        <w:t>。</w:t>
      </w:r>
    </w:p>
    <w:p w14:paraId="60F12DAB">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7.3.2开工通知</w:t>
      </w:r>
    </w:p>
    <w:p w14:paraId="5FD7D8D6">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因发包人原因造成监理人未能在计划开工日期之日起</w:t>
      </w:r>
      <w:r>
        <w:rPr>
          <w:rFonts w:hint="eastAsia" w:ascii="宋体" w:hAnsi="宋体" w:eastAsia="宋体" w:cs="宋体"/>
          <w:color w:val="auto"/>
          <w:sz w:val="21"/>
          <w:szCs w:val="21"/>
          <w:highlight w:val="none"/>
          <w:u w:val="single"/>
        </w:rPr>
        <w:t xml:space="preserve">  /  </w:t>
      </w:r>
      <w:r>
        <w:rPr>
          <w:rFonts w:hint="eastAsia" w:ascii="宋体" w:hAnsi="宋体" w:eastAsia="宋体" w:cs="宋体"/>
          <w:color w:val="auto"/>
          <w:sz w:val="21"/>
          <w:szCs w:val="21"/>
          <w:highlight w:val="none"/>
        </w:rPr>
        <w:t>天内发出开工通知的，承包人有权提出价格调整要求，或者解除合同。</w:t>
      </w:r>
    </w:p>
    <w:bookmarkEnd w:id="387"/>
    <w:bookmarkEnd w:id="388"/>
    <w:bookmarkEnd w:id="389"/>
    <w:bookmarkEnd w:id="390"/>
    <w:bookmarkEnd w:id="391"/>
    <w:bookmarkEnd w:id="392"/>
    <w:bookmarkEnd w:id="393"/>
    <w:p w14:paraId="76188C8D">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7.4 测量放线</w:t>
      </w:r>
    </w:p>
    <w:p w14:paraId="64AF71DF">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sz w:val="21"/>
          <w:szCs w:val="21"/>
          <w:highlight w:val="none"/>
        </w:rPr>
        <w:t>7.4.1发包人通过监理人向承包人提供测量基准点、基准线和水准点及其书面资料的期限：</w:t>
      </w:r>
      <w:r>
        <w:rPr>
          <w:rFonts w:hint="eastAsia" w:ascii="宋体" w:hAnsi="宋体" w:eastAsia="宋体" w:cs="宋体"/>
          <w:color w:val="auto"/>
          <w:sz w:val="21"/>
          <w:szCs w:val="21"/>
          <w:highlight w:val="none"/>
          <w:u w:val="single"/>
        </w:rPr>
        <w:t>承包人进入工地后进行现场书面交桩</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kern w:val="0"/>
          <w:sz w:val="21"/>
          <w:szCs w:val="21"/>
          <w:highlight w:val="none"/>
        </w:rPr>
        <w:t>。</w:t>
      </w:r>
    </w:p>
    <w:p w14:paraId="1014E676">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w:t>
      </w:r>
      <w:bookmarkStart w:id="394" w:name="_Toc297216175"/>
      <w:bookmarkStart w:id="395" w:name="_Toc297123516"/>
      <w:bookmarkStart w:id="396" w:name="_Toc312678010"/>
      <w:bookmarkStart w:id="397" w:name="_Toc312677484"/>
      <w:bookmarkStart w:id="398" w:name="_Toc304295546"/>
      <w:bookmarkStart w:id="399" w:name="_Toc303539125"/>
      <w:bookmarkStart w:id="400" w:name="_Toc300934968"/>
      <w:r>
        <w:rPr>
          <w:rFonts w:hint="eastAsia" w:ascii="宋体" w:hAnsi="宋体" w:eastAsia="宋体" w:cs="宋体"/>
          <w:color w:val="auto"/>
          <w:sz w:val="21"/>
          <w:szCs w:val="21"/>
          <w:highlight w:val="none"/>
        </w:rPr>
        <w:t>.5 工期延误</w:t>
      </w:r>
    </w:p>
    <w:bookmarkEnd w:id="394"/>
    <w:bookmarkEnd w:id="395"/>
    <w:bookmarkEnd w:id="396"/>
    <w:bookmarkEnd w:id="397"/>
    <w:bookmarkEnd w:id="398"/>
    <w:bookmarkEnd w:id="399"/>
    <w:bookmarkEnd w:id="400"/>
    <w:p w14:paraId="4EF5F0F1">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7.5.1 因发包人原因导致工期延误</w:t>
      </w:r>
    </w:p>
    <w:p w14:paraId="5FF3EFAE">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（7）因发包人原因导致工期延误的其他情形：</w:t>
      </w:r>
      <w:r>
        <w:rPr>
          <w:rFonts w:hint="eastAsia" w:ascii="宋体" w:hAnsi="宋体" w:eastAsia="宋体" w:cs="宋体"/>
          <w:color w:val="auto"/>
          <w:sz w:val="21"/>
          <w:szCs w:val="21"/>
          <w:highlight w:val="none"/>
          <w:u w:val="single"/>
        </w:rPr>
        <w:t xml:space="preserve"> 开工时间由发包人确定，发包人提前7天向承包人发出书面通知，期间的工期顺延，发包人不赔偿承包人因延期开工造成的损失。   </w:t>
      </w:r>
    </w:p>
    <w:p w14:paraId="7967DF34">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w:t>
      </w:r>
      <w:bookmarkStart w:id="401" w:name="_Toc312678012"/>
      <w:bookmarkStart w:id="402" w:name="_Toc318581169"/>
      <w:bookmarkStart w:id="403" w:name="_Toc312677486"/>
      <w:bookmarkStart w:id="404" w:name="_Toc304295548"/>
      <w:bookmarkStart w:id="405" w:name="_Toc303539127"/>
      <w:bookmarkStart w:id="406" w:name="_Toc297123518"/>
      <w:bookmarkStart w:id="407" w:name="_Toc297216177"/>
      <w:bookmarkStart w:id="408" w:name="_Toc300934970"/>
      <w:r>
        <w:rPr>
          <w:rFonts w:hint="eastAsia" w:ascii="宋体" w:hAnsi="宋体" w:eastAsia="宋体" w:cs="宋体"/>
          <w:color w:val="auto"/>
          <w:sz w:val="21"/>
          <w:szCs w:val="21"/>
          <w:highlight w:val="none"/>
        </w:rPr>
        <w:t>.5.2 因承包人原因导致工期延误</w:t>
      </w:r>
    </w:p>
    <w:bookmarkEnd w:id="401"/>
    <w:bookmarkEnd w:id="402"/>
    <w:bookmarkEnd w:id="403"/>
    <w:p w14:paraId="352A6DA2">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因</w:t>
      </w:r>
      <w:bookmarkStart w:id="409" w:name="_Toc312678013"/>
      <w:bookmarkStart w:id="410" w:name="_Toc312677487"/>
      <w:bookmarkStart w:id="411" w:name="_Toc318581170"/>
      <w:r>
        <w:rPr>
          <w:rFonts w:hint="eastAsia" w:ascii="宋体" w:hAnsi="宋体" w:eastAsia="宋体" w:cs="宋体"/>
          <w:color w:val="auto"/>
          <w:sz w:val="21"/>
          <w:szCs w:val="21"/>
          <w:highlight w:val="none"/>
        </w:rPr>
        <w:t>承包人原因造成工期延误，逾期竣工违约金的计算方法为：</w:t>
      </w:r>
      <w:r>
        <w:rPr>
          <w:rFonts w:hint="eastAsia" w:ascii="宋体" w:hAnsi="宋体" w:eastAsia="宋体" w:cs="宋体"/>
          <w:color w:val="auto"/>
          <w:sz w:val="21"/>
          <w:szCs w:val="21"/>
          <w:highlight w:val="none"/>
          <w:u w:val="single"/>
        </w:rPr>
        <w:t xml:space="preserve">   每拖延一天工期支付给发包人最终结算价的0.4‰/天的违约金        </w:t>
      </w:r>
      <w:r>
        <w:rPr>
          <w:rFonts w:hint="eastAsia" w:ascii="宋体" w:hAnsi="宋体" w:eastAsia="宋体" w:cs="宋体"/>
          <w:color w:val="auto"/>
          <w:sz w:val="21"/>
          <w:szCs w:val="21"/>
          <w:highlight w:val="none"/>
        </w:rPr>
        <w:t>。</w:t>
      </w:r>
      <w:bookmarkEnd w:id="404"/>
      <w:bookmarkEnd w:id="405"/>
      <w:bookmarkEnd w:id="406"/>
      <w:bookmarkEnd w:id="407"/>
      <w:bookmarkEnd w:id="408"/>
      <w:bookmarkEnd w:id="409"/>
      <w:bookmarkEnd w:id="410"/>
    </w:p>
    <w:bookmarkEnd w:id="411"/>
    <w:p w14:paraId="54016B6D">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因承包人原因造成工期延误，逾</w:t>
      </w:r>
      <w:bookmarkStart w:id="412" w:name="_Toc312678014"/>
      <w:bookmarkStart w:id="413" w:name="_Toc318581171"/>
      <w:r>
        <w:rPr>
          <w:rFonts w:hint="eastAsia" w:ascii="宋体" w:hAnsi="宋体" w:eastAsia="宋体" w:cs="宋体"/>
          <w:color w:val="auto"/>
          <w:sz w:val="21"/>
          <w:szCs w:val="21"/>
          <w:highlight w:val="none"/>
        </w:rPr>
        <w:t>期竣工违约金的上限：</w:t>
      </w:r>
      <w:r>
        <w:rPr>
          <w:rFonts w:hint="eastAsia" w:ascii="宋体" w:hAnsi="宋体" w:eastAsia="宋体" w:cs="宋体"/>
          <w:color w:val="auto"/>
          <w:sz w:val="21"/>
          <w:szCs w:val="21"/>
          <w:highlight w:val="none"/>
          <w:u w:val="single"/>
        </w:rPr>
        <w:t xml:space="preserve"> 违约金最高限额为最终结算价的4％</w:t>
      </w:r>
      <w:r>
        <w:rPr>
          <w:rFonts w:hint="eastAsia" w:ascii="宋体" w:hAnsi="宋体" w:eastAsia="宋体" w:cs="宋体"/>
          <w:color w:val="auto"/>
          <w:sz w:val="21"/>
          <w:szCs w:val="21"/>
          <w:highlight w:val="none"/>
        </w:rPr>
        <w:t>。</w:t>
      </w:r>
    </w:p>
    <w:bookmarkEnd w:id="412"/>
    <w:bookmarkEnd w:id="413"/>
    <w:p w14:paraId="7CED96E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w:t>
      </w:r>
      <w:bookmarkStart w:id="414" w:name="_Toc304295549"/>
      <w:bookmarkStart w:id="415" w:name="_Toc300934971"/>
      <w:bookmarkStart w:id="416" w:name="_Toc297216178"/>
      <w:bookmarkStart w:id="417" w:name="_Toc303539128"/>
      <w:bookmarkStart w:id="418" w:name="_Toc312678015"/>
      <w:bookmarkStart w:id="419" w:name="_Toc297123519"/>
      <w:r>
        <w:rPr>
          <w:rFonts w:hint="eastAsia" w:ascii="宋体" w:hAnsi="宋体" w:eastAsia="宋体" w:cs="宋体"/>
          <w:color w:val="auto"/>
          <w:sz w:val="21"/>
          <w:szCs w:val="21"/>
          <w:highlight w:val="none"/>
        </w:rPr>
        <w:t>.6 不</w:t>
      </w:r>
      <w:bookmarkEnd w:id="414"/>
      <w:bookmarkEnd w:id="415"/>
      <w:bookmarkEnd w:id="416"/>
      <w:bookmarkEnd w:id="417"/>
      <w:bookmarkEnd w:id="418"/>
      <w:bookmarkEnd w:id="419"/>
      <w:r>
        <w:rPr>
          <w:rFonts w:hint="eastAsia" w:ascii="宋体" w:hAnsi="宋体" w:eastAsia="宋体" w:cs="宋体"/>
          <w:color w:val="auto"/>
          <w:sz w:val="21"/>
          <w:szCs w:val="21"/>
          <w:highlight w:val="none"/>
        </w:rPr>
        <w:t>利物质条件</w:t>
      </w:r>
    </w:p>
    <w:p w14:paraId="7132D96D">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bookmarkStart w:id="420" w:name="_Toc312678016"/>
      <w:bookmarkStart w:id="421" w:name="_Toc300934972"/>
      <w:bookmarkStart w:id="422" w:name="_Toc297216179"/>
      <w:bookmarkStart w:id="423" w:name="_Toc304295550"/>
      <w:bookmarkStart w:id="424" w:name="_Toc303539129"/>
      <w:bookmarkStart w:id="425" w:name="_Toc318581172"/>
      <w:bookmarkStart w:id="426" w:name="_Toc297123520"/>
      <w:r>
        <w:rPr>
          <w:rFonts w:hint="eastAsia" w:ascii="宋体" w:hAnsi="宋体" w:eastAsia="宋体" w:cs="宋体"/>
          <w:color w:val="auto"/>
          <w:sz w:val="21"/>
          <w:szCs w:val="21"/>
          <w:highlight w:val="none"/>
        </w:rPr>
        <w:t>不利物质条件的其他情形和有关约定：</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bookmarkEnd w:id="420"/>
    <w:bookmarkEnd w:id="421"/>
    <w:bookmarkEnd w:id="422"/>
    <w:bookmarkEnd w:id="423"/>
    <w:bookmarkEnd w:id="424"/>
    <w:bookmarkEnd w:id="425"/>
    <w:bookmarkEnd w:id="426"/>
    <w:p w14:paraId="5E6F041D">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w:t>
      </w:r>
      <w:bookmarkStart w:id="427" w:name="_Toc297216180"/>
      <w:bookmarkStart w:id="428" w:name="_Toc303539130"/>
      <w:bookmarkStart w:id="429" w:name="_Toc304295551"/>
      <w:bookmarkStart w:id="430" w:name="_Toc300934973"/>
      <w:bookmarkStart w:id="431" w:name="_Toc297123521"/>
      <w:bookmarkStart w:id="432" w:name="_Toc312678017"/>
      <w:r>
        <w:rPr>
          <w:rFonts w:hint="eastAsia" w:ascii="宋体" w:hAnsi="宋体" w:eastAsia="宋体" w:cs="宋体"/>
          <w:color w:val="auto"/>
          <w:sz w:val="21"/>
          <w:szCs w:val="21"/>
          <w:highlight w:val="none"/>
        </w:rPr>
        <w:t>.7异常恶劣的气候条件</w:t>
      </w:r>
    </w:p>
    <w:bookmarkEnd w:id="427"/>
    <w:bookmarkEnd w:id="428"/>
    <w:bookmarkEnd w:id="429"/>
    <w:bookmarkEnd w:id="430"/>
    <w:bookmarkEnd w:id="431"/>
    <w:bookmarkEnd w:id="432"/>
    <w:p w14:paraId="64D08C19">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发包人和承包人同意以下情形视为异常恶劣的气候条件：</w:t>
      </w:r>
    </w:p>
    <w:p w14:paraId="7C1B598F">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r>
        <w:rPr>
          <w:rFonts w:hint="eastAsia" w:ascii="宋体" w:hAnsi="宋体" w:eastAsia="宋体" w:cs="宋体"/>
          <w:color w:val="auto"/>
          <w:sz w:val="21"/>
          <w:szCs w:val="21"/>
          <w:highlight w:val="none"/>
          <w:u w:val="single"/>
        </w:rPr>
        <w:t>当地6级以上的破坏性地震</w:t>
      </w:r>
      <w:r>
        <w:rPr>
          <w:rFonts w:hint="eastAsia" w:ascii="宋体" w:hAnsi="宋体" w:eastAsia="宋体" w:cs="宋体"/>
          <w:color w:val="auto"/>
          <w:sz w:val="21"/>
          <w:szCs w:val="21"/>
          <w:highlight w:val="none"/>
        </w:rPr>
        <w:t>；</w:t>
      </w:r>
    </w:p>
    <w:p w14:paraId="24B52492">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r>
        <w:rPr>
          <w:rFonts w:hint="eastAsia" w:ascii="宋体" w:hAnsi="宋体" w:eastAsia="宋体" w:cs="宋体"/>
          <w:color w:val="auto"/>
          <w:sz w:val="21"/>
          <w:szCs w:val="21"/>
          <w:highlight w:val="none"/>
          <w:u w:val="single"/>
        </w:rPr>
        <w:t>暴雨级以上的持续3天的大雨</w:t>
      </w:r>
      <w:r>
        <w:rPr>
          <w:rFonts w:hint="eastAsia" w:ascii="宋体" w:hAnsi="宋体" w:eastAsia="宋体" w:cs="宋体"/>
          <w:color w:val="auto"/>
          <w:sz w:val="21"/>
          <w:szCs w:val="21"/>
          <w:highlight w:val="none"/>
        </w:rPr>
        <w:t>；</w:t>
      </w:r>
    </w:p>
    <w:p w14:paraId="4E30E91C">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r>
        <w:rPr>
          <w:rFonts w:hint="eastAsia" w:ascii="宋体" w:hAnsi="宋体" w:eastAsia="宋体" w:cs="宋体"/>
          <w:color w:val="auto"/>
          <w:sz w:val="21"/>
          <w:szCs w:val="21"/>
          <w:highlight w:val="none"/>
          <w:u w:val="single"/>
        </w:rPr>
        <w:t>5年以上未发生过的，持续5天的高温天气</w:t>
      </w:r>
      <w:r>
        <w:rPr>
          <w:rFonts w:hint="eastAsia" w:ascii="宋体" w:hAnsi="宋体" w:eastAsia="宋体" w:cs="宋体"/>
          <w:color w:val="auto"/>
          <w:sz w:val="21"/>
          <w:szCs w:val="21"/>
          <w:highlight w:val="none"/>
        </w:rPr>
        <w:t>。</w:t>
      </w:r>
    </w:p>
    <w:p w14:paraId="7DBEF64F">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7.9 提前竣工的奖励</w:t>
      </w:r>
    </w:p>
    <w:p w14:paraId="724E0ED2">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7.9.2提前竣工的奖励：</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p w14:paraId="6EF8171F">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433" w:name="_Toc351203640"/>
      <w:r>
        <w:rPr>
          <w:rFonts w:hint="eastAsia" w:ascii="宋体" w:hAnsi="宋体" w:eastAsia="宋体" w:cs="宋体"/>
          <w:b w:val="0"/>
          <w:color w:val="auto"/>
          <w:sz w:val="21"/>
          <w:szCs w:val="21"/>
          <w:highlight w:val="none"/>
        </w:rPr>
        <w:t>8. 材料与设备</w:t>
      </w:r>
      <w:bookmarkEnd w:id="433"/>
    </w:p>
    <w:bookmarkEnd w:id="368"/>
    <w:bookmarkEnd w:id="369"/>
    <w:bookmarkEnd w:id="370"/>
    <w:bookmarkEnd w:id="371"/>
    <w:bookmarkEnd w:id="372"/>
    <w:bookmarkEnd w:id="373"/>
    <w:bookmarkEnd w:id="374"/>
    <w:bookmarkEnd w:id="375"/>
    <w:bookmarkEnd w:id="376"/>
    <w:bookmarkEnd w:id="377"/>
    <w:p w14:paraId="4CC75DF6">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8</w:t>
      </w:r>
      <w:bookmarkStart w:id="434" w:name="_Toc304295556"/>
      <w:bookmarkStart w:id="435" w:name="_Toc292559372"/>
      <w:bookmarkStart w:id="436" w:name="_Toc292559877"/>
      <w:bookmarkStart w:id="437" w:name="_Toc297048353"/>
      <w:bookmarkStart w:id="438" w:name="_Toc296347166"/>
      <w:bookmarkStart w:id="439" w:name="_Toc296944506"/>
      <w:bookmarkStart w:id="440" w:name="_Toc296503167"/>
      <w:bookmarkStart w:id="441" w:name="_Toc303539136"/>
      <w:bookmarkStart w:id="442" w:name="_Toc297216186"/>
      <w:bookmarkStart w:id="443" w:name="_Toc297123527"/>
      <w:bookmarkStart w:id="444" w:name="_Toc296346668"/>
      <w:bookmarkStart w:id="445" w:name="_Toc280868654"/>
      <w:bookmarkStart w:id="446" w:name="_Toc300934979"/>
      <w:bookmarkStart w:id="447" w:name="_Toc296890995"/>
      <w:bookmarkStart w:id="448" w:name="_Toc312678019"/>
      <w:bookmarkStart w:id="449" w:name="_Toc296891207"/>
      <w:bookmarkStart w:id="450" w:name="_Toc312677493"/>
      <w:bookmarkStart w:id="451" w:name="_Toc297120467"/>
      <w:bookmarkStart w:id="452" w:name="_Toc280868655"/>
      <w:bookmarkStart w:id="453" w:name="_Toc280868656"/>
      <w:bookmarkStart w:id="454" w:name="_Toc267251424"/>
      <w:r>
        <w:rPr>
          <w:rFonts w:hint="eastAsia" w:ascii="宋体" w:hAnsi="宋体" w:eastAsia="宋体" w:cs="宋体"/>
          <w:color w:val="auto"/>
          <w:sz w:val="21"/>
          <w:szCs w:val="21"/>
          <w:highlight w:val="none"/>
        </w:rPr>
        <w:t>.4材料与工程设备的保管与使用</w:t>
      </w:r>
    </w:p>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14:paraId="683880C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8</w:t>
      </w:r>
      <w:bookmarkStart w:id="455" w:name="_Toc292559878"/>
      <w:bookmarkStart w:id="456" w:name="_Toc292559373"/>
      <w:bookmarkStart w:id="457" w:name="_Toc303539137"/>
      <w:bookmarkStart w:id="458" w:name="_Toc297120468"/>
      <w:bookmarkStart w:id="459" w:name="_Toc304295557"/>
      <w:bookmarkStart w:id="460" w:name="_Toc297123528"/>
      <w:bookmarkStart w:id="461" w:name="_Toc296346669"/>
      <w:bookmarkStart w:id="462" w:name="_Toc312677494"/>
      <w:bookmarkStart w:id="463" w:name="_Toc318581173"/>
      <w:bookmarkStart w:id="464" w:name="_Toc297048354"/>
      <w:bookmarkStart w:id="465" w:name="_Toc300934980"/>
      <w:bookmarkStart w:id="466" w:name="_Toc296944507"/>
      <w:bookmarkStart w:id="467" w:name="_Toc296503168"/>
      <w:bookmarkStart w:id="468" w:name="_Toc312678020"/>
      <w:bookmarkStart w:id="469" w:name="_Toc296890996"/>
      <w:bookmarkStart w:id="470" w:name="_Toc296347167"/>
      <w:bookmarkStart w:id="471" w:name="_Toc297216187"/>
      <w:bookmarkStart w:id="472" w:name="_Toc296891208"/>
      <w:r>
        <w:rPr>
          <w:rFonts w:hint="eastAsia" w:ascii="宋体" w:hAnsi="宋体" w:eastAsia="宋体" w:cs="宋体"/>
          <w:color w:val="auto"/>
          <w:sz w:val="21"/>
          <w:szCs w:val="21"/>
          <w:highlight w:val="none"/>
        </w:rPr>
        <w:t>.4.1发包人供应的材料设备的保管费用的承担：</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sz w:val="21"/>
          <w:szCs w:val="21"/>
          <w:highlight w:val="none"/>
        </w:rPr>
        <w:t>。</w:t>
      </w:r>
      <w:bookmarkEnd w:id="455"/>
      <w:bookmarkEnd w:id="456"/>
    </w:p>
    <w:p w14:paraId="1DB86D66">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8.6 样品</w:t>
      </w:r>
    </w:p>
    <w:p w14:paraId="197626ED">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8.6.1</w:t>
      </w:r>
      <w:r>
        <w:rPr>
          <w:rFonts w:hint="eastAsia" w:ascii="宋体" w:hAnsi="宋体" w:eastAsia="宋体" w:cs="宋体"/>
          <w:color w:val="auto"/>
          <w:kern w:val="0"/>
          <w:sz w:val="21"/>
          <w:szCs w:val="21"/>
          <w:highlight w:val="none"/>
        </w:rPr>
        <w:tab/>
      </w:r>
      <w:r>
        <w:rPr>
          <w:rFonts w:hint="eastAsia" w:ascii="宋体" w:hAnsi="宋体" w:eastAsia="宋体" w:cs="宋体"/>
          <w:color w:val="auto"/>
          <w:kern w:val="0"/>
          <w:sz w:val="21"/>
          <w:szCs w:val="21"/>
          <w:highlight w:val="none"/>
        </w:rPr>
        <w:t>样品的报送与封存</w:t>
      </w:r>
    </w:p>
    <w:p w14:paraId="756933D1">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需要承包人报送样品的材料或工程设备，样品的种类、名称、规格、数量要求：</w:t>
      </w:r>
      <w:r>
        <w:rPr>
          <w:rFonts w:hint="eastAsia" w:ascii="宋体" w:hAnsi="宋体" w:eastAsia="宋体" w:cs="宋体"/>
          <w:color w:val="auto"/>
          <w:kern w:val="0"/>
          <w:sz w:val="21"/>
          <w:szCs w:val="21"/>
          <w:highlight w:val="none"/>
          <w:u w:val="single"/>
        </w:rPr>
        <w:t>承包人按设计及图纸要求根据工程所需采购材料且</w:t>
      </w:r>
      <w:r>
        <w:rPr>
          <w:rFonts w:hint="eastAsia" w:ascii="宋体" w:hAnsi="宋体" w:eastAsia="宋体" w:cs="宋体"/>
          <w:b/>
          <w:color w:val="auto"/>
          <w:kern w:val="0"/>
          <w:sz w:val="21"/>
          <w:szCs w:val="21"/>
          <w:highlight w:val="none"/>
          <w:u w:val="single"/>
        </w:rPr>
        <w:t>①按投标单位报价指定的材料采购，其品种、规格、型号、质量等级应与投标清单相符，采购的样品必须先经监理和发包人认可；如因特殊原因不能从发包人推荐品牌中采购相应材料或设备时，应报请发包人并取得发包人书面同意方可采用，否则因此造成的一切后果由承包人负责；②货到接受监理、发包人检查；③在监理监督下，按规定送检或试验；④工程量清单中的暂定价的材料，必须经发包人在品牌、规格、颜色及单价等方面审定后方能采购。</w:t>
      </w:r>
    </w:p>
    <w:p w14:paraId="2EFE54B2">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8.8 施工设备和临时设施</w:t>
      </w:r>
    </w:p>
    <w:p w14:paraId="1A4B066D">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8.8.1 承包人提供的施工设备和临时设施</w:t>
      </w:r>
    </w:p>
    <w:p w14:paraId="2AE90135">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关于修建临时设施费用承担的约定：</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sz w:val="21"/>
          <w:szCs w:val="21"/>
          <w:highlight w:val="none"/>
        </w:rPr>
        <w:t>。</w:t>
      </w:r>
    </w:p>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14:paraId="21E96509">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473" w:name="_Toc351203641"/>
      <w:r>
        <w:rPr>
          <w:rFonts w:hint="eastAsia" w:ascii="宋体" w:hAnsi="宋体" w:eastAsia="宋体" w:cs="宋体"/>
          <w:b w:val="0"/>
          <w:color w:val="auto"/>
          <w:sz w:val="21"/>
          <w:szCs w:val="21"/>
          <w:highlight w:val="none"/>
        </w:rPr>
        <w:t>9</w:t>
      </w:r>
      <w:bookmarkEnd w:id="452"/>
      <w:bookmarkEnd w:id="453"/>
      <w:bookmarkEnd w:id="454"/>
      <w:bookmarkStart w:id="474" w:name="_Toc312677495"/>
      <w:bookmarkStart w:id="475" w:name="_Toc303539139"/>
      <w:bookmarkStart w:id="476" w:name="_Toc297123533"/>
      <w:bookmarkStart w:id="477" w:name="_Toc312678021"/>
      <w:bookmarkStart w:id="478" w:name="_Toc304295559"/>
      <w:bookmarkStart w:id="479" w:name="_Toc300934982"/>
      <w:bookmarkStart w:id="480" w:name="_Toc297216192"/>
      <w:bookmarkStart w:id="481" w:name="_Toc292559378"/>
      <w:bookmarkStart w:id="482" w:name="_Toc297120473"/>
      <w:bookmarkStart w:id="483" w:name="_Toc296891001"/>
      <w:bookmarkStart w:id="484" w:name="_Toc267251428"/>
      <w:bookmarkStart w:id="485" w:name="_Toc296944512"/>
      <w:bookmarkStart w:id="486" w:name="_Toc297048359"/>
      <w:bookmarkStart w:id="487" w:name="_Toc267251427"/>
      <w:bookmarkStart w:id="488" w:name="_Toc296503173"/>
      <w:bookmarkStart w:id="489" w:name="_Toc296347172"/>
      <w:bookmarkStart w:id="490" w:name="_Toc292559883"/>
      <w:bookmarkStart w:id="491" w:name="_Toc296891213"/>
      <w:bookmarkStart w:id="492" w:name="_Toc296346674"/>
      <w:r>
        <w:rPr>
          <w:rFonts w:hint="eastAsia" w:ascii="宋体" w:hAnsi="宋体" w:eastAsia="宋体" w:cs="宋体"/>
          <w:b w:val="0"/>
          <w:color w:val="auto"/>
          <w:sz w:val="21"/>
          <w:szCs w:val="21"/>
          <w:highlight w:val="none"/>
        </w:rPr>
        <w:t>. 试验与检验</w:t>
      </w:r>
      <w:bookmarkEnd w:id="473"/>
    </w:p>
    <w:bookmarkEnd w:id="474"/>
    <w:bookmarkEnd w:id="475"/>
    <w:bookmarkEnd w:id="476"/>
    <w:bookmarkEnd w:id="477"/>
    <w:bookmarkEnd w:id="478"/>
    <w:bookmarkEnd w:id="479"/>
    <w:bookmarkEnd w:id="480"/>
    <w:p w14:paraId="5F590D2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9</w:t>
      </w:r>
      <w:bookmarkStart w:id="493" w:name="_Toc297123534"/>
      <w:bookmarkStart w:id="494" w:name="_Toc303539140"/>
      <w:bookmarkStart w:id="495" w:name="_Toc300934983"/>
      <w:bookmarkStart w:id="496" w:name="_Toc312678022"/>
      <w:bookmarkStart w:id="497" w:name="_Toc304295560"/>
      <w:bookmarkStart w:id="498" w:name="_Toc297216193"/>
      <w:bookmarkStart w:id="499" w:name="_Toc312677496"/>
      <w:r>
        <w:rPr>
          <w:rFonts w:hint="eastAsia" w:ascii="宋体" w:hAnsi="宋体" w:eastAsia="宋体" w:cs="宋体"/>
          <w:color w:val="auto"/>
          <w:sz w:val="21"/>
          <w:szCs w:val="21"/>
          <w:highlight w:val="none"/>
        </w:rPr>
        <w:t>.1试验设备与试验人员</w:t>
      </w:r>
    </w:p>
    <w:bookmarkEnd w:id="493"/>
    <w:bookmarkEnd w:id="494"/>
    <w:bookmarkEnd w:id="495"/>
    <w:bookmarkEnd w:id="496"/>
    <w:bookmarkEnd w:id="497"/>
    <w:bookmarkEnd w:id="498"/>
    <w:bookmarkEnd w:id="499"/>
    <w:p w14:paraId="56AFF645">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9</w:t>
      </w:r>
      <w:bookmarkStart w:id="500" w:name="_Toc297123535"/>
      <w:bookmarkStart w:id="501" w:name="_Toc312678023"/>
      <w:bookmarkStart w:id="502" w:name="_Toc312677497"/>
      <w:bookmarkStart w:id="503" w:name="_Toc300934984"/>
      <w:bookmarkStart w:id="504" w:name="_Toc297216194"/>
      <w:bookmarkStart w:id="505" w:name="_Toc304295561"/>
      <w:bookmarkStart w:id="506" w:name="_Toc303539141"/>
      <w:bookmarkStart w:id="507" w:name="_Toc318581174"/>
      <w:r>
        <w:rPr>
          <w:rFonts w:hint="eastAsia" w:ascii="宋体" w:hAnsi="宋体" w:eastAsia="宋体" w:cs="宋体"/>
          <w:color w:val="auto"/>
          <w:sz w:val="21"/>
          <w:szCs w:val="21"/>
          <w:highlight w:val="none"/>
        </w:rPr>
        <w:t>.1.2 试验设备</w:t>
      </w:r>
    </w:p>
    <w:p w14:paraId="7409EC18">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施工现场需要配置的试验场所：</w:t>
      </w:r>
      <w:bookmarkEnd w:id="500"/>
      <w:bookmarkEnd w:id="501"/>
      <w:bookmarkEnd w:id="502"/>
      <w:bookmarkEnd w:id="503"/>
      <w:bookmarkEnd w:id="504"/>
      <w:bookmarkEnd w:id="505"/>
      <w:bookmarkEnd w:id="506"/>
      <w:bookmarkStart w:id="508" w:name="_Toc303539142"/>
      <w:bookmarkStart w:id="509" w:name="_Toc312677498"/>
      <w:bookmarkStart w:id="510" w:name="_Toc304295562"/>
      <w:bookmarkStart w:id="511" w:name="_Toc297123536"/>
      <w:bookmarkStart w:id="512" w:name="_Toc297216195"/>
      <w:bookmarkStart w:id="513" w:name="_Toc300934985"/>
      <w:bookmarkStart w:id="514" w:name="_Toc312678024"/>
      <w:r>
        <w:rPr>
          <w:rFonts w:hint="eastAsia" w:ascii="宋体" w:hAnsi="宋体" w:eastAsia="宋体" w:cs="宋体"/>
          <w:color w:val="auto"/>
          <w:sz w:val="21"/>
          <w:szCs w:val="21"/>
          <w:highlight w:val="none"/>
          <w:u w:val="single"/>
        </w:rPr>
        <w:t xml:space="preserve"> 根据国家及地方有关规定和现场实际情况配置 </w:t>
      </w:r>
      <w:r>
        <w:rPr>
          <w:rFonts w:hint="eastAsia" w:ascii="宋体" w:hAnsi="宋体" w:eastAsia="宋体" w:cs="宋体"/>
          <w:color w:val="auto"/>
          <w:sz w:val="21"/>
          <w:szCs w:val="21"/>
          <w:highlight w:val="none"/>
        </w:rPr>
        <w:t xml:space="preserve">。 </w:t>
      </w:r>
    </w:p>
    <w:p w14:paraId="3925E09E">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施工现场需要配备的试验设备：</w:t>
      </w:r>
      <w:r>
        <w:rPr>
          <w:rFonts w:hint="eastAsia" w:ascii="宋体" w:hAnsi="宋体" w:eastAsia="宋体" w:cs="宋体"/>
          <w:color w:val="auto"/>
          <w:sz w:val="21"/>
          <w:szCs w:val="21"/>
          <w:highlight w:val="none"/>
          <w:u w:val="single"/>
        </w:rPr>
        <w:t xml:space="preserve"> 根据国家及地方有关规定和现场实际情况配置 </w:t>
      </w:r>
      <w:r>
        <w:rPr>
          <w:rFonts w:hint="eastAsia" w:ascii="宋体" w:hAnsi="宋体" w:eastAsia="宋体" w:cs="宋体"/>
          <w:color w:val="auto"/>
          <w:sz w:val="21"/>
          <w:szCs w:val="21"/>
          <w:highlight w:val="none"/>
        </w:rPr>
        <w:t>。</w:t>
      </w:r>
    </w:p>
    <w:p w14:paraId="154A16F2">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施工现场需要具备的其他试验条件：</w:t>
      </w:r>
      <w:r>
        <w:rPr>
          <w:rFonts w:hint="eastAsia" w:ascii="宋体" w:hAnsi="宋体" w:eastAsia="宋体" w:cs="宋体"/>
          <w:color w:val="auto"/>
          <w:sz w:val="21"/>
          <w:szCs w:val="21"/>
          <w:highlight w:val="none"/>
          <w:u w:val="single"/>
        </w:rPr>
        <w:t xml:space="preserve"> 根据国家及地方有关规定和现场实际情况配置 </w:t>
      </w:r>
      <w:r>
        <w:rPr>
          <w:rFonts w:hint="eastAsia" w:ascii="宋体" w:hAnsi="宋体" w:eastAsia="宋体" w:cs="宋体"/>
          <w:color w:val="auto"/>
          <w:sz w:val="21"/>
          <w:szCs w:val="21"/>
          <w:highlight w:val="none"/>
        </w:rPr>
        <w:t>。</w:t>
      </w:r>
    </w:p>
    <w:p w14:paraId="320F7BD3">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9.4 现场工艺试验 </w:t>
      </w:r>
    </w:p>
    <w:p w14:paraId="6919FDEE">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现场工艺试验的有关约定：</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sz w:val="21"/>
          <w:szCs w:val="21"/>
          <w:highlight w:val="none"/>
        </w:rPr>
        <w:t>。</w:t>
      </w:r>
    </w:p>
    <w:bookmarkEnd w:id="507"/>
    <w:bookmarkEnd w:id="508"/>
    <w:bookmarkEnd w:id="509"/>
    <w:bookmarkEnd w:id="510"/>
    <w:bookmarkEnd w:id="511"/>
    <w:bookmarkEnd w:id="512"/>
    <w:bookmarkEnd w:id="513"/>
    <w:bookmarkEnd w:id="514"/>
    <w:p w14:paraId="696ED209">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515" w:name="_Toc351203642"/>
      <w:r>
        <w:rPr>
          <w:rFonts w:hint="eastAsia" w:ascii="宋体" w:hAnsi="宋体" w:eastAsia="宋体" w:cs="宋体"/>
          <w:b w:val="0"/>
          <w:color w:val="auto"/>
          <w:sz w:val="21"/>
          <w:szCs w:val="21"/>
          <w:highlight w:val="none"/>
        </w:rPr>
        <w:t>1</w:t>
      </w:r>
      <w:bookmarkEnd w:id="481"/>
      <w:bookmarkEnd w:id="482"/>
      <w:bookmarkEnd w:id="483"/>
      <w:bookmarkEnd w:id="484"/>
      <w:bookmarkEnd w:id="485"/>
      <w:bookmarkEnd w:id="486"/>
      <w:bookmarkEnd w:id="487"/>
      <w:bookmarkEnd w:id="488"/>
      <w:bookmarkEnd w:id="489"/>
      <w:bookmarkEnd w:id="490"/>
      <w:bookmarkEnd w:id="491"/>
      <w:bookmarkEnd w:id="492"/>
      <w:bookmarkStart w:id="516" w:name="_Toc296347192"/>
      <w:bookmarkStart w:id="517" w:name="_Toc296503193"/>
      <w:bookmarkStart w:id="518" w:name="_Toc292559903"/>
      <w:bookmarkStart w:id="519" w:name="_Toc296944532"/>
      <w:bookmarkStart w:id="520" w:name="_Toc300934989"/>
      <w:bookmarkStart w:id="521" w:name="_Toc297048379"/>
      <w:bookmarkStart w:id="522" w:name="_Toc304295566"/>
      <w:bookmarkStart w:id="523" w:name="_Toc296891021"/>
      <w:bookmarkStart w:id="524" w:name="_Toc296891233"/>
      <w:bookmarkStart w:id="525" w:name="_Toc303539146"/>
      <w:bookmarkStart w:id="526" w:name="_Toc297216199"/>
      <w:bookmarkStart w:id="527" w:name="_Toc296346694"/>
      <w:bookmarkStart w:id="528" w:name="_Toc297120493"/>
      <w:bookmarkStart w:id="529" w:name="_Toc297123540"/>
      <w:bookmarkStart w:id="530" w:name="_Toc292559398"/>
      <w:bookmarkStart w:id="531" w:name="_Toc312678025"/>
      <w:bookmarkStart w:id="532" w:name="_Toc312677499"/>
      <w:bookmarkStart w:id="533" w:name="_Toc267251435"/>
      <w:bookmarkStart w:id="534" w:name="_Toc267251439"/>
      <w:bookmarkStart w:id="535" w:name="_Toc267251441"/>
      <w:bookmarkStart w:id="536" w:name="_Toc267251433"/>
      <w:bookmarkStart w:id="537" w:name="_Toc267251437"/>
      <w:bookmarkStart w:id="538" w:name="_Toc267251440"/>
      <w:bookmarkStart w:id="539" w:name="_Toc267251442"/>
      <w:r>
        <w:rPr>
          <w:rFonts w:hint="eastAsia" w:ascii="宋体" w:hAnsi="宋体" w:eastAsia="宋体" w:cs="宋体"/>
          <w:b w:val="0"/>
          <w:color w:val="auto"/>
          <w:sz w:val="21"/>
          <w:szCs w:val="21"/>
          <w:highlight w:val="none"/>
        </w:rPr>
        <w:t>0. 变更</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bookmarkEnd w:id="531"/>
    <w:bookmarkEnd w:id="532"/>
    <w:p w14:paraId="7E92C07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bookmarkStart w:id="540" w:name="_Toc296891234"/>
      <w:bookmarkStart w:id="541" w:name="_Toc296346695"/>
      <w:bookmarkStart w:id="542" w:name="_Toc296347193"/>
      <w:bookmarkStart w:id="543" w:name="_Toc296891022"/>
      <w:bookmarkStart w:id="544" w:name="_Toc312677500"/>
      <w:bookmarkStart w:id="545" w:name="_Toc297216200"/>
      <w:bookmarkStart w:id="546" w:name="_Toc297123541"/>
      <w:bookmarkStart w:id="547" w:name="_Toc300934990"/>
      <w:bookmarkStart w:id="548" w:name="_Toc296944533"/>
      <w:bookmarkStart w:id="549" w:name="_Toc297120494"/>
      <w:bookmarkStart w:id="550" w:name="_Toc292559399"/>
      <w:bookmarkStart w:id="551" w:name="_Toc303539147"/>
      <w:bookmarkStart w:id="552" w:name="_Toc304295567"/>
      <w:bookmarkStart w:id="553" w:name="_Toc292559904"/>
      <w:bookmarkStart w:id="554" w:name="_Toc297048380"/>
      <w:bookmarkStart w:id="555" w:name="_Toc312678026"/>
      <w:bookmarkStart w:id="556" w:name="_Toc296503194"/>
      <w:r>
        <w:rPr>
          <w:rFonts w:hint="eastAsia" w:ascii="宋体" w:hAnsi="宋体" w:eastAsia="宋体" w:cs="宋体"/>
          <w:color w:val="auto"/>
          <w:sz w:val="21"/>
          <w:szCs w:val="21"/>
          <w:highlight w:val="none"/>
        </w:rPr>
        <w:t>0.1变更的范围</w:t>
      </w:r>
    </w:p>
    <w:p w14:paraId="6DC1DE09">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关于变更的范围的约定：</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sz w:val="21"/>
          <w:szCs w:val="21"/>
          <w:highlight w:val="none"/>
        </w:rPr>
        <w:t>。</w:t>
      </w:r>
    </w:p>
    <w:p w14:paraId="6A74269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10.4 变更估价</w:t>
      </w:r>
    </w:p>
    <w:p w14:paraId="5B2F4E39">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10.4.1 变更估价原则</w:t>
      </w:r>
    </w:p>
    <w:p w14:paraId="12795259">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b w:val="0"/>
          <w:bCs/>
          <w:color w:val="auto"/>
          <w:sz w:val="21"/>
          <w:szCs w:val="21"/>
          <w:highlight w:val="none"/>
        </w:rPr>
      </w:pPr>
      <w:bookmarkStart w:id="557" w:name="_Toc251051742"/>
      <w:r>
        <w:rPr>
          <w:rFonts w:hint="eastAsia" w:ascii="宋体" w:hAnsi="宋体" w:eastAsia="宋体" w:cs="宋体"/>
          <w:b w:val="0"/>
          <w:bCs/>
          <w:color w:val="auto"/>
          <w:sz w:val="21"/>
          <w:szCs w:val="21"/>
          <w:highlight w:val="none"/>
          <w:u w:val="single"/>
        </w:rPr>
        <w:t>因设计变更、相关签证及招标工程量清单错项、漏项引起工程项目、工程量任何变化的，变更合同价款按下列方法进行：</w:t>
      </w:r>
      <w:bookmarkEnd w:id="557"/>
      <w:r>
        <w:rPr>
          <w:rFonts w:hint="eastAsia" w:ascii="宋体" w:hAnsi="宋体" w:eastAsia="宋体" w:cs="宋体"/>
          <w:b w:val="0"/>
          <w:bCs/>
          <w:color w:val="auto"/>
          <w:sz w:val="21"/>
          <w:szCs w:val="21"/>
          <w:highlight w:val="none"/>
          <w:u w:val="single"/>
        </w:rPr>
        <w:fldChar w:fldCharType="begin"/>
      </w:r>
      <w:r>
        <w:rPr>
          <w:rFonts w:hint="eastAsia" w:ascii="宋体" w:hAnsi="宋体" w:eastAsia="宋体" w:cs="宋体"/>
          <w:b w:val="0"/>
          <w:bCs/>
          <w:color w:val="auto"/>
          <w:sz w:val="21"/>
          <w:szCs w:val="21"/>
          <w:highlight w:val="none"/>
          <w:u w:val="single"/>
        </w:rPr>
        <w:instrText xml:space="preserve"> = 1 \* GB3 </w:instrText>
      </w:r>
      <w:r>
        <w:rPr>
          <w:rFonts w:hint="eastAsia" w:ascii="宋体" w:hAnsi="宋体" w:eastAsia="宋体" w:cs="宋体"/>
          <w:b w:val="0"/>
          <w:bCs/>
          <w:color w:val="auto"/>
          <w:sz w:val="21"/>
          <w:szCs w:val="21"/>
          <w:highlight w:val="none"/>
          <w:u w:val="single"/>
        </w:rPr>
        <w:fldChar w:fldCharType="separate"/>
      </w:r>
      <w:r>
        <w:rPr>
          <w:rFonts w:hint="eastAsia" w:ascii="宋体" w:hAnsi="宋体" w:eastAsia="宋体" w:cs="宋体"/>
          <w:b w:val="0"/>
          <w:bCs/>
          <w:color w:val="auto"/>
          <w:sz w:val="21"/>
          <w:szCs w:val="21"/>
          <w:highlight w:val="none"/>
          <w:u w:val="single"/>
        </w:rPr>
        <w:t>①</w:t>
      </w:r>
      <w:r>
        <w:rPr>
          <w:rFonts w:hint="eastAsia" w:ascii="宋体" w:hAnsi="宋体" w:eastAsia="宋体" w:cs="宋体"/>
          <w:b w:val="0"/>
          <w:bCs/>
          <w:color w:val="auto"/>
          <w:sz w:val="21"/>
          <w:szCs w:val="21"/>
          <w:highlight w:val="none"/>
          <w:u w:val="single"/>
        </w:rPr>
        <w:fldChar w:fldCharType="end"/>
      </w:r>
      <w:r>
        <w:rPr>
          <w:rFonts w:hint="eastAsia" w:ascii="宋体" w:hAnsi="宋体" w:eastAsia="宋体" w:cs="宋体"/>
          <w:b w:val="0"/>
          <w:bCs/>
          <w:color w:val="auto"/>
          <w:sz w:val="21"/>
          <w:szCs w:val="21"/>
          <w:highlight w:val="none"/>
          <w:u w:val="single"/>
        </w:rPr>
        <w:t>合同中已有适用于变更工程的项，按合同中已有的综合单价确定；</w:t>
      </w:r>
      <w:r>
        <w:rPr>
          <w:rFonts w:hint="eastAsia" w:ascii="宋体" w:hAnsi="宋体" w:eastAsia="宋体" w:cs="宋体"/>
          <w:b w:val="0"/>
          <w:bCs/>
          <w:color w:val="auto"/>
          <w:sz w:val="21"/>
          <w:szCs w:val="21"/>
          <w:highlight w:val="none"/>
          <w:u w:val="single"/>
        </w:rPr>
        <w:fldChar w:fldCharType="begin"/>
      </w:r>
      <w:r>
        <w:rPr>
          <w:rFonts w:hint="eastAsia" w:ascii="宋体" w:hAnsi="宋体" w:eastAsia="宋体" w:cs="宋体"/>
          <w:b w:val="0"/>
          <w:bCs/>
          <w:color w:val="auto"/>
          <w:sz w:val="21"/>
          <w:szCs w:val="21"/>
          <w:highlight w:val="none"/>
          <w:u w:val="single"/>
        </w:rPr>
        <w:instrText xml:space="preserve"> = 2 \* GB3 </w:instrText>
      </w:r>
      <w:r>
        <w:rPr>
          <w:rFonts w:hint="eastAsia" w:ascii="宋体" w:hAnsi="宋体" w:eastAsia="宋体" w:cs="宋体"/>
          <w:b w:val="0"/>
          <w:bCs/>
          <w:color w:val="auto"/>
          <w:sz w:val="21"/>
          <w:szCs w:val="21"/>
          <w:highlight w:val="none"/>
          <w:u w:val="single"/>
        </w:rPr>
        <w:fldChar w:fldCharType="separate"/>
      </w:r>
      <w:r>
        <w:rPr>
          <w:rFonts w:hint="eastAsia" w:ascii="宋体" w:hAnsi="宋体" w:eastAsia="宋体" w:cs="宋体"/>
          <w:b w:val="0"/>
          <w:bCs/>
          <w:color w:val="auto"/>
          <w:sz w:val="21"/>
          <w:szCs w:val="21"/>
          <w:highlight w:val="none"/>
          <w:u w:val="single"/>
        </w:rPr>
        <w:t>②</w:t>
      </w:r>
      <w:r>
        <w:rPr>
          <w:rFonts w:hint="eastAsia" w:ascii="宋体" w:hAnsi="宋体" w:eastAsia="宋体" w:cs="宋体"/>
          <w:b w:val="0"/>
          <w:bCs/>
          <w:color w:val="auto"/>
          <w:sz w:val="21"/>
          <w:szCs w:val="21"/>
          <w:highlight w:val="none"/>
          <w:u w:val="single"/>
        </w:rPr>
        <w:fldChar w:fldCharType="end"/>
      </w:r>
      <w:r>
        <w:rPr>
          <w:rFonts w:hint="eastAsia" w:ascii="宋体" w:hAnsi="宋体" w:eastAsia="宋体" w:cs="宋体"/>
          <w:b w:val="0"/>
          <w:bCs/>
          <w:color w:val="auto"/>
          <w:sz w:val="21"/>
          <w:szCs w:val="21"/>
          <w:highlight w:val="none"/>
          <w:u w:val="single"/>
        </w:rPr>
        <w:t>合同中有类似变更工程的项（指工程量清单项目中除主要材料不同外，人工、机械及其他材料均相同的项），综合单价按已有类似的综合单价加材料价差来确定；③合同中没有适用或类似于变更工程的项，其综合单价套用广西现行消耗量定额，费率按预算价的费率构成计取，材料价按施工期《桂林建设工程造价信息》（</w:t>
      </w:r>
      <w:r>
        <w:rPr>
          <w:rFonts w:hint="eastAsia" w:ascii="宋体" w:hAnsi="宋体" w:cs="宋体"/>
          <w:b w:val="0"/>
          <w:bCs/>
          <w:color w:val="auto"/>
          <w:sz w:val="21"/>
          <w:szCs w:val="21"/>
          <w:highlight w:val="none"/>
          <w:u w:val="single"/>
          <w:lang w:val="en-US" w:eastAsia="zh-CN"/>
        </w:rPr>
        <w:t>资源</w:t>
      </w:r>
      <w:r>
        <w:rPr>
          <w:rFonts w:hint="eastAsia" w:ascii="宋体" w:hAnsi="宋体" w:eastAsia="宋体" w:cs="宋体"/>
          <w:b w:val="0"/>
          <w:bCs/>
          <w:color w:val="auto"/>
          <w:sz w:val="21"/>
          <w:szCs w:val="21"/>
          <w:highlight w:val="none"/>
          <w:u w:val="single"/>
          <w:lang w:val="en-US" w:eastAsia="zh-CN"/>
        </w:rPr>
        <w:t>县</w:t>
      </w:r>
      <w:r>
        <w:rPr>
          <w:rFonts w:hint="eastAsia" w:ascii="宋体" w:hAnsi="宋体" w:eastAsia="宋体" w:cs="宋体"/>
          <w:b w:val="0"/>
          <w:bCs/>
          <w:color w:val="auto"/>
          <w:sz w:val="21"/>
          <w:szCs w:val="21"/>
          <w:highlight w:val="none"/>
          <w:u w:val="single"/>
        </w:rPr>
        <w:t>）公布价格的算数平均值计取，材料价格缺项的根据市场询价签证确定其材料价格，最后总价乘以系数（投标报价/预算价）；④不适用上述条款的项，则由发包人和承包人协商签证确定；⑤因不可抗力产生的费用由发包人及承包人双方协商分担</w:t>
      </w:r>
      <w:r>
        <w:rPr>
          <w:rFonts w:hint="eastAsia" w:ascii="宋体" w:hAnsi="宋体" w:eastAsia="宋体" w:cs="宋体"/>
          <w:b w:val="0"/>
          <w:bCs/>
          <w:color w:val="auto"/>
          <w:sz w:val="21"/>
          <w:szCs w:val="21"/>
          <w:highlight w:val="none"/>
        </w:rPr>
        <w:t>。</w:t>
      </w:r>
    </w:p>
    <w:p w14:paraId="642A7A58">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Start w:id="558" w:name="_Toc297048383"/>
      <w:bookmarkStart w:id="559" w:name="_Toc297120497"/>
      <w:bookmarkStart w:id="560" w:name="_Toc296347196"/>
      <w:bookmarkStart w:id="561" w:name="_Toc296891025"/>
      <w:bookmarkStart w:id="562" w:name="_Toc296503197"/>
      <w:bookmarkStart w:id="563" w:name="_Toc297123544"/>
      <w:bookmarkStart w:id="564" w:name="_Toc303539150"/>
      <w:bookmarkStart w:id="565" w:name="_Toc297216203"/>
      <w:bookmarkStart w:id="566" w:name="_Toc296346698"/>
      <w:bookmarkStart w:id="567" w:name="_Toc296891237"/>
      <w:bookmarkStart w:id="568" w:name="_Toc300934993"/>
      <w:bookmarkStart w:id="569" w:name="_Toc296944536"/>
      <w:bookmarkStart w:id="570" w:name="_Toc292559907"/>
      <w:bookmarkStart w:id="571" w:name="_Toc292559402"/>
      <w:bookmarkStart w:id="572" w:name="_Toc304295570"/>
      <w:bookmarkStart w:id="573" w:name="_Toc312678029"/>
      <w:bookmarkStart w:id="574" w:name="_Toc312677503"/>
      <w:r>
        <w:rPr>
          <w:rFonts w:hint="eastAsia" w:ascii="宋体" w:hAnsi="宋体" w:eastAsia="宋体" w:cs="宋体"/>
          <w:color w:val="auto"/>
          <w:sz w:val="21"/>
          <w:szCs w:val="21"/>
          <w:highlight w:val="none"/>
        </w:rPr>
        <w:t>0.5承</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Start w:id="575" w:name="_Toc300934994"/>
      <w:bookmarkStart w:id="576" w:name="_Toc297120503"/>
      <w:bookmarkStart w:id="577" w:name="_Toc292559913"/>
      <w:bookmarkStart w:id="578" w:name="_Toc296346704"/>
      <w:bookmarkStart w:id="579" w:name="_Toc292559408"/>
      <w:bookmarkStart w:id="580" w:name="_Toc297123545"/>
      <w:bookmarkStart w:id="581" w:name="_Toc296891031"/>
      <w:bookmarkStart w:id="582" w:name="_Toc297216204"/>
      <w:bookmarkStart w:id="583" w:name="_Toc296944542"/>
      <w:bookmarkStart w:id="584" w:name="_Toc303539151"/>
      <w:bookmarkStart w:id="585" w:name="_Toc296347202"/>
      <w:bookmarkStart w:id="586" w:name="_Toc297048389"/>
      <w:bookmarkStart w:id="587" w:name="_Toc296503203"/>
      <w:bookmarkStart w:id="588" w:name="_Toc296891243"/>
      <w:r>
        <w:rPr>
          <w:rFonts w:hint="eastAsia" w:ascii="宋体" w:hAnsi="宋体" w:eastAsia="宋体" w:cs="宋体"/>
          <w:color w:val="auto"/>
          <w:sz w:val="21"/>
          <w:szCs w:val="21"/>
          <w:highlight w:val="none"/>
        </w:rPr>
        <w:t>包人的合理化建议</w:t>
      </w:r>
    </w:p>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14:paraId="602624AB">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监理人审查承包人合理化建议的期限：</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sz w:val="21"/>
          <w:szCs w:val="21"/>
          <w:highlight w:val="none"/>
        </w:rPr>
        <w:t>。</w:t>
      </w:r>
    </w:p>
    <w:p w14:paraId="3477C99C">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发包人审批承包人合理化建议的期限：</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sz w:val="21"/>
          <w:szCs w:val="21"/>
          <w:highlight w:val="none"/>
        </w:rPr>
        <w:t>。</w:t>
      </w:r>
    </w:p>
    <w:p w14:paraId="69F2E56B">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承</w:t>
      </w:r>
      <w:bookmarkStart w:id="589" w:name="_Toc312677504"/>
      <w:bookmarkStart w:id="590" w:name="_Toc296503204"/>
      <w:bookmarkStart w:id="591" w:name="_Toc297216205"/>
      <w:bookmarkStart w:id="592" w:name="_Toc296891032"/>
      <w:bookmarkStart w:id="593" w:name="_Toc296346705"/>
      <w:bookmarkStart w:id="594" w:name="_Toc292559409"/>
      <w:bookmarkStart w:id="595" w:name="_Toc297123546"/>
      <w:bookmarkStart w:id="596" w:name="_Toc297120504"/>
      <w:bookmarkStart w:id="597" w:name="_Toc296944543"/>
      <w:bookmarkStart w:id="598" w:name="_Toc297048390"/>
      <w:bookmarkStart w:id="599" w:name="_Toc318581175"/>
      <w:bookmarkStart w:id="600" w:name="_Toc304295571"/>
      <w:bookmarkStart w:id="601" w:name="_Toc303539152"/>
      <w:bookmarkStart w:id="602" w:name="_Toc296347203"/>
      <w:bookmarkStart w:id="603" w:name="_Toc296891244"/>
      <w:bookmarkStart w:id="604" w:name="_Toc312678030"/>
      <w:bookmarkStart w:id="605" w:name="_Toc292559914"/>
      <w:bookmarkStart w:id="606" w:name="_Toc300934995"/>
      <w:r>
        <w:rPr>
          <w:rFonts w:hint="eastAsia" w:ascii="宋体" w:hAnsi="宋体" w:eastAsia="宋体" w:cs="宋体"/>
          <w:color w:val="auto"/>
          <w:sz w:val="21"/>
          <w:szCs w:val="21"/>
          <w:highlight w:val="none"/>
        </w:rPr>
        <w:t>包人提出的合理化建议降低了合同价格或者提高了工程经济效益的奖励的方法和金额为：</w:t>
      </w:r>
      <w:r>
        <w:rPr>
          <w:rFonts w:hint="eastAsia" w:ascii="宋体" w:hAnsi="宋体" w:eastAsia="宋体" w:cs="宋体"/>
          <w:color w:val="auto"/>
          <w:sz w:val="21"/>
          <w:szCs w:val="21"/>
          <w:highlight w:val="none"/>
          <w:u w:val="single"/>
        </w:rPr>
        <w:t xml:space="preserve">                                </w:t>
      </w:r>
    </w:p>
    <w:p w14:paraId="7CF33DE9">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14:paraId="14633F8F">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bookmarkStart w:id="607" w:name="_Toc296944538"/>
      <w:bookmarkStart w:id="608" w:name="_Toc303539154"/>
      <w:bookmarkStart w:id="609" w:name="_Toc304295574"/>
      <w:bookmarkStart w:id="610" w:name="_Toc297123548"/>
      <w:bookmarkStart w:id="611" w:name="_Toc297120499"/>
      <w:bookmarkStart w:id="612" w:name="_Toc296891239"/>
      <w:bookmarkStart w:id="613" w:name="_Toc296503199"/>
      <w:bookmarkStart w:id="614" w:name="_Toc297048385"/>
      <w:bookmarkStart w:id="615" w:name="_Toc312678033"/>
      <w:bookmarkStart w:id="616" w:name="_Toc312677507"/>
      <w:bookmarkStart w:id="617" w:name="_Toc300934997"/>
      <w:bookmarkStart w:id="618" w:name="_Toc296347198"/>
      <w:bookmarkStart w:id="619" w:name="_Toc292559404"/>
      <w:bookmarkStart w:id="620" w:name="_Toc292559909"/>
      <w:bookmarkStart w:id="621" w:name="_Toc296891027"/>
      <w:bookmarkStart w:id="622" w:name="_Toc296346700"/>
      <w:bookmarkStart w:id="623" w:name="_Toc297216207"/>
      <w:r>
        <w:rPr>
          <w:rFonts w:hint="eastAsia" w:ascii="宋体" w:hAnsi="宋体" w:eastAsia="宋体" w:cs="宋体"/>
          <w:color w:val="auto"/>
          <w:sz w:val="21"/>
          <w:szCs w:val="21"/>
          <w:highlight w:val="none"/>
        </w:rPr>
        <w:t>0.7 暂估价</w:t>
      </w:r>
    </w:p>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14:paraId="3FE01151">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暂</w:t>
      </w:r>
      <w:bookmarkStart w:id="624" w:name="_Toc312678034"/>
      <w:bookmarkStart w:id="625" w:name="_Toc318581176"/>
      <w:bookmarkStart w:id="626" w:name="_Toc312677508"/>
      <w:r>
        <w:rPr>
          <w:rFonts w:hint="eastAsia" w:ascii="宋体" w:hAnsi="宋体" w:eastAsia="宋体" w:cs="宋体"/>
          <w:color w:val="auto"/>
          <w:kern w:val="0"/>
          <w:sz w:val="21"/>
          <w:szCs w:val="21"/>
          <w:highlight w:val="none"/>
        </w:rPr>
        <w:t>估价材料和工程设备的明细详见附件11：《</w:t>
      </w:r>
      <w:r>
        <w:rPr>
          <w:rFonts w:hint="eastAsia" w:ascii="宋体" w:hAnsi="宋体" w:eastAsia="宋体" w:cs="宋体"/>
          <w:color w:val="auto"/>
          <w:sz w:val="21"/>
          <w:szCs w:val="21"/>
          <w:highlight w:val="none"/>
        </w:rPr>
        <w:t>暂估价一览表》</w:t>
      </w:r>
      <w:r>
        <w:rPr>
          <w:rFonts w:hint="eastAsia" w:ascii="宋体" w:hAnsi="宋体" w:eastAsia="宋体" w:cs="宋体"/>
          <w:color w:val="auto"/>
          <w:kern w:val="0"/>
          <w:sz w:val="21"/>
          <w:szCs w:val="21"/>
          <w:highlight w:val="none"/>
        </w:rPr>
        <w:t>。</w:t>
      </w:r>
    </w:p>
    <w:bookmarkEnd w:id="624"/>
    <w:bookmarkEnd w:id="625"/>
    <w:bookmarkEnd w:id="626"/>
    <w:p w14:paraId="0AF6C5A9">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bookmarkStart w:id="627" w:name="_Toc312677509"/>
      <w:bookmarkStart w:id="628" w:name="_Toc318581177"/>
      <w:bookmarkStart w:id="629" w:name="_Toc312678035"/>
      <w:r>
        <w:rPr>
          <w:rFonts w:hint="eastAsia" w:ascii="宋体" w:hAnsi="宋体" w:eastAsia="宋体" w:cs="宋体"/>
          <w:color w:val="auto"/>
          <w:sz w:val="21"/>
          <w:szCs w:val="21"/>
          <w:highlight w:val="none"/>
        </w:rPr>
        <w:t>0.7.1 依法必须招标的暂估价项目</w:t>
      </w:r>
    </w:p>
    <w:bookmarkEnd w:id="627"/>
    <w:bookmarkEnd w:id="628"/>
    <w:bookmarkEnd w:id="629"/>
    <w:p w14:paraId="5CE6059F">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对于依法必须招标的暂估价项目的确认和批准采取第</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3</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种方式确定。</w:t>
      </w:r>
    </w:p>
    <w:p w14:paraId="564B4EDE">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第1种方式：对于依法必须招标的暂估价项目，由承包人招标，对该暂估价项目的确认和批准按照以下约定执行：</w:t>
      </w:r>
    </w:p>
    <w:p w14:paraId="468DC48D">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承包人应当根据施工进度计划，在招标工作启动前14天将招标方案通过监理人报送发包人审查，发包人应当在收到承包人报送的招标方案后7天内批准或提出修改意见。承包人应当按照经过发包人批准的招标方案开展招标工作；</w:t>
      </w:r>
    </w:p>
    <w:p w14:paraId="4CEBA523">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承包人应当根据施工进度计划，提前14天将招标文件通过监理人报送发包人审批，发包人应当在收到承包人报送的相关文件后7天内完成审批或提出修改意见；发包人有权确定招标控制价并委派评标委员会成员；</w:t>
      </w:r>
    </w:p>
    <w:p w14:paraId="06E2C144">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承包人与供应商、分包人在签订暂估价合同前，应当提前7天将确定的中标候选供应商或中标候选分包人的资料报送发包人，发包人应在收到资料后3天内与承包人共同确定中标人；承包人应当在签订合同后7天内，将暂估价合同副本报送发包人留存。</w:t>
      </w:r>
    </w:p>
    <w:p w14:paraId="1BF39AE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第2种方式：对于依法必须招标的暂估价项目，由发包人和承包人共同招标确定暂估价供应商或分包人的，承包人应按照施工进度计划，在招标工作启动前14天通知发包人，并提交暂估价招标方案和工作分工。发包人应在收到后7天内确认。确定中标人后，由发包人、承包人与中标人共同签订暂估价合同。</w:t>
      </w:r>
    </w:p>
    <w:p w14:paraId="5BA16CF6">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第3种方式：发包人作为招标人，承包人配合、协助发包人的招标工作。</w:t>
      </w:r>
    </w:p>
    <w:p w14:paraId="59D5AC4F">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10.7.2 不属于依法必须招标的暂估价项目</w:t>
      </w:r>
    </w:p>
    <w:p w14:paraId="05DA8386">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对于不属于依法必须招标的暂估价项目的确认和批准采取第</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3</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种方式确定。</w:t>
      </w:r>
    </w:p>
    <w:p w14:paraId="0D119702">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第1种方式：对于不属于依法必须招标的暂估价项目，按本项约定确认和批准：</w:t>
      </w:r>
    </w:p>
    <w:p w14:paraId="5AC4F258">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承包人根据施工进度计划，在签订暂估价项目采购合同、分包合同前28天向监理人提出书面申请。监理人应当在收到申请后3天内报送发包人，发包人应当在收到申请后14天内给予批准或提出修改意见，发包人逾期未予批准或提出修改意见的，视为该书面申请已获得同意；</w:t>
      </w:r>
    </w:p>
    <w:p w14:paraId="46D5A7F9">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（2）发包人认为承包人确定的供应商、分包人无法满足工程质量或合同要求的，发包人可以要求承包人重新确定暂估价项目的供应商、分包人;</w:t>
      </w:r>
    </w:p>
    <w:p w14:paraId="1F47E828">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（3）承包人应当在签订暂估价合同后7天内，将暂估价合同副本报送发包人留存。</w:t>
      </w:r>
    </w:p>
    <w:p w14:paraId="65E1EA15">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第2种方式：承包人按照第10.7.1项〔依法必须招标的暂估价项目〕约定的第1种方式确定暂估价项目。</w:t>
      </w:r>
    </w:p>
    <w:p w14:paraId="38C6B654">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第3种方式：承包人实施的暂估价项目</w:t>
      </w:r>
    </w:p>
    <w:p w14:paraId="0EB15791">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承包人直接实施的暂估价项目的约定：</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20EC549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10.8 暂列金额</w:t>
      </w:r>
    </w:p>
    <w:p w14:paraId="05CF808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rPr>
        <w:t>合同当事人关于暂列金额使用的约定：</w:t>
      </w:r>
      <w:r>
        <w:rPr>
          <w:rFonts w:hint="eastAsia" w:ascii="宋体" w:hAnsi="宋体" w:eastAsia="宋体" w:cs="宋体"/>
          <w:color w:val="auto"/>
          <w:sz w:val="21"/>
          <w:szCs w:val="21"/>
          <w:highlight w:val="none"/>
          <w:u w:val="single"/>
        </w:rPr>
        <w:t xml:space="preserve">（1）已签约合同价中的暂列金额由发包人掌握使用。 </w:t>
      </w:r>
    </w:p>
    <w:p w14:paraId="799A51A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bCs/>
          <w:color w:val="auto"/>
          <w:sz w:val="21"/>
          <w:szCs w:val="21"/>
          <w:highlight w:val="none"/>
          <w:u w:val="single"/>
        </w:rPr>
        <w:t>（2）发包人按照规定所作支付后，暂列金额如有余额归发包人</w:t>
      </w:r>
      <w:r>
        <w:rPr>
          <w:rFonts w:hint="eastAsia" w:ascii="宋体" w:hAnsi="宋体" w:eastAsia="宋体" w:cs="宋体"/>
          <w:color w:val="auto"/>
          <w:kern w:val="0"/>
          <w:sz w:val="21"/>
          <w:szCs w:val="21"/>
          <w:highlight w:val="none"/>
        </w:rPr>
        <w:t>。</w:t>
      </w:r>
    </w:p>
    <w:p w14:paraId="637586F4">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630" w:name="_Toc351203643"/>
      <w:r>
        <w:rPr>
          <w:rFonts w:hint="eastAsia" w:ascii="宋体" w:hAnsi="宋体" w:eastAsia="宋体" w:cs="宋体"/>
          <w:b w:val="0"/>
          <w:color w:val="auto"/>
          <w:sz w:val="21"/>
          <w:szCs w:val="21"/>
          <w:highlight w:val="none"/>
        </w:rPr>
        <w:t>11. 价格调整</w:t>
      </w:r>
      <w:bookmarkEnd w:id="630"/>
    </w:p>
    <w:p w14:paraId="445D758D">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bookmarkStart w:id="631" w:name="_Toc292559911"/>
      <w:bookmarkStart w:id="632" w:name="_Toc292559406"/>
      <w:bookmarkStart w:id="633" w:name="_Toc296891029"/>
      <w:bookmarkStart w:id="634" w:name="_Toc303539157"/>
      <w:bookmarkStart w:id="635" w:name="_Toc296891241"/>
      <w:bookmarkStart w:id="636" w:name="_Toc304295577"/>
      <w:bookmarkStart w:id="637" w:name="_Toc297048387"/>
      <w:bookmarkStart w:id="638" w:name="_Toc297216209"/>
      <w:bookmarkStart w:id="639" w:name="_Toc300935000"/>
      <w:bookmarkStart w:id="640" w:name="_Toc312678039"/>
      <w:bookmarkStart w:id="641" w:name="_Toc297120501"/>
      <w:bookmarkStart w:id="642" w:name="_Toc296944540"/>
      <w:bookmarkStart w:id="643" w:name="_Toc296346702"/>
      <w:bookmarkStart w:id="644" w:name="_Toc296503201"/>
      <w:bookmarkStart w:id="645" w:name="_Toc296347200"/>
      <w:bookmarkStart w:id="646" w:name="_Toc297123550"/>
      <w:r>
        <w:rPr>
          <w:rFonts w:hint="eastAsia" w:ascii="宋体" w:hAnsi="宋体" w:eastAsia="宋体" w:cs="宋体"/>
          <w:color w:val="auto"/>
          <w:sz w:val="21"/>
          <w:szCs w:val="21"/>
          <w:highlight w:val="none"/>
        </w:rPr>
        <w:t>11.1 市场价格波动引起的调整</w:t>
      </w:r>
    </w:p>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14:paraId="1036E865">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市场价格波动是否调整合同价格的约定：</w:t>
      </w:r>
      <w:r>
        <w:rPr>
          <w:rFonts w:hint="eastAsia" w:ascii="宋体" w:hAnsi="宋体" w:eastAsia="宋体" w:cs="宋体"/>
          <w:color w:val="auto"/>
          <w:sz w:val="21"/>
          <w:szCs w:val="21"/>
          <w:highlight w:val="none"/>
          <w:u w:val="single"/>
        </w:rPr>
        <w:t xml:space="preserve">     调整      </w:t>
      </w:r>
      <w:r>
        <w:rPr>
          <w:rFonts w:hint="eastAsia" w:ascii="宋体" w:hAnsi="宋体" w:eastAsia="宋体" w:cs="宋体"/>
          <w:color w:val="auto"/>
          <w:sz w:val="21"/>
          <w:szCs w:val="21"/>
          <w:highlight w:val="none"/>
        </w:rPr>
        <w:t>。</w:t>
      </w:r>
    </w:p>
    <w:p w14:paraId="5E5A6FDA">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因市场价格波动调整合同价格，采用以下第</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 xml:space="preserve">2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种方式对合同价格进行调整：</w:t>
      </w:r>
    </w:p>
    <w:p w14:paraId="77A0DC9B">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第1种方式：采用价格指数进行价格调整。</w:t>
      </w:r>
    </w:p>
    <w:p w14:paraId="7DBF62F2">
      <w:pPr>
        <w:pageBreakBefore w:val="0"/>
        <w:widowControl w:val="0"/>
        <w:kinsoku/>
        <w:wordWrap/>
        <w:overflowPunct/>
        <w:topLinePunct w:val="0"/>
        <w:bidi w:val="0"/>
        <w:snapToGrid/>
        <w:spacing w:line="360" w:lineRule="exact"/>
        <w:ind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关于各可调因子、定值和变值权重，以及基本价格指数及其来源的约定：</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rPr>
        <w:t xml:space="preserve">；  </w:t>
      </w:r>
    </w:p>
    <w:p w14:paraId="33BFCEBA">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第2种方式：采用造价信息进行价格调整。</w:t>
      </w:r>
    </w:p>
    <w:p w14:paraId="71030D12">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（2）关于基准价格的约定：</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232DC25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专用合同条款①承包人在已标价工程量清单或预算书中载明的材料单价低于基准价格的：专用合同条款合同履行期间材料单价涨幅以基准价格为基础超过</w:t>
      </w:r>
      <w:r>
        <w:rPr>
          <w:rFonts w:hint="eastAsia" w:ascii="宋体" w:hAnsi="宋体" w:eastAsia="宋体" w:cs="宋体"/>
          <w:color w:val="auto"/>
          <w:sz w:val="21"/>
          <w:szCs w:val="21"/>
          <w:highlight w:val="none"/>
          <w:u w:val="single"/>
        </w:rPr>
        <w:t xml:space="preserve"> 5  </w:t>
      </w:r>
      <w:r>
        <w:rPr>
          <w:rFonts w:hint="eastAsia" w:ascii="宋体" w:hAnsi="宋体" w:eastAsia="宋体" w:cs="宋体"/>
          <w:color w:val="auto"/>
          <w:sz w:val="21"/>
          <w:szCs w:val="21"/>
          <w:highlight w:val="none"/>
        </w:rPr>
        <w:t>%时，或材料单价跌幅以已标价工程量清单或预算书中载明材料单价为基础超过</w:t>
      </w:r>
      <w:r>
        <w:rPr>
          <w:rFonts w:hint="eastAsia" w:ascii="宋体" w:hAnsi="宋体" w:eastAsia="宋体" w:cs="宋体"/>
          <w:color w:val="auto"/>
          <w:sz w:val="21"/>
          <w:szCs w:val="21"/>
          <w:highlight w:val="none"/>
          <w:u w:val="single"/>
        </w:rPr>
        <w:t xml:space="preserve">  5 </w:t>
      </w:r>
      <w:r>
        <w:rPr>
          <w:rFonts w:hint="eastAsia" w:ascii="宋体" w:hAnsi="宋体" w:eastAsia="宋体" w:cs="宋体"/>
          <w:color w:val="auto"/>
          <w:sz w:val="21"/>
          <w:szCs w:val="21"/>
          <w:highlight w:val="none"/>
        </w:rPr>
        <w:t>%时，其超过部分据实调整。</w:t>
      </w:r>
    </w:p>
    <w:p w14:paraId="2D517314">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②承包人在已标价工程量清单或预算书中载明的材料单价高于基准价格的：专用合同条款合同履行期间材料单价跌幅以基准价格为基础超过</w:t>
      </w:r>
      <w:r>
        <w:rPr>
          <w:rFonts w:hint="eastAsia" w:ascii="宋体" w:hAnsi="宋体" w:eastAsia="宋体" w:cs="宋体"/>
          <w:color w:val="auto"/>
          <w:sz w:val="21"/>
          <w:szCs w:val="21"/>
          <w:highlight w:val="none"/>
          <w:u w:val="single"/>
        </w:rPr>
        <w:t xml:space="preserve"> 5  </w:t>
      </w:r>
      <w:r>
        <w:rPr>
          <w:rFonts w:hint="eastAsia" w:ascii="宋体" w:hAnsi="宋体" w:eastAsia="宋体" w:cs="宋体"/>
          <w:color w:val="auto"/>
          <w:sz w:val="21"/>
          <w:szCs w:val="21"/>
          <w:highlight w:val="none"/>
        </w:rPr>
        <w:t>%时，材料单价涨幅以已标价工程量清单或预算书中载明材料单价为基础超过</w:t>
      </w:r>
      <w:r>
        <w:rPr>
          <w:rFonts w:hint="eastAsia" w:ascii="宋体" w:hAnsi="宋体" w:eastAsia="宋体" w:cs="宋体"/>
          <w:color w:val="auto"/>
          <w:sz w:val="21"/>
          <w:szCs w:val="21"/>
          <w:highlight w:val="none"/>
          <w:u w:val="single"/>
        </w:rPr>
        <w:t xml:space="preserve">  5 </w:t>
      </w:r>
      <w:r>
        <w:rPr>
          <w:rFonts w:hint="eastAsia" w:ascii="宋体" w:hAnsi="宋体" w:eastAsia="宋体" w:cs="宋体"/>
          <w:color w:val="auto"/>
          <w:sz w:val="21"/>
          <w:szCs w:val="21"/>
          <w:highlight w:val="none"/>
        </w:rPr>
        <w:t>%时，其超过部分据实调整。</w:t>
      </w:r>
    </w:p>
    <w:p w14:paraId="7A1F4B02">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③承包人在已标价工程量清单或预算书中载明的材料单价等于基准单价的：专用合同条款合同履行期间材料单价涨跌幅以基准单价为基础超过±</w:t>
      </w:r>
      <w:r>
        <w:rPr>
          <w:rFonts w:hint="eastAsia" w:ascii="宋体" w:hAnsi="宋体" w:eastAsia="宋体" w:cs="宋体"/>
          <w:color w:val="auto"/>
          <w:sz w:val="21"/>
          <w:szCs w:val="21"/>
          <w:highlight w:val="none"/>
          <w:u w:val="single"/>
        </w:rPr>
        <w:t xml:space="preserve"> 5  </w:t>
      </w:r>
      <w:r>
        <w:rPr>
          <w:rFonts w:hint="eastAsia" w:ascii="宋体" w:hAnsi="宋体" w:eastAsia="宋体" w:cs="宋体"/>
          <w:color w:val="auto"/>
          <w:sz w:val="21"/>
          <w:szCs w:val="21"/>
          <w:highlight w:val="none"/>
        </w:rPr>
        <w:t>%时，其超过部分据实调整。</w:t>
      </w:r>
    </w:p>
    <w:p w14:paraId="26C4C438">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第3种方式：其他价格调整方式：</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bookmarkEnd w:id="533"/>
    <w:bookmarkEnd w:id="534"/>
    <w:bookmarkEnd w:id="535"/>
    <w:bookmarkEnd w:id="536"/>
    <w:bookmarkEnd w:id="537"/>
    <w:bookmarkEnd w:id="538"/>
    <w:p w14:paraId="3F6FEAF3">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647" w:name="_Toc296346706"/>
      <w:bookmarkStart w:id="648" w:name="_Toc292559410"/>
      <w:bookmarkStart w:id="649" w:name="_Toc297120505"/>
      <w:bookmarkStart w:id="650" w:name="_Toc296944544"/>
      <w:bookmarkStart w:id="651" w:name="_Toc292559915"/>
      <w:bookmarkStart w:id="652" w:name="_Toc296347204"/>
      <w:bookmarkStart w:id="653" w:name="_Toc296891033"/>
      <w:bookmarkStart w:id="654" w:name="_Toc296891245"/>
      <w:bookmarkStart w:id="655" w:name="_Toc297048391"/>
      <w:bookmarkStart w:id="656" w:name="_Toc296503205"/>
      <w:bookmarkStart w:id="657" w:name="_Toc351203644"/>
      <w:bookmarkStart w:id="658" w:name="_Toc300935002"/>
      <w:bookmarkStart w:id="659" w:name="_Toc297123552"/>
      <w:bookmarkStart w:id="660" w:name="_Toc303539159"/>
      <w:bookmarkStart w:id="661" w:name="_Toc297216211"/>
      <w:bookmarkStart w:id="662" w:name="_Toc304295579"/>
      <w:bookmarkStart w:id="663" w:name="_Toc312678040"/>
      <w:r>
        <w:rPr>
          <w:rFonts w:hint="eastAsia" w:ascii="宋体" w:hAnsi="宋体" w:eastAsia="宋体" w:cs="宋体"/>
          <w:b w:val="0"/>
          <w:color w:val="auto"/>
          <w:sz w:val="21"/>
          <w:szCs w:val="21"/>
          <w:highlight w:val="none"/>
        </w:rPr>
        <w:t xml:space="preserve">12. </w:t>
      </w:r>
      <w:bookmarkEnd w:id="647"/>
      <w:bookmarkEnd w:id="648"/>
      <w:bookmarkEnd w:id="649"/>
      <w:bookmarkEnd w:id="650"/>
      <w:bookmarkEnd w:id="651"/>
      <w:bookmarkEnd w:id="652"/>
      <w:bookmarkEnd w:id="653"/>
      <w:bookmarkEnd w:id="654"/>
      <w:bookmarkEnd w:id="655"/>
      <w:bookmarkEnd w:id="656"/>
      <w:r>
        <w:rPr>
          <w:rFonts w:hint="eastAsia" w:ascii="宋体" w:hAnsi="宋体" w:eastAsia="宋体" w:cs="宋体"/>
          <w:b w:val="0"/>
          <w:color w:val="auto"/>
          <w:sz w:val="21"/>
          <w:szCs w:val="21"/>
          <w:highlight w:val="none"/>
        </w:rPr>
        <w:t>合同价格、计量与支付</w:t>
      </w:r>
      <w:bookmarkEnd w:id="657"/>
    </w:p>
    <w:bookmarkEnd w:id="658"/>
    <w:bookmarkEnd w:id="659"/>
    <w:bookmarkEnd w:id="660"/>
    <w:bookmarkEnd w:id="661"/>
    <w:bookmarkEnd w:id="662"/>
    <w:bookmarkEnd w:id="663"/>
    <w:p w14:paraId="09DBDE13">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bookmarkStart w:id="664" w:name="_Toc292559916"/>
      <w:bookmarkStart w:id="665" w:name="_Toc292559411"/>
      <w:bookmarkStart w:id="666" w:name="_Toc267251461"/>
      <w:bookmarkStart w:id="667" w:name="_Toc296891034"/>
      <w:bookmarkStart w:id="668" w:name="_Toc297120506"/>
      <w:bookmarkStart w:id="669" w:name="_Toc296891246"/>
      <w:bookmarkStart w:id="670" w:name="_Toc297048392"/>
      <w:bookmarkStart w:id="671" w:name="_Toc296503206"/>
      <w:bookmarkStart w:id="672" w:name="_Toc296346707"/>
      <w:bookmarkStart w:id="673" w:name="_Toc296944545"/>
      <w:bookmarkStart w:id="674" w:name="_Toc296347205"/>
      <w:bookmarkStart w:id="675" w:name="_Toc297123553"/>
      <w:bookmarkStart w:id="676" w:name="_Toc297216212"/>
      <w:bookmarkStart w:id="677" w:name="_Toc312678041"/>
      <w:bookmarkStart w:id="678" w:name="_Toc304295580"/>
      <w:bookmarkStart w:id="679" w:name="_Toc303539160"/>
      <w:bookmarkStart w:id="680" w:name="_Toc300935003"/>
      <w:r>
        <w:rPr>
          <w:rFonts w:hint="eastAsia" w:ascii="宋体" w:hAnsi="宋体" w:eastAsia="宋体" w:cs="宋体"/>
          <w:color w:val="auto"/>
          <w:sz w:val="21"/>
          <w:szCs w:val="21"/>
          <w:highlight w:val="none"/>
        </w:rPr>
        <w:t>12.1 合</w:t>
      </w:r>
      <w:bookmarkEnd w:id="664"/>
      <w:bookmarkEnd w:id="665"/>
      <w:bookmarkEnd w:id="666"/>
      <w:r>
        <w:rPr>
          <w:rFonts w:hint="eastAsia" w:ascii="宋体" w:hAnsi="宋体" w:eastAsia="宋体" w:cs="宋体"/>
          <w:color w:val="auto"/>
          <w:sz w:val="21"/>
          <w:szCs w:val="21"/>
          <w:highlight w:val="none"/>
        </w:rPr>
        <w:t>同价</w:t>
      </w:r>
      <w:bookmarkEnd w:id="667"/>
      <w:bookmarkEnd w:id="668"/>
      <w:bookmarkEnd w:id="669"/>
      <w:bookmarkEnd w:id="670"/>
      <w:bookmarkEnd w:id="671"/>
      <w:bookmarkEnd w:id="672"/>
      <w:bookmarkEnd w:id="673"/>
      <w:bookmarkEnd w:id="674"/>
      <w:r>
        <w:rPr>
          <w:rFonts w:hint="eastAsia" w:ascii="宋体" w:hAnsi="宋体" w:eastAsia="宋体" w:cs="宋体"/>
          <w:color w:val="auto"/>
          <w:sz w:val="21"/>
          <w:szCs w:val="21"/>
          <w:highlight w:val="none"/>
        </w:rPr>
        <w:t>格形式：合同价款采用</w:t>
      </w:r>
      <w:r>
        <w:rPr>
          <w:rFonts w:hint="eastAsia" w:ascii="宋体" w:hAnsi="宋体" w:eastAsia="宋体" w:cs="宋体"/>
          <w:color w:val="auto"/>
          <w:sz w:val="21"/>
          <w:szCs w:val="21"/>
          <w:highlight w:val="none"/>
          <w:u w:val="single"/>
        </w:rPr>
        <w:t>固定单价</w:t>
      </w:r>
      <w:r>
        <w:rPr>
          <w:rFonts w:hint="eastAsia" w:ascii="宋体" w:hAnsi="宋体" w:eastAsia="宋体" w:cs="宋体"/>
          <w:color w:val="auto"/>
          <w:sz w:val="21"/>
          <w:szCs w:val="21"/>
          <w:highlight w:val="none"/>
        </w:rPr>
        <w:t>方式确定。</w:t>
      </w:r>
    </w:p>
    <w:bookmarkEnd w:id="675"/>
    <w:bookmarkEnd w:id="676"/>
    <w:bookmarkEnd w:id="677"/>
    <w:bookmarkEnd w:id="678"/>
    <w:bookmarkEnd w:id="679"/>
    <w:bookmarkEnd w:id="680"/>
    <w:p w14:paraId="335CCD14">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1、单价合同。</w:t>
      </w:r>
    </w:p>
    <w:p w14:paraId="182917B9">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综合单价包含的风险范围：</w:t>
      </w:r>
      <w:r>
        <w:rPr>
          <w:rFonts w:hint="eastAsia" w:ascii="宋体" w:hAnsi="宋体" w:eastAsia="宋体" w:cs="宋体"/>
          <w:color w:val="auto"/>
          <w:sz w:val="21"/>
          <w:szCs w:val="21"/>
          <w:highlight w:val="none"/>
          <w:u w:val="single"/>
        </w:rPr>
        <w:t>承担施工中的一切风险，本合同单价在合同实施期间不因市场变化因素而变化；由于承包人因施工方法的修正、变更而引起的费用增加，由承包人自理，发包人不另追加费用。项目措施费包干使用，结算时不作调整。</w:t>
      </w:r>
    </w:p>
    <w:p w14:paraId="3964F6FD">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风险费用的计算方法：</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7A109C8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风险范围以外合同价格的调整方法：</w:t>
      </w:r>
    </w:p>
    <w:p w14:paraId="010D50D0">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u w:val="single"/>
        </w:rPr>
        <w:t>①工程变更：按10.4.1变更估价原则的约定调整。</w:t>
      </w:r>
    </w:p>
    <w:p w14:paraId="1B44246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u w:val="single"/>
        </w:rPr>
        <w:t>②政策性调整：按自治区建设行政主管部门颁布的文件执行。</w:t>
      </w:r>
    </w:p>
    <w:p w14:paraId="18F6BD6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u w:val="single"/>
        </w:rPr>
        <w:t>③材料价格风险：按11.1的约定调整。</w:t>
      </w:r>
    </w:p>
    <w:p w14:paraId="6982250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u w:val="single"/>
        </w:rPr>
        <w:t>④发包人缴纳的可办理退费的各项规费，由承包人提供相关资料并配合发包人退费，如因承包人原因造成不能退费的，相关损失从承包人结算中扣除。</w:t>
      </w:r>
    </w:p>
    <w:p w14:paraId="46068296">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u w:val="single"/>
          <w:lang w:val="en-US" w:eastAsia="zh-CN"/>
        </w:rPr>
        <w:t>⑤</w:t>
      </w:r>
      <w:r>
        <w:rPr>
          <w:rFonts w:hint="eastAsia" w:ascii="宋体" w:hAnsi="宋体" w:eastAsia="宋体" w:cs="宋体"/>
          <w:color w:val="auto"/>
          <w:sz w:val="21"/>
          <w:szCs w:val="21"/>
          <w:highlight w:val="none"/>
          <w:u w:val="single"/>
        </w:rPr>
        <w:t>工程量偏差：按1.13工程量清单错误修正的约定调整。</w:t>
      </w:r>
    </w:p>
    <w:p w14:paraId="327E398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2、总价合同。</w:t>
      </w:r>
    </w:p>
    <w:p w14:paraId="51EC14C8">
      <w:pPr>
        <w:pStyle w:val="48"/>
        <w:pageBreakBefore w:val="0"/>
        <w:widowControl w:val="0"/>
        <w:kinsoku/>
        <w:wordWrap/>
        <w:overflowPunct/>
        <w:topLinePunct w:val="0"/>
        <w:bidi w:val="0"/>
        <w:snapToGrid/>
        <w:spacing w:before="0" w:after="0"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总价包含的风险范围：</w:t>
      </w:r>
      <w:r>
        <w:rPr>
          <w:rFonts w:hint="eastAsia" w:ascii="宋体" w:hAnsi="宋体" w:eastAsia="宋体" w:cs="宋体"/>
          <w:color w:val="auto"/>
          <w:sz w:val="21"/>
          <w:szCs w:val="21"/>
          <w:highlight w:val="none"/>
          <w:u w:val="single"/>
        </w:rPr>
        <w:t>承担施工中的一切风险，本合同总价在合同实施期间不因市场变化因素而变化；由于承包人因施工方法的修正、变更而引起的费用增加，由承包人自理，发包人不另追加费用。</w:t>
      </w:r>
    </w:p>
    <w:p w14:paraId="42D6A383">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风险费用的计算方法：</w:t>
      </w:r>
      <w:r>
        <w:rPr>
          <w:rFonts w:hint="eastAsia" w:ascii="宋体" w:hAnsi="宋体" w:eastAsia="宋体" w:cs="宋体"/>
          <w:color w:val="auto"/>
          <w:sz w:val="21"/>
          <w:szCs w:val="21"/>
          <w:highlight w:val="none"/>
          <w:u w:val="single"/>
        </w:rPr>
        <w:t xml:space="preserve">     /                        </w:t>
      </w:r>
      <w:r>
        <w:rPr>
          <w:rFonts w:hint="eastAsia" w:ascii="宋体" w:hAnsi="宋体" w:eastAsia="宋体" w:cs="宋体"/>
          <w:color w:val="auto"/>
          <w:sz w:val="21"/>
          <w:szCs w:val="21"/>
          <w:highlight w:val="none"/>
        </w:rPr>
        <w:t>。</w:t>
      </w:r>
    </w:p>
    <w:p w14:paraId="086BED85">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风险范围以外合同价格的调整方法：</w:t>
      </w:r>
      <w:r>
        <w:rPr>
          <w:rFonts w:hint="eastAsia" w:ascii="宋体" w:hAnsi="宋体" w:eastAsia="宋体" w:cs="宋体"/>
          <w:color w:val="auto"/>
          <w:sz w:val="21"/>
          <w:szCs w:val="21"/>
          <w:highlight w:val="none"/>
          <w:u w:val="single"/>
        </w:rPr>
        <w:t xml:space="preserve">     /            </w:t>
      </w:r>
      <w:r>
        <w:rPr>
          <w:rFonts w:hint="eastAsia" w:ascii="宋体" w:hAnsi="宋体" w:eastAsia="宋体" w:cs="宋体"/>
          <w:color w:val="auto"/>
          <w:sz w:val="21"/>
          <w:szCs w:val="21"/>
          <w:highlight w:val="none"/>
        </w:rPr>
        <w:t>。</w:t>
      </w:r>
    </w:p>
    <w:p w14:paraId="0D34E52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3、其他价格方式：</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155326AF">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bookmarkStart w:id="681" w:name="_Toc312678042"/>
      <w:bookmarkStart w:id="682" w:name="_Toc297123554"/>
      <w:bookmarkStart w:id="683" w:name="_Toc297216213"/>
      <w:bookmarkStart w:id="684" w:name="_Toc300935004"/>
      <w:bookmarkStart w:id="685" w:name="_Toc303539161"/>
      <w:bookmarkStart w:id="686" w:name="_Toc304295581"/>
      <w:bookmarkStart w:id="687" w:name="_Toc296891247"/>
      <w:bookmarkStart w:id="688" w:name="_Toc296347206"/>
      <w:bookmarkStart w:id="689" w:name="_Toc296503207"/>
      <w:bookmarkStart w:id="690" w:name="_Toc296891035"/>
      <w:bookmarkStart w:id="691" w:name="_Toc297048393"/>
      <w:bookmarkStart w:id="692" w:name="_Toc292559917"/>
      <w:bookmarkStart w:id="693" w:name="_Toc297120507"/>
      <w:bookmarkStart w:id="694" w:name="_Toc296944546"/>
      <w:bookmarkStart w:id="695" w:name="_Toc292559412"/>
      <w:bookmarkStart w:id="696" w:name="_Toc296346708"/>
      <w:r>
        <w:rPr>
          <w:rFonts w:hint="eastAsia" w:ascii="宋体" w:hAnsi="宋体" w:eastAsia="宋体" w:cs="宋体"/>
          <w:color w:val="auto"/>
          <w:sz w:val="21"/>
          <w:szCs w:val="21"/>
          <w:highlight w:val="none"/>
        </w:rPr>
        <w:t>12.2 预付款</w:t>
      </w:r>
    </w:p>
    <w:bookmarkEnd w:id="681"/>
    <w:bookmarkEnd w:id="682"/>
    <w:bookmarkEnd w:id="683"/>
    <w:bookmarkEnd w:id="684"/>
    <w:bookmarkEnd w:id="685"/>
    <w:bookmarkEnd w:id="686"/>
    <w:p w14:paraId="68D5035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12.2.1 预付款的支付</w:t>
      </w:r>
    </w:p>
    <w:p w14:paraId="7D1D7A9F">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预付款支付比例或金额：</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 xml:space="preserve">  30%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7518E155">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预付款支付期限：</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 xml:space="preserve">    </w:t>
      </w:r>
      <w:r>
        <w:rPr>
          <w:rFonts w:hint="eastAsia" w:ascii="宋体" w:hAnsi="宋体" w:cs="宋体"/>
          <w:color w:val="auto"/>
          <w:sz w:val="21"/>
          <w:szCs w:val="21"/>
          <w:highlight w:val="none"/>
          <w:u w:val="single"/>
          <w:lang w:val="en-US" w:eastAsia="zh-CN"/>
        </w:rPr>
        <w:t>/</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7BA648C8">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预付款扣回的方式：</w:t>
      </w:r>
      <w:r>
        <w:rPr>
          <w:rFonts w:hint="eastAsia" w:ascii="宋体" w:hAnsi="宋体" w:cs="宋体"/>
          <w:color w:val="auto"/>
          <w:sz w:val="21"/>
          <w:szCs w:val="21"/>
          <w:highlight w:val="none"/>
          <w:u w:val="single"/>
          <w:lang w:val="en-US" w:eastAsia="zh-CN"/>
        </w:rPr>
        <w:t xml:space="preserve">  /   </w:t>
      </w:r>
      <w:r>
        <w:rPr>
          <w:rFonts w:hint="eastAsia" w:ascii="宋体" w:hAnsi="宋体" w:eastAsia="宋体" w:cs="宋体"/>
          <w:color w:val="auto"/>
          <w:sz w:val="21"/>
          <w:szCs w:val="21"/>
          <w:highlight w:val="none"/>
        </w:rPr>
        <w:t>。</w:t>
      </w:r>
    </w:p>
    <w:p w14:paraId="6AFD573A">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12.2.2 预付款担保</w:t>
      </w:r>
    </w:p>
    <w:p w14:paraId="48A340AD">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承包人提交预付款担保的期限：</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p w14:paraId="4849E3EB">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预付款担保的形式为：</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bookmarkEnd w:id="687"/>
    <w:bookmarkEnd w:id="688"/>
    <w:bookmarkEnd w:id="689"/>
    <w:bookmarkEnd w:id="690"/>
    <w:bookmarkEnd w:id="691"/>
    <w:bookmarkEnd w:id="692"/>
    <w:bookmarkEnd w:id="693"/>
    <w:bookmarkEnd w:id="694"/>
    <w:bookmarkEnd w:id="695"/>
    <w:bookmarkEnd w:id="696"/>
    <w:p w14:paraId="7CBE86E7">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12.3 计量</w:t>
      </w:r>
    </w:p>
    <w:p w14:paraId="762C2AC4">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12.3.1 计量原则</w:t>
      </w:r>
    </w:p>
    <w:p w14:paraId="7219B55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工程量计算规则：</w:t>
      </w:r>
      <w:r>
        <w:rPr>
          <w:rFonts w:hint="eastAsia" w:ascii="宋体" w:hAnsi="宋体" w:eastAsia="宋体" w:cs="宋体"/>
          <w:color w:val="auto"/>
          <w:sz w:val="21"/>
          <w:szCs w:val="21"/>
          <w:highlight w:val="none"/>
          <w:u w:val="single"/>
        </w:rPr>
        <w:t>实际完成的工程量按国家标准及广西壮族自治区各相关文件规定的计算规则和有关合同约束力的图纸进行计量。</w:t>
      </w:r>
    </w:p>
    <w:p w14:paraId="20F9A138">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12.3.2 计量周期</w:t>
      </w:r>
    </w:p>
    <w:p w14:paraId="725F34A0">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关于计量周期的约定：</w:t>
      </w:r>
      <w:r>
        <w:rPr>
          <w:rFonts w:hint="eastAsia" w:ascii="宋体" w:hAnsi="宋体" w:eastAsia="宋体" w:cs="宋体"/>
          <w:color w:val="auto"/>
          <w:sz w:val="21"/>
          <w:szCs w:val="21"/>
          <w:highlight w:val="none"/>
          <w:u w:val="single"/>
        </w:rPr>
        <w:t xml:space="preserve">     按通用条款执行   </w:t>
      </w:r>
      <w:r>
        <w:rPr>
          <w:rFonts w:hint="eastAsia" w:ascii="宋体" w:hAnsi="宋体" w:eastAsia="宋体" w:cs="宋体"/>
          <w:color w:val="auto"/>
          <w:sz w:val="21"/>
          <w:szCs w:val="21"/>
          <w:highlight w:val="none"/>
        </w:rPr>
        <w:t>。</w:t>
      </w:r>
    </w:p>
    <w:p w14:paraId="2EA1E46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12.3.3 单价合同的计量</w:t>
      </w:r>
    </w:p>
    <w:p w14:paraId="48B3F556">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关于单价合同计量的约定：</w:t>
      </w:r>
      <w:r>
        <w:rPr>
          <w:rFonts w:hint="eastAsia" w:ascii="宋体" w:hAnsi="宋体" w:eastAsia="宋体" w:cs="宋体"/>
          <w:color w:val="auto"/>
          <w:sz w:val="21"/>
          <w:szCs w:val="21"/>
          <w:highlight w:val="none"/>
          <w:u w:val="single"/>
        </w:rPr>
        <w:t xml:space="preserve">   按通用条款执行</w:t>
      </w:r>
      <w:r>
        <w:rPr>
          <w:rFonts w:hint="eastAsia" w:ascii="宋体" w:hAnsi="宋体" w:eastAsia="宋体" w:cs="宋体"/>
          <w:color w:val="auto"/>
          <w:sz w:val="21"/>
          <w:szCs w:val="21"/>
          <w:highlight w:val="none"/>
        </w:rPr>
        <w:t>。</w:t>
      </w:r>
    </w:p>
    <w:p w14:paraId="7CE12889">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12.3.4 总价合同的计量</w:t>
      </w:r>
    </w:p>
    <w:p w14:paraId="581D1056">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关于总价合同计量的约定：</w:t>
      </w:r>
      <w:r>
        <w:rPr>
          <w:rFonts w:hint="eastAsia" w:ascii="宋体" w:hAnsi="宋体" w:eastAsia="宋体" w:cs="宋体"/>
          <w:color w:val="auto"/>
          <w:sz w:val="21"/>
          <w:szCs w:val="21"/>
          <w:highlight w:val="none"/>
          <w:u w:val="single"/>
        </w:rPr>
        <w:t xml:space="preserve">  按通用条款执行    </w:t>
      </w:r>
      <w:r>
        <w:rPr>
          <w:rFonts w:hint="eastAsia" w:ascii="宋体" w:hAnsi="宋体" w:eastAsia="宋体" w:cs="宋体"/>
          <w:color w:val="auto"/>
          <w:sz w:val="21"/>
          <w:szCs w:val="21"/>
          <w:highlight w:val="none"/>
        </w:rPr>
        <w:t>。</w:t>
      </w:r>
    </w:p>
    <w:p w14:paraId="37692041">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12.3.5总价合同采用支付分解表计量支付的，是否适用第</w:t>
      </w:r>
      <w:r>
        <w:rPr>
          <w:rFonts w:hint="eastAsia" w:ascii="宋体" w:hAnsi="宋体" w:eastAsia="宋体" w:cs="宋体"/>
          <w:color w:val="auto"/>
          <w:kern w:val="0"/>
          <w:sz w:val="21"/>
          <w:szCs w:val="21"/>
          <w:highlight w:val="none"/>
        </w:rPr>
        <w:t xml:space="preserve">12.3.4 </w:t>
      </w:r>
      <w:r>
        <w:rPr>
          <w:rFonts w:hint="eastAsia" w:ascii="宋体" w:hAnsi="宋体" w:eastAsia="宋体" w:cs="宋体"/>
          <w:color w:val="auto"/>
          <w:sz w:val="21"/>
          <w:szCs w:val="21"/>
          <w:highlight w:val="none"/>
        </w:rPr>
        <w:t>项</w:t>
      </w:r>
      <w:r>
        <w:rPr>
          <w:rFonts w:hint="eastAsia" w:ascii="宋体" w:hAnsi="宋体" w:eastAsia="宋体" w:cs="宋体"/>
          <w:color w:val="auto"/>
          <w:kern w:val="0"/>
          <w:sz w:val="21"/>
          <w:szCs w:val="21"/>
          <w:highlight w:val="none"/>
        </w:rPr>
        <w:t>〔总价合同的计量〕</w:t>
      </w:r>
      <w:r>
        <w:rPr>
          <w:rFonts w:hint="eastAsia" w:ascii="宋体" w:hAnsi="宋体" w:eastAsia="宋体" w:cs="宋体"/>
          <w:color w:val="auto"/>
          <w:sz w:val="21"/>
          <w:szCs w:val="21"/>
          <w:highlight w:val="none"/>
        </w:rPr>
        <w:t>约定进行计量：</w:t>
      </w:r>
      <w:r>
        <w:rPr>
          <w:rFonts w:hint="eastAsia" w:ascii="宋体" w:hAnsi="宋体" w:eastAsia="宋体" w:cs="宋体"/>
          <w:color w:val="auto"/>
          <w:sz w:val="21"/>
          <w:szCs w:val="21"/>
          <w:highlight w:val="none"/>
          <w:u w:val="single"/>
        </w:rPr>
        <w:t xml:space="preserve">         /            </w:t>
      </w:r>
      <w:r>
        <w:rPr>
          <w:rFonts w:hint="eastAsia" w:ascii="宋体" w:hAnsi="宋体" w:eastAsia="宋体" w:cs="宋体"/>
          <w:color w:val="auto"/>
          <w:sz w:val="21"/>
          <w:szCs w:val="21"/>
          <w:highlight w:val="none"/>
        </w:rPr>
        <w:t>。</w:t>
      </w:r>
    </w:p>
    <w:p w14:paraId="02A56DCA">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12.3.6 其他价格形式合同的计量</w:t>
      </w:r>
    </w:p>
    <w:p w14:paraId="4988E1C4">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其他价格形式的计量方式和程序：</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p w14:paraId="798A5183">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12.4 工程进度款支付</w:t>
      </w:r>
    </w:p>
    <w:p w14:paraId="139C18BD">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bookmarkStart w:id="697" w:name="_Toc297048397"/>
      <w:bookmarkStart w:id="698" w:name="_Toc300935006"/>
      <w:bookmarkStart w:id="699" w:name="_Toc296891251"/>
      <w:bookmarkStart w:id="700" w:name="_Toc297120511"/>
      <w:bookmarkStart w:id="701" w:name="_Toc297123556"/>
      <w:bookmarkStart w:id="702" w:name="_Toc303539163"/>
      <w:bookmarkStart w:id="703" w:name="_Toc296347210"/>
      <w:bookmarkStart w:id="704" w:name="_Toc296891039"/>
      <w:bookmarkStart w:id="705" w:name="_Toc292559416"/>
      <w:bookmarkStart w:id="706" w:name="_Toc297216215"/>
      <w:bookmarkStart w:id="707" w:name="_Toc296503211"/>
      <w:bookmarkStart w:id="708" w:name="_Toc292559921"/>
      <w:bookmarkStart w:id="709" w:name="_Toc296944550"/>
      <w:bookmarkStart w:id="710" w:name="_Toc296346712"/>
      <w:r>
        <w:rPr>
          <w:rFonts w:hint="eastAsia" w:ascii="宋体" w:hAnsi="宋体" w:eastAsia="宋体" w:cs="宋体"/>
          <w:color w:val="auto"/>
          <w:sz w:val="21"/>
          <w:szCs w:val="21"/>
          <w:highlight w:val="none"/>
        </w:rPr>
        <w:t>12.4.1 付款周期</w:t>
      </w:r>
    </w:p>
    <w:p w14:paraId="29A7A1B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bCs/>
          <w:color w:val="auto"/>
          <w:sz w:val="21"/>
          <w:szCs w:val="21"/>
          <w:highlight w:val="none"/>
          <w:lang w:eastAsia="zh-CN"/>
        </w:rPr>
      </w:pPr>
      <w:r>
        <w:rPr>
          <w:rFonts w:hint="eastAsia" w:ascii="宋体" w:hAnsi="宋体" w:eastAsia="宋体" w:cs="宋体"/>
          <w:color w:val="auto"/>
          <w:sz w:val="21"/>
          <w:szCs w:val="21"/>
          <w:highlight w:val="none"/>
        </w:rPr>
        <w:t>关于付款周期的约定：</w:t>
      </w:r>
      <w:r>
        <w:rPr>
          <w:rFonts w:hint="eastAsia" w:ascii="宋体" w:hAnsi="宋体" w:cs="宋体"/>
          <w:color w:val="auto"/>
          <w:kern w:val="0"/>
          <w:sz w:val="22"/>
          <w:szCs w:val="21"/>
          <w:highlight w:val="none"/>
          <w:u w:val="single"/>
          <w:lang w:val="zh-CN" w:bidi="zh-CN"/>
        </w:rPr>
        <w:t>工程开工后可预付</w:t>
      </w:r>
      <w:r>
        <w:rPr>
          <w:rFonts w:hint="eastAsia" w:ascii="宋体" w:hAnsi="宋体" w:cs="宋体"/>
          <w:color w:val="auto"/>
          <w:kern w:val="0"/>
          <w:sz w:val="22"/>
          <w:szCs w:val="21"/>
          <w:highlight w:val="none"/>
          <w:u w:val="single"/>
          <w:lang w:bidi="zh-CN"/>
        </w:rPr>
        <w:t>3</w:t>
      </w:r>
      <w:r>
        <w:rPr>
          <w:rFonts w:hint="eastAsia" w:ascii="宋体" w:hAnsi="宋体" w:cs="宋体"/>
          <w:color w:val="auto"/>
          <w:kern w:val="0"/>
          <w:sz w:val="22"/>
          <w:szCs w:val="21"/>
          <w:highlight w:val="none"/>
          <w:u w:val="single"/>
          <w:lang w:val="zh-CN" w:bidi="zh-CN"/>
        </w:rPr>
        <w:t>0%以内工程款</w:t>
      </w:r>
      <w:r>
        <w:rPr>
          <w:rFonts w:hint="eastAsia" w:ascii="宋体" w:hAnsi="宋体" w:eastAsia="宋体" w:cs="宋体"/>
          <w:color w:val="auto"/>
          <w:sz w:val="21"/>
          <w:szCs w:val="21"/>
          <w:highlight w:val="none"/>
          <w:u w:val="single"/>
        </w:rPr>
        <w:t>；工程竣工验收合格后，</w:t>
      </w:r>
      <w:r>
        <w:rPr>
          <w:rFonts w:hint="eastAsia" w:ascii="宋体" w:hAnsi="宋体" w:cs="宋体"/>
          <w:color w:val="auto"/>
          <w:kern w:val="0"/>
          <w:sz w:val="22"/>
          <w:szCs w:val="21"/>
          <w:highlight w:val="none"/>
          <w:u w:val="single"/>
          <w:lang w:val="zh-CN" w:bidi="zh-CN"/>
        </w:rPr>
        <w:t>（工程量与原设计无减</w:t>
      </w:r>
      <w:r>
        <w:rPr>
          <w:rFonts w:hint="eastAsia" w:ascii="宋体" w:hAnsi="宋体" w:cs="宋体"/>
          <w:color w:val="auto"/>
          <w:kern w:val="0"/>
          <w:sz w:val="22"/>
          <w:szCs w:val="21"/>
          <w:highlight w:val="none"/>
          <w:u w:val="single"/>
          <w:lang w:bidi="zh-CN"/>
        </w:rPr>
        <w:t>少</w:t>
      </w:r>
      <w:r>
        <w:rPr>
          <w:rFonts w:hint="eastAsia" w:ascii="宋体" w:hAnsi="宋体" w:cs="宋体"/>
          <w:color w:val="auto"/>
          <w:kern w:val="0"/>
          <w:sz w:val="22"/>
          <w:szCs w:val="21"/>
          <w:highlight w:val="none"/>
          <w:u w:val="single"/>
          <w:lang w:val="zh-CN" w:bidi="zh-CN"/>
        </w:rPr>
        <w:t>情况下）</w:t>
      </w:r>
      <w:r>
        <w:rPr>
          <w:rFonts w:hint="eastAsia" w:ascii="宋体" w:hAnsi="宋体" w:eastAsia="宋体" w:cs="宋体"/>
          <w:color w:val="auto"/>
          <w:sz w:val="21"/>
          <w:szCs w:val="21"/>
          <w:highlight w:val="none"/>
          <w:u w:val="single"/>
        </w:rPr>
        <w:t>以合同价作为支付依据</w:t>
      </w:r>
      <w:r>
        <w:rPr>
          <w:rFonts w:hint="eastAsia" w:ascii="宋体" w:hAnsi="宋体" w:eastAsia="宋体" w:cs="宋体"/>
          <w:color w:val="auto"/>
          <w:sz w:val="21"/>
          <w:szCs w:val="21"/>
          <w:highlight w:val="none"/>
          <w:u w:val="single"/>
          <w:lang w:eastAsia="zh-CN"/>
        </w:rPr>
        <w:t>，</w:t>
      </w:r>
      <w:r>
        <w:rPr>
          <w:rFonts w:hint="eastAsia" w:ascii="宋体" w:hAnsi="宋体" w:eastAsia="宋体" w:cs="宋体"/>
          <w:color w:val="auto"/>
          <w:sz w:val="21"/>
          <w:szCs w:val="21"/>
          <w:highlight w:val="none"/>
          <w:u w:val="single"/>
        </w:rPr>
        <w:t>工程款支付（含预付款）至合同价的80%；</w:t>
      </w:r>
      <w:r>
        <w:rPr>
          <w:rFonts w:hint="eastAsia" w:ascii="宋体" w:hAnsi="宋体" w:cs="宋体"/>
          <w:color w:val="auto"/>
          <w:sz w:val="21"/>
          <w:szCs w:val="21"/>
          <w:highlight w:val="none"/>
          <w:u w:val="single"/>
          <w:lang w:val="en-US" w:eastAsia="zh-CN"/>
        </w:rPr>
        <w:t>待</w:t>
      </w:r>
      <w:r>
        <w:rPr>
          <w:rFonts w:hint="eastAsia" w:ascii="宋体" w:hAnsi="宋体" w:eastAsia="宋体" w:cs="宋体"/>
          <w:color w:val="auto"/>
          <w:sz w:val="21"/>
          <w:szCs w:val="21"/>
          <w:highlight w:val="none"/>
          <w:u w:val="single"/>
        </w:rPr>
        <w:t>工程结算审核</w:t>
      </w:r>
      <w:r>
        <w:rPr>
          <w:rFonts w:hint="eastAsia" w:ascii="宋体" w:hAnsi="宋体" w:cs="宋体"/>
          <w:color w:val="auto"/>
          <w:sz w:val="21"/>
          <w:szCs w:val="21"/>
          <w:highlight w:val="none"/>
          <w:u w:val="single"/>
          <w:lang w:val="en-US" w:eastAsia="zh-CN"/>
        </w:rPr>
        <w:t>造价</w:t>
      </w:r>
      <w:r>
        <w:rPr>
          <w:rFonts w:hint="eastAsia" w:ascii="宋体" w:hAnsi="宋体" w:eastAsia="宋体" w:cs="宋体"/>
          <w:color w:val="auto"/>
          <w:sz w:val="21"/>
          <w:szCs w:val="21"/>
          <w:highlight w:val="none"/>
          <w:u w:val="single"/>
        </w:rPr>
        <w:t>后，工程款支付至结算总价的</w:t>
      </w:r>
      <w:r>
        <w:rPr>
          <w:rFonts w:hint="eastAsia" w:ascii="宋体" w:hAnsi="宋体" w:cs="宋体"/>
          <w:color w:val="auto"/>
          <w:sz w:val="21"/>
          <w:szCs w:val="21"/>
          <w:highlight w:val="none"/>
          <w:u w:val="single"/>
          <w:lang w:val="en-US" w:eastAsia="zh-CN"/>
        </w:rPr>
        <w:t>100</w:t>
      </w:r>
      <w:r>
        <w:rPr>
          <w:rFonts w:hint="eastAsia" w:ascii="宋体" w:hAnsi="宋体" w:eastAsia="宋体" w:cs="宋体"/>
          <w:color w:val="auto"/>
          <w:sz w:val="21"/>
          <w:szCs w:val="21"/>
          <w:highlight w:val="none"/>
          <w:u w:val="single"/>
        </w:rPr>
        <w:t>%</w:t>
      </w:r>
      <w:r>
        <w:rPr>
          <w:rFonts w:hint="eastAsia" w:ascii="宋体" w:hAnsi="宋体" w:cs="宋体"/>
          <w:color w:val="auto"/>
          <w:sz w:val="21"/>
          <w:szCs w:val="21"/>
          <w:highlight w:val="none"/>
          <w:u w:val="single"/>
          <w:lang w:eastAsia="zh-CN"/>
        </w:rPr>
        <w:t>（</w:t>
      </w:r>
      <w:r>
        <w:rPr>
          <w:rFonts w:hint="eastAsia" w:ascii="宋体" w:hAnsi="宋体" w:cs="宋体"/>
          <w:color w:val="auto"/>
          <w:kern w:val="0"/>
          <w:sz w:val="22"/>
          <w:szCs w:val="21"/>
          <w:highlight w:val="none"/>
          <w:u w:val="single"/>
          <w:lang w:val="en-US" w:bidi="zh-CN"/>
        </w:rPr>
        <w:t>3%质保金由</w:t>
      </w:r>
      <w:r>
        <w:rPr>
          <w:rFonts w:hint="eastAsia" w:ascii="宋体" w:hAnsi="宋体" w:eastAsia="宋体" w:cs="宋体"/>
          <w:color w:val="auto"/>
          <w:sz w:val="21"/>
          <w:szCs w:val="21"/>
          <w:highlight w:val="none"/>
          <w:u w:val="single"/>
        </w:rPr>
        <w:t>承包人</w:t>
      </w:r>
      <w:r>
        <w:rPr>
          <w:rFonts w:hint="eastAsia" w:ascii="宋体" w:hAnsi="宋体" w:cs="宋体"/>
          <w:color w:val="auto"/>
          <w:kern w:val="0"/>
          <w:sz w:val="22"/>
          <w:szCs w:val="21"/>
          <w:highlight w:val="none"/>
          <w:u w:val="single"/>
          <w:lang w:val="en-US" w:bidi="zh-CN"/>
        </w:rPr>
        <w:t>缴纳到质保金专户，待质保期到期后申请退还）</w:t>
      </w:r>
      <w:r>
        <w:rPr>
          <w:rFonts w:hint="eastAsia" w:ascii="宋体" w:hAnsi="宋体" w:eastAsia="宋体" w:cs="宋体"/>
          <w:color w:val="auto"/>
          <w:sz w:val="21"/>
          <w:szCs w:val="21"/>
          <w:highlight w:val="none"/>
          <w:lang w:eastAsia="zh-CN"/>
        </w:rPr>
        <w:t>。</w:t>
      </w:r>
    </w:p>
    <w:p w14:paraId="2EBDFFA0">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12.4.2 进度付款申请单的编制</w:t>
      </w:r>
    </w:p>
    <w:p w14:paraId="362A54D0">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关于进度付款申请单编制的约定：</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sz w:val="21"/>
          <w:szCs w:val="21"/>
          <w:highlight w:val="none"/>
        </w:rPr>
        <w:t>。</w:t>
      </w:r>
    </w:p>
    <w:p w14:paraId="7005DB64">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r>
        <w:rPr>
          <w:rFonts w:hint="eastAsia" w:ascii="宋体" w:hAnsi="宋体" w:eastAsia="宋体" w:cs="宋体"/>
          <w:color w:val="auto"/>
          <w:sz w:val="21"/>
          <w:szCs w:val="21"/>
          <w:highlight w:val="none"/>
        </w:rPr>
        <w:t>2.4.3 进度付款申请单的提交</w:t>
      </w:r>
    </w:p>
    <w:p w14:paraId="56C0DEA9">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（1）单价合同进度付款申请单提交的约定：</w:t>
      </w:r>
      <w:r>
        <w:rPr>
          <w:rFonts w:hint="eastAsia" w:ascii="宋体" w:hAnsi="宋体" w:eastAsia="宋体" w:cs="宋体"/>
          <w:color w:val="auto"/>
          <w:sz w:val="21"/>
          <w:szCs w:val="21"/>
          <w:highlight w:val="none"/>
          <w:u w:val="single"/>
        </w:rPr>
        <w:t xml:space="preserve">  按通用条款执行</w:t>
      </w:r>
      <w:r>
        <w:rPr>
          <w:rFonts w:hint="eastAsia" w:ascii="宋体" w:hAnsi="宋体" w:eastAsia="宋体" w:cs="宋体"/>
          <w:color w:val="auto"/>
          <w:sz w:val="21"/>
          <w:szCs w:val="21"/>
          <w:highlight w:val="none"/>
        </w:rPr>
        <w:t>。</w:t>
      </w:r>
    </w:p>
    <w:p w14:paraId="4E142DF0">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（2）总价合同进度付款申请单提交的约定：</w:t>
      </w:r>
      <w:r>
        <w:rPr>
          <w:rFonts w:hint="eastAsia" w:ascii="宋体" w:hAnsi="宋体" w:eastAsia="宋体" w:cs="宋体"/>
          <w:color w:val="auto"/>
          <w:sz w:val="21"/>
          <w:szCs w:val="21"/>
          <w:highlight w:val="none"/>
          <w:u w:val="single"/>
        </w:rPr>
        <w:t xml:space="preserve">  按通用条款执行</w:t>
      </w:r>
      <w:r>
        <w:rPr>
          <w:rFonts w:hint="eastAsia" w:ascii="宋体" w:hAnsi="宋体" w:eastAsia="宋体" w:cs="宋体"/>
          <w:color w:val="auto"/>
          <w:sz w:val="21"/>
          <w:szCs w:val="21"/>
          <w:highlight w:val="none"/>
        </w:rPr>
        <w:t>。</w:t>
      </w:r>
    </w:p>
    <w:p w14:paraId="4E951E91">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（3）其他价格形式合同进度付款申请单提交的约定：</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p w14:paraId="7E707D3C">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12.4.4 进度款审核和支付</w:t>
      </w:r>
    </w:p>
    <w:p w14:paraId="0929A375">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（1）监理人审查并报送发包人的期限：</w:t>
      </w:r>
      <w:r>
        <w:rPr>
          <w:rFonts w:hint="eastAsia" w:ascii="宋体" w:hAnsi="宋体" w:eastAsia="宋体" w:cs="宋体"/>
          <w:color w:val="auto"/>
          <w:sz w:val="21"/>
          <w:szCs w:val="21"/>
          <w:highlight w:val="none"/>
          <w:u w:val="single"/>
        </w:rPr>
        <w:t xml:space="preserve"> 收到相关资料后7天内 </w:t>
      </w:r>
      <w:r>
        <w:rPr>
          <w:rFonts w:hint="eastAsia" w:ascii="宋体" w:hAnsi="宋体" w:eastAsia="宋体" w:cs="宋体"/>
          <w:color w:val="auto"/>
          <w:sz w:val="21"/>
          <w:szCs w:val="21"/>
          <w:highlight w:val="none"/>
        </w:rPr>
        <w:t>。</w:t>
      </w:r>
    </w:p>
    <w:p w14:paraId="6A795029">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发包人完成审批并签发进度款支付证书的期限：</w:t>
      </w:r>
      <w:r>
        <w:rPr>
          <w:rFonts w:hint="eastAsia" w:ascii="宋体" w:hAnsi="宋体" w:eastAsia="宋体" w:cs="宋体"/>
          <w:color w:val="auto"/>
          <w:sz w:val="21"/>
          <w:szCs w:val="21"/>
          <w:highlight w:val="none"/>
          <w:u w:val="single"/>
        </w:rPr>
        <w:t>收到相关资料后7天内</w:t>
      </w:r>
      <w:r>
        <w:rPr>
          <w:rFonts w:hint="eastAsia" w:ascii="宋体" w:hAnsi="宋体" w:eastAsia="宋体" w:cs="宋体"/>
          <w:color w:val="auto"/>
          <w:sz w:val="21"/>
          <w:szCs w:val="21"/>
          <w:highlight w:val="none"/>
        </w:rPr>
        <w:t>。</w:t>
      </w:r>
    </w:p>
    <w:p w14:paraId="52A61146">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（2）发包人支付进度款的期限：</w:t>
      </w:r>
      <w:r>
        <w:rPr>
          <w:rFonts w:hint="eastAsia" w:ascii="宋体" w:hAnsi="宋体" w:eastAsia="宋体" w:cs="宋体"/>
          <w:color w:val="auto"/>
          <w:sz w:val="21"/>
          <w:szCs w:val="21"/>
          <w:highlight w:val="none"/>
          <w:u w:val="single"/>
        </w:rPr>
        <w:t xml:space="preserve">  办理相关付款手续后的7天内</w:t>
      </w:r>
      <w:r>
        <w:rPr>
          <w:rFonts w:hint="eastAsia" w:ascii="宋体" w:hAnsi="宋体" w:eastAsia="宋体" w:cs="宋体"/>
          <w:color w:val="auto"/>
          <w:sz w:val="21"/>
          <w:szCs w:val="21"/>
          <w:highlight w:val="none"/>
        </w:rPr>
        <w:t>。</w:t>
      </w:r>
    </w:p>
    <w:p w14:paraId="0565F8ED">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发包人逾期支付进度款的违约金的计算方式：</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p w14:paraId="2D7B2313">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12.4.6 支付分解表的编制</w:t>
      </w:r>
    </w:p>
    <w:p w14:paraId="35C0D366">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2、总价合同支付分解表的编制与审批：</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p w14:paraId="7797B1AF">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3、单价合同的总价项目支付分解表的编制与审批：</w:t>
      </w:r>
      <w:r>
        <w:rPr>
          <w:rFonts w:hint="eastAsia" w:ascii="宋体" w:hAnsi="宋体" w:eastAsia="宋体" w:cs="宋体"/>
          <w:color w:val="auto"/>
          <w:sz w:val="21"/>
          <w:szCs w:val="21"/>
          <w:highlight w:val="none"/>
          <w:u w:val="single"/>
        </w:rPr>
        <w:t xml:space="preserve">按通用条款执行  </w:t>
      </w:r>
      <w:r>
        <w:rPr>
          <w:rFonts w:hint="eastAsia" w:ascii="宋体" w:hAnsi="宋体" w:eastAsia="宋体" w:cs="宋体"/>
          <w:color w:val="auto"/>
          <w:sz w:val="21"/>
          <w:szCs w:val="21"/>
          <w:highlight w:val="none"/>
        </w:rPr>
        <w:t>。</w:t>
      </w:r>
    </w:p>
    <w:bookmarkEnd w:id="539"/>
    <w:p w14:paraId="26AA89EF">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711" w:name="_Toc351203645"/>
      <w:bookmarkStart w:id="712" w:name="_Toc297120519"/>
      <w:bookmarkStart w:id="713" w:name="_Toc297216223"/>
      <w:bookmarkStart w:id="714" w:name="_Toc312678053"/>
      <w:bookmarkStart w:id="715" w:name="_Toc303539172"/>
      <w:bookmarkStart w:id="716" w:name="_Toc296891259"/>
      <w:bookmarkStart w:id="717" w:name="_Toc300935015"/>
      <w:bookmarkStart w:id="718" w:name="_Toc297123564"/>
      <w:bookmarkStart w:id="719" w:name="_Toc296891047"/>
      <w:bookmarkStart w:id="720" w:name="_Toc296944558"/>
      <w:bookmarkStart w:id="721" w:name="_Toc296346720"/>
      <w:bookmarkStart w:id="722" w:name="_Toc292559424"/>
      <w:bookmarkStart w:id="723" w:name="_Toc296503219"/>
      <w:bookmarkStart w:id="724" w:name="_Toc297048405"/>
      <w:bookmarkStart w:id="725" w:name="_Toc296347218"/>
      <w:bookmarkStart w:id="726" w:name="_Toc304295593"/>
      <w:bookmarkStart w:id="727" w:name="_Toc292559929"/>
      <w:r>
        <w:rPr>
          <w:rFonts w:hint="eastAsia" w:ascii="宋体" w:hAnsi="宋体" w:eastAsia="宋体" w:cs="宋体"/>
          <w:b w:val="0"/>
          <w:color w:val="auto"/>
          <w:sz w:val="21"/>
          <w:szCs w:val="21"/>
          <w:highlight w:val="none"/>
        </w:rPr>
        <w:t>13. 验收和工程试车</w:t>
      </w:r>
      <w:bookmarkEnd w:id="711"/>
    </w:p>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14:paraId="79A21265">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13.1 分部分项工程验收</w:t>
      </w:r>
    </w:p>
    <w:p w14:paraId="50A5317A">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13.1.2监理人不能按时进行验收时，应提前</w:t>
      </w:r>
      <w:r>
        <w:rPr>
          <w:rFonts w:hint="eastAsia" w:ascii="宋体" w:hAnsi="宋体" w:eastAsia="宋体" w:cs="宋体"/>
          <w:color w:val="auto"/>
          <w:sz w:val="21"/>
          <w:szCs w:val="21"/>
          <w:highlight w:val="none"/>
          <w:u w:val="single"/>
        </w:rPr>
        <w:t xml:space="preserve">   24 </w:t>
      </w:r>
      <w:r>
        <w:rPr>
          <w:rFonts w:hint="eastAsia" w:ascii="宋体" w:hAnsi="宋体" w:eastAsia="宋体" w:cs="宋体"/>
          <w:color w:val="auto"/>
          <w:sz w:val="21"/>
          <w:szCs w:val="21"/>
          <w:highlight w:val="none"/>
        </w:rPr>
        <w:t>小时提交书面延期要求。</w:t>
      </w:r>
    </w:p>
    <w:p w14:paraId="164A910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b/>
          <w:color w:val="auto"/>
          <w:sz w:val="21"/>
          <w:szCs w:val="21"/>
          <w:highlight w:val="none"/>
        </w:rPr>
      </w:pPr>
      <w:r>
        <w:rPr>
          <w:rFonts w:hint="eastAsia" w:ascii="宋体" w:hAnsi="宋体" w:eastAsia="宋体" w:cs="宋体"/>
          <w:color w:val="auto"/>
          <w:sz w:val="21"/>
          <w:szCs w:val="21"/>
          <w:highlight w:val="none"/>
        </w:rPr>
        <w:t>关于延期最长不得超过：</w:t>
      </w:r>
      <w:r>
        <w:rPr>
          <w:rFonts w:hint="eastAsia" w:ascii="宋体" w:hAnsi="宋体" w:eastAsia="宋体" w:cs="宋体"/>
          <w:color w:val="auto"/>
          <w:sz w:val="21"/>
          <w:szCs w:val="21"/>
          <w:highlight w:val="none"/>
          <w:u w:val="single"/>
        </w:rPr>
        <w:t xml:space="preserve"> 48</w:t>
      </w:r>
      <w:r>
        <w:rPr>
          <w:rFonts w:hint="eastAsia" w:ascii="宋体" w:hAnsi="宋体" w:eastAsia="宋体" w:cs="宋体"/>
          <w:color w:val="auto"/>
          <w:sz w:val="21"/>
          <w:szCs w:val="21"/>
          <w:highlight w:val="none"/>
        </w:rPr>
        <w:t>小时。</w:t>
      </w:r>
    </w:p>
    <w:p w14:paraId="559F5535">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bookmarkStart w:id="728" w:name="_Toc296891051"/>
      <w:bookmarkStart w:id="729" w:name="_Toc292559933"/>
      <w:bookmarkStart w:id="730" w:name="_Toc312678056"/>
      <w:bookmarkStart w:id="731" w:name="_Toc303539173"/>
      <w:bookmarkStart w:id="732" w:name="_Toc296891263"/>
      <w:bookmarkStart w:id="733" w:name="_Toc297048409"/>
      <w:bookmarkStart w:id="734" w:name="_Toc296944562"/>
      <w:bookmarkStart w:id="735" w:name="_Toc296347222"/>
      <w:bookmarkStart w:id="736" w:name="_Toc297123565"/>
      <w:bookmarkStart w:id="737" w:name="_Toc304295596"/>
      <w:bookmarkStart w:id="738" w:name="_Toc297120523"/>
      <w:bookmarkStart w:id="739" w:name="_Toc297216224"/>
      <w:bookmarkStart w:id="740" w:name="_Toc296503223"/>
      <w:bookmarkStart w:id="741" w:name="_Toc296346724"/>
      <w:bookmarkStart w:id="742" w:name="_Toc300935016"/>
      <w:bookmarkStart w:id="743" w:name="_Toc292559428"/>
      <w:bookmarkStart w:id="744" w:name="_Toc267251473"/>
      <w:bookmarkStart w:id="745" w:name="_Toc267251472"/>
      <w:bookmarkStart w:id="746" w:name="_Toc267251471"/>
      <w:bookmarkStart w:id="747" w:name="_Toc267251475"/>
      <w:bookmarkStart w:id="748" w:name="_Toc267251474"/>
      <w:bookmarkStart w:id="749" w:name="_Toc267251476"/>
      <w:bookmarkStart w:id="750" w:name="_Toc267251470"/>
      <w:r>
        <w:rPr>
          <w:rFonts w:hint="eastAsia" w:ascii="宋体" w:hAnsi="宋体" w:eastAsia="宋体" w:cs="宋体"/>
          <w:color w:val="auto"/>
          <w:sz w:val="21"/>
          <w:szCs w:val="21"/>
          <w:highlight w:val="none"/>
        </w:rPr>
        <w:t>13.2 竣工验收</w:t>
      </w:r>
    </w:p>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14:paraId="7E4DCE0C">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bookmarkStart w:id="751" w:name="_Toc280868704"/>
      <w:bookmarkStart w:id="752" w:name="_Toc280868705"/>
      <w:bookmarkStart w:id="753" w:name="_Toc280868706"/>
      <w:bookmarkStart w:id="754" w:name="_Toc280868707"/>
      <w:bookmarkStart w:id="755" w:name="_Toc280868708"/>
      <w:bookmarkStart w:id="756" w:name="_Toc280868709"/>
      <w:r>
        <w:rPr>
          <w:rFonts w:hint="eastAsia" w:ascii="宋体" w:hAnsi="宋体" w:eastAsia="宋体" w:cs="宋体"/>
          <w:color w:val="auto"/>
          <w:sz w:val="21"/>
          <w:szCs w:val="21"/>
          <w:highlight w:val="none"/>
        </w:rPr>
        <w:t>13.2.2竣工验收程序</w:t>
      </w:r>
    </w:p>
    <w:bookmarkEnd w:id="751"/>
    <w:p w14:paraId="7EA2B75D">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关于竣工验收程序的约定：</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sz w:val="21"/>
          <w:szCs w:val="21"/>
          <w:highlight w:val="none"/>
        </w:rPr>
        <w:t>。</w:t>
      </w:r>
    </w:p>
    <w:p w14:paraId="73F3E2EF">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rPr>
        <w:t>发包人不按照本项约定组织竣工验收、颁发工程接收证书的违约金的计算方法：</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bookmarkEnd w:id="752"/>
    <w:p w14:paraId="7384DE70">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13.2.5移交、接收全部与部分工程</w:t>
      </w:r>
    </w:p>
    <w:bookmarkEnd w:id="753"/>
    <w:p w14:paraId="62B9AC62">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承包人向发包人移交工程的期限：</w:t>
      </w:r>
      <w:r>
        <w:rPr>
          <w:rFonts w:hint="eastAsia" w:ascii="宋体" w:hAnsi="宋体" w:eastAsia="宋体" w:cs="宋体"/>
          <w:color w:val="auto"/>
          <w:sz w:val="21"/>
          <w:szCs w:val="21"/>
          <w:highlight w:val="none"/>
          <w:u w:val="single"/>
        </w:rPr>
        <w:t xml:space="preserve">按通用条款执行      </w:t>
      </w:r>
      <w:r>
        <w:rPr>
          <w:rFonts w:hint="eastAsia" w:ascii="宋体" w:hAnsi="宋体" w:eastAsia="宋体" w:cs="宋体"/>
          <w:color w:val="auto"/>
          <w:sz w:val="21"/>
          <w:szCs w:val="21"/>
          <w:highlight w:val="none"/>
        </w:rPr>
        <w:t>。</w:t>
      </w:r>
    </w:p>
    <w:p w14:paraId="47C4ADD4">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rPr>
        <w:t>发包人未按本合同约定接收全部或部分工程的，违约金的计算方法为：</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bookmarkEnd w:id="754"/>
    <w:p w14:paraId="543475BB">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承包人未按时移交工程的，违约金的计算方法为：</w:t>
      </w:r>
      <w:r>
        <w:rPr>
          <w:rFonts w:hint="eastAsia" w:ascii="宋体" w:hAnsi="宋体" w:eastAsia="宋体" w:cs="宋体"/>
          <w:color w:val="auto"/>
          <w:sz w:val="21"/>
          <w:szCs w:val="21"/>
          <w:highlight w:val="none"/>
          <w:u w:val="single"/>
        </w:rPr>
        <w:t>每拖延一天工期支付给发包人最终结算总价的0.5‰/天的违约金，违约金最高限额为整个工程总价款的2%</w:t>
      </w:r>
      <w:r>
        <w:rPr>
          <w:rFonts w:hint="eastAsia" w:ascii="宋体" w:hAnsi="宋体" w:eastAsia="宋体" w:cs="宋体"/>
          <w:color w:val="auto"/>
          <w:sz w:val="21"/>
          <w:szCs w:val="21"/>
          <w:highlight w:val="none"/>
        </w:rPr>
        <w:t>。</w:t>
      </w:r>
    </w:p>
    <w:p w14:paraId="6478CF4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13.3 工程试车</w:t>
      </w:r>
    </w:p>
    <w:bookmarkEnd w:id="755"/>
    <w:p w14:paraId="71894B8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13.3.1 试车程序</w:t>
      </w:r>
    </w:p>
    <w:p w14:paraId="36E53851">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工程试车内容：</w:t>
      </w:r>
      <w:r>
        <w:rPr>
          <w:rFonts w:hint="eastAsia" w:ascii="宋体" w:hAnsi="宋体" w:eastAsia="宋体" w:cs="宋体"/>
          <w:color w:val="auto"/>
          <w:sz w:val="21"/>
          <w:szCs w:val="21"/>
          <w:highlight w:val="none"/>
          <w:u w:val="single"/>
        </w:rPr>
        <w:t xml:space="preserve">按通用条款执行    </w:t>
      </w:r>
      <w:r>
        <w:rPr>
          <w:rFonts w:hint="eastAsia" w:ascii="宋体" w:hAnsi="宋体" w:eastAsia="宋体" w:cs="宋体"/>
          <w:color w:val="auto"/>
          <w:sz w:val="21"/>
          <w:szCs w:val="21"/>
          <w:highlight w:val="none"/>
        </w:rPr>
        <w:t>。</w:t>
      </w:r>
    </w:p>
    <w:p w14:paraId="1D73231F">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（1）单机无负荷试车费用由</w:t>
      </w:r>
      <w:r>
        <w:rPr>
          <w:rFonts w:hint="eastAsia" w:ascii="宋体" w:hAnsi="宋体" w:eastAsia="宋体" w:cs="宋体"/>
          <w:color w:val="auto"/>
          <w:sz w:val="21"/>
          <w:szCs w:val="21"/>
          <w:highlight w:val="none"/>
          <w:u w:val="single"/>
        </w:rPr>
        <w:t xml:space="preserve">     承包人        </w:t>
      </w:r>
      <w:r>
        <w:rPr>
          <w:rFonts w:hint="eastAsia" w:ascii="宋体" w:hAnsi="宋体" w:eastAsia="宋体" w:cs="宋体"/>
          <w:color w:val="auto"/>
          <w:kern w:val="0"/>
          <w:sz w:val="21"/>
          <w:szCs w:val="21"/>
          <w:highlight w:val="none"/>
        </w:rPr>
        <w:t>承担；</w:t>
      </w:r>
    </w:p>
    <w:p w14:paraId="33C0AC40">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（2）无负荷联动试车费用由</w:t>
      </w:r>
      <w:r>
        <w:rPr>
          <w:rFonts w:hint="eastAsia" w:ascii="宋体" w:hAnsi="宋体" w:eastAsia="宋体" w:cs="宋体"/>
          <w:color w:val="auto"/>
          <w:sz w:val="21"/>
          <w:szCs w:val="21"/>
          <w:highlight w:val="none"/>
          <w:u w:val="single"/>
        </w:rPr>
        <w:t xml:space="preserve">     承包人         </w:t>
      </w:r>
      <w:r>
        <w:rPr>
          <w:rFonts w:hint="eastAsia" w:ascii="宋体" w:hAnsi="宋体" w:eastAsia="宋体" w:cs="宋体"/>
          <w:color w:val="auto"/>
          <w:kern w:val="0"/>
          <w:sz w:val="21"/>
          <w:szCs w:val="21"/>
          <w:highlight w:val="none"/>
        </w:rPr>
        <w:t>承担。</w:t>
      </w:r>
    </w:p>
    <w:p w14:paraId="6A43BF48">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13.3.3 投料试车</w:t>
      </w:r>
    </w:p>
    <w:p w14:paraId="2330591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rPr>
        <w:t>关于投料试车相关事项的约定：</w:t>
      </w:r>
      <w:r>
        <w:rPr>
          <w:rFonts w:hint="eastAsia" w:ascii="宋体" w:hAnsi="宋体" w:eastAsia="宋体" w:cs="宋体"/>
          <w:color w:val="auto"/>
          <w:sz w:val="21"/>
          <w:szCs w:val="21"/>
          <w:highlight w:val="none"/>
          <w:u w:val="single"/>
        </w:rPr>
        <w:t xml:space="preserve">      无          </w:t>
      </w:r>
      <w:r>
        <w:rPr>
          <w:rFonts w:hint="eastAsia" w:ascii="宋体" w:hAnsi="宋体" w:eastAsia="宋体" w:cs="宋体"/>
          <w:color w:val="auto"/>
          <w:sz w:val="21"/>
          <w:szCs w:val="21"/>
          <w:highlight w:val="none"/>
        </w:rPr>
        <w:t>。</w:t>
      </w:r>
    </w:p>
    <w:p w14:paraId="08EB679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13.6 竣工退场</w:t>
      </w:r>
    </w:p>
    <w:p w14:paraId="3FD76F2F">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13.6.1 竣工退场</w:t>
      </w:r>
    </w:p>
    <w:p w14:paraId="161F12F3">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承包人完成竣工退场的期限：</w:t>
      </w:r>
      <w:r>
        <w:rPr>
          <w:rFonts w:hint="eastAsia" w:ascii="宋体" w:hAnsi="宋体" w:eastAsia="宋体" w:cs="宋体"/>
          <w:color w:val="auto"/>
          <w:sz w:val="21"/>
          <w:szCs w:val="21"/>
          <w:highlight w:val="none"/>
          <w:u w:val="single"/>
        </w:rPr>
        <w:t xml:space="preserve">      竣工验收合格后     </w:t>
      </w:r>
      <w:r>
        <w:rPr>
          <w:rFonts w:hint="eastAsia" w:ascii="宋体" w:hAnsi="宋体" w:eastAsia="宋体" w:cs="宋体"/>
          <w:color w:val="auto"/>
          <w:kern w:val="0"/>
          <w:sz w:val="21"/>
          <w:szCs w:val="21"/>
          <w:highlight w:val="none"/>
        </w:rPr>
        <w:t>。</w:t>
      </w:r>
    </w:p>
    <w:p w14:paraId="641BE585">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757" w:name="_Toc351203646"/>
      <w:r>
        <w:rPr>
          <w:rFonts w:hint="eastAsia" w:ascii="宋体" w:hAnsi="宋体" w:eastAsia="宋体" w:cs="宋体"/>
          <w:b w:val="0"/>
          <w:color w:val="auto"/>
          <w:sz w:val="21"/>
          <w:szCs w:val="21"/>
          <w:highlight w:val="none"/>
        </w:rPr>
        <w:t>14. 竣工结算</w:t>
      </w:r>
      <w:bookmarkEnd w:id="757"/>
    </w:p>
    <w:p w14:paraId="464E5E0B">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14.1 竣工付款申请</w:t>
      </w:r>
    </w:p>
    <w:p w14:paraId="1AE4783F">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承包人提交竣工付款申请单的期限：</w:t>
      </w:r>
      <w:r>
        <w:rPr>
          <w:rFonts w:hint="eastAsia" w:ascii="宋体" w:hAnsi="宋体" w:eastAsia="宋体" w:cs="宋体"/>
          <w:color w:val="auto"/>
          <w:sz w:val="21"/>
          <w:szCs w:val="21"/>
          <w:highlight w:val="none"/>
          <w:u w:val="single"/>
        </w:rPr>
        <w:t>经审定工程竣工结算并由承包人提出申请后28天内。</w:t>
      </w:r>
    </w:p>
    <w:p w14:paraId="762C6D7F">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竣工付款申请单应包括的内容：</w:t>
      </w:r>
      <w:r>
        <w:rPr>
          <w:rFonts w:hint="eastAsia" w:ascii="宋体" w:hAnsi="宋体" w:eastAsia="宋体" w:cs="宋体"/>
          <w:color w:val="auto"/>
          <w:sz w:val="21"/>
          <w:szCs w:val="21"/>
          <w:highlight w:val="none"/>
          <w:u w:val="single"/>
        </w:rPr>
        <w:t>竣工结算由承包人提交相关结算资料（主要包括合同、工程量计算书、结算书、变更设计通知单、签证单、竣工图）齐全后经监理初审、发包人审核后，必须经发包人审定后方可办理工程结算或竣工决算，最终结算</w:t>
      </w:r>
      <w:r>
        <w:rPr>
          <w:rFonts w:hint="eastAsia" w:ascii="宋体" w:hAnsi="宋体" w:cs="宋体"/>
          <w:color w:val="auto"/>
          <w:sz w:val="21"/>
          <w:szCs w:val="21"/>
          <w:highlight w:val="none"/>
          <w:u w:val="single"/>
          <w:lang w:eastAsia="zh-CN"/>
        </w:rPr>
        <w:t>以</w:t>
      </w:r>
      <w:r>
        <w:rPr>
          <w:rFonts w:hint="eastAsia" w:ascii="宋体" w:hAnsi="宋体" w:eastAsia="宋体" w:cs="宋体"/>
          <w:color w:val="auto"/>
          <w:sz w:val="21"/>
          <w:szCs w:val="21"/>
          <w:highlight w:val="none"/>
          <w:u w:val="single"/>
        </w:rPr>
        <w:t>财政部门的审计结果为准。工程款按最终审定的结算造价支付至9</w:t>
      </w:r>
      <w:r>
        <w:rPr>
          <w:rFonts w:hint="eastAsia" w:ascii="宋体" w:hAnsi="宋体" w:eastAsia="宋体" w:cs="宋体"/>
          <w:color w:val="auto"/>
          <w:sz w:val="21"/>
          <w:szCs w:val="21"/>
          <w:highlight w:val="none"/>
          <w:u w:val="single"/>
          <w:lang w:val="en-US" w:eastAsia="zh-CN"/>
        </w:rPr>
        <w:t>7</w:t>
      </w:r>
      <w:r>
        <w:rPr>
          <w:rFonts w:hint="eastAsia" w:ascii="宋体" w:hAnsi="宋体" w:eastAsia="宋体" w:cs="宋体"/>
          <w:color w:val="auto"/>
          <w:sz w:val="21"/>
          <w:szCs w:val="21"/>
          <w:highlight w:val="none"/>
          <w:u w:val="single"/>
        </w:rPr>
        <w:t>％，</w:t>
      </w:r>
      <w:r>
        <w:rPr>
          <w:rFonts w:hint="eastAsia" w:ascii="宋体" w:hAnsi="宋体" w:eastAsia="宋体" w:cs="宋体"/>
          <w:color w:val="auto"/>
          <w:spacing w:val="-2"/>
          <w:sz w:val="21"/>
          <w:szCs w:val="21"/>
          <w:highlight w:val="none"/>
          <w:u w:val="single"/>
        </w:rPr>
        <w:t>预留</w:t>
      </w:r>
      <w:r>
        <w:rPr>
          <w:rFonts w:hint="eastAsia" w:ascii="宋体" w:hAnsi="宋体" w:eastAsia="宋体" w:cs="宋体"/>
          <w:color w:val="auto"/>
          <w:spacing w:val="-2"/>
          <w:sz w:val="21"/>
          <w:szCs w:val="21"/>
          <w:highlight w:val="none"/>
          <w:u w:val="single"/>
          <w:lang w:val="en-US" w:eastAsia="zh-CN"/>
        </w:rPr>
        <w:t>3</w:t>
      </w:r>
      <w:r>
        <w:rPr>
          <w:rFonts w:hint="eastAsia" w:ascii="宋体" w:hAnsi="宋体" w:eastAsia="宋体" w:cs="宋体"/>
          <w:color w:val="auto"/>
          <w:spacing w:val="-2"/>
          <w:sz w:val="21"/>
          <w:szCs w:val="21"/>
          <w:highlight w:val="none"/>
          <w:u w:val="single"/>
        </w:rPr>
        <w:t>％的质保金。</w:t>
      </w:r>
      <w:r>
        <w:rPr>
          <w:rFonts w:hint="eastAsia" w:ascii="宋体" w:hAnsi="宋体" w:eastAsia="宋体" w:cs="宋体"/>
          <w:color w:val="auto"/>
          <w:sz w:val="21"/>
          <w:szCs w:val="21"/>
          <w:highlight w:val="none"/>
          <w:u w:val="single"/>
        </w:rPr>
        <w:t xml:space="preserve">  </w:t>
      </w:r>
    </w:p>
    <w:p w14:paraId="1ED7A92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未按本项约定的期限和内容提交竣工付款申请单或者未按审核部门要求提交修正后的竣工付款申请单，经发包人催促后14天内仍未提交或者没有明确答复的，发包人有权根据已有资料进行审查，审查确定的竣工结算合同总价和竣工付款金额视同是经承包人认可的工程竣工结算合同总价和竣工付款金额。</w:t>
      </w:r>
    </w:p>
    <w:p w14:paraId="1CD5FDCC">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14.2 竣工结算审核</w:t>
      </w:r>
    </w:p>
    <w:p w14:paraId="5B475A9F">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发包人审批竣工付款申请单的期限：</w:t>
      </w:r>
      <w:r>
        <w:rPr>
          <w:rFonts w:hint="eastAsia" w:ascii="宋体" w:hAnsi="宋体" w:eastAsia="宋体" w:cs="宋体"/>
          <w:color w:val="auto"/>
          <w:sz w:val="21"/>
          <w:szCs w:val="21"/>
          <w:highlight w:val="none"/>
          <w:u w:val="single"/>
        </w:rPr>
        <w:t xml:space="preserve">按通用条款执行      </w:t>
      </w:r>
      <w:r>
        <w:rPr>
          <w:rFonts w:hint="eastAsia" w:ascii="宋体" w:hAnsi="宋体" w:eastAsia="宋体" w:cs="宋体"/>
          <w:color w:val="auto"/>
          <w:sz w:val="21"/>
          <w:szCs w:val="21"/>
          <w:highlight w:val="none"/>
        </w:rPr>
        <w:t>。</w:t>
      </w:r>
    </w:p>
    <w:p w14:paraId="1FB5FE8D">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发包人完成竣工付款的期限：</w:t>
      </w:r>
      <w:r>
        <w:rPr>
          <w:rFonts w:hint="eastAsia" w:ascii="宋体" w:hAnsi="宋体" w:eastAsia="宋体" w:cs="宋体"/>
          <w:color w:val="auto"/>
          <w:sz w:val="21"/>
          <w:szCs w:val="21"/>
          <w:highlight w:val="none"/>
          <w:u w:val="single"/>
        </w:rPr>
        <w:t xml:space="preserve">在签发竣工付款证书后的30天内 </w:t>
      </w:r>
      <w:r>
        <w:rPr>
          <w:rFonts w:hint="eastAsia" w:ascii="宋体" w:hAnsi="宋体" w:eastAsia="宋体" w:cs="宋体"/>
          <w:color w:val="auto"/>
          <w:sz w:val="21"/>
          <w:szCs w:val="21"/>
          <w:highlight w:val="none"/>
        </w:rPr>
        <w:t>。</w:t>
      </w:r>
    </w:p>
    <w:p w14:paraId="4FE33C28">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关于竣工付款证书异议部分复核的方式和程序：</w:t>
      </w:r>
      <w:r>
        <w:rPr>
          <w:rFonts w:hint="eastAsia" w:ascii="宋体" w:hAnsi="宋体" w:eastAsia="宋体" w:cs="宋体"/>
          <w:color w:val="auto"/>
          <w:sz w:val="21"/>
          <w:szCs w:val="21"/>
          <w:highlight w:val="none"/>
          <w:u w:val="single"/>
        </w:rPr>
        <w:t xml:space="preserve">按通用条款执行      </w:t>
      </w:r>
      <w:r>
        <w:rPr>
          <w:rFonts w:hint="eastAsia" w:ascii="宋体" w:hAnsi="宋体" w:eastAsia="宋体" w:cs="宋体"/>
          <w:color w:val="auto"/>
          <w:sz w:val="21"/>
          <w:szCs w:val="21"/>
          <w:highlight w:val="none"/>
        </w:rPr>
        <w:t>。</w:t>
      </w:r>
    </w:p>
    <w:p w14:paraId="76B85F91">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14.4 最终结清</w:t>
      </w:r>
    </w:p>
    <w:p w14:paraId="0C07AC48">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14.4.1 最终结清申请单</w:t>
      </w:r>
    </w:p>
    <w:p w14:paraId="299BC7CE">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承包人提交最终结清申请单的份数：</w:t>
      </w:r>
      <w:r>
        <w:rPr>
          <w:rFonts w:hint="eastAsia" w:ascii="宋体" w:hAnsi="宋体" w:eastAsia="宋体" w:cs="宋体"/>
          <w:color w:val="auto"/>
          <w:sz w:val="21"/>
          <w:szCs w:val="21"/>
          <w:highlight w:val="none"/>
          <w:u w:val="single"/>
        </w:rPr>
        <w:t xml:space="preserve">一式四份      </w:t>
      </w:r>
      <w:r>
        <w:rPr>
          <w:rFonts w:hint="eastAsia" w:ascii="宋体" w:hAnsi="宋体" w:eastAsia="宋体" w:cs="宋体"/>
          <w:color w:val="auto"/>
          <w:sz w:val="21"/>
          <w:szCs w:val="21"/>
          <w:highlight w:val="none"/>
        </w:rPr>
        <w:t>。</w:t>
      </w:r>
    </w:p>
    <w:p w14:paraId="42131F05">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承包人提交最终结算申请单的期限：</w:t>
      </w:r>
      <w:r>
        <w:rPr>
          <w:rFonts w:hint="eastAsia" w:ascii="宋体" w:hAnsi="宋体" w:eastAsia="宋体" w:cs="宋体"/>
          <w:color w:val="auto"/>
          <w:sz w:val="21"/>
          <w:szCs w:val="21"/>
          <w:highlight w:val="none"/>
          <w:u w:val="single"/>
        </w:rPr>
        <w:t xml:space="preserve">缺陷责任期终止证书签发后14天内向监理人提交4份竣工付款申请单及相关证明材料。 </w:t>
      </w:r>
    </w:p>
    <w:p w14:paraId="228825C3">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14.4.2 最终结清证书和支付</w:t>
      </w:r>
    </w:p>
    <w:p w14:paraId="0C6F4E3B">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（1）发包人完成最终结清申请单的审批并颁发最终结清证书的期限：</w:t>
      </w:r>
      <w:r>
        <w:rPr>
          <w:rFonts w:hint="eastAsia" w:ascii="宋体" w:hAnsi="宋体" w:eastAsia="宋体" w:cs="宋体"/>
          <w:color w:val="auto"/>
          <w:sz w:val="21"/>
          <w:szCs w:val="21"/>
          <w:highlight w:val="none"/>
          <w:u w:val="single"/>
        </w:rPr>
        <w:t>按通用条款执行</w:t>
      </w:r>
      <w:r>
        <w:rPr>
          <w:rFonts w:hint="eastAsia" w:ascii="宋体" w:hAnsi="宋体" w:eastAsia="宋体" w:cs="宋体"/>
          <w:color w:val="auto"/>
          <w:sz w:val="21"/>
          <w:szCs w:val="21"/>
          <w:highlight w:val="none"/>
        </w:rPr>
        <w:t>。</w:t>
      </w:r>
    </w:p>
    <w:p w14:paraId="4F7937A8">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（2）发包人完成支付的期限：</w:t>
      </w:r>
      <w:r>
        <w:rPr>
          <w:rFonts w:hint="eastAsia" w:ascii="宋体" w:hAnsi="宋体" w:eastAsia="宋体" w:cs="宋体"/>
          <w:color w:val="auto"/>
          <w:sz w:val="21"/>
          <w:szCs w:val="21"/>
          <w:highlight w:val="none"/>
          <w:u w:val="single"/>
        </w:rPr>
        <w:t xml:space="preserve">在颁发最终结清证书后的30天内      </w:t>
      </w:r>
      <w:r>
        <w:rPr>
          <w:rFonts w:hint="eastAsia" w:ascii="宋体" w:hAnsi="宋体" w:eastAsia="宋体" w:cs="宋体"/>
          <w:color w:val="auto"/>
          <w:sz w:val="21"/>
          <w:szCs w:val="21"/>
          <w:highlight w:val="none"/>
        </w:rPr>
        <w:t>。</w:t>
      </w:r>
    </w:p>
    <w:bookmarkEnd w:id="744"/>
    <w:bookmarkEnd w:id="745"/>
    <w:bookmarkEnd w:id="746"/>
    <w:bookmarkEnd w:id="747"/>
    <w:bookmarkEnd w:id="748"/>
    <w:bookmarkEnd w:id="749"/>
    <w:bookmarkEnd w:id="750"/>
    <w:bookmarkEnd w:id="756"/>
    <w:p w14:paraId="0F4A6D99">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758" w:name="_Toc351203647"/>
      <w:bookmarkStart w:id="759" w:name="_Toc267251483"/>
      <w:bookmarkStart w:id="760" w:name="_Toc267251484"/>
      <w:bookmarkStart w:id="761" w:name="_Toc267251482"/>
      <w:bookmarkStart w:id="762" w:name="_Toc267251485"/>
      <w:bookmarkStart w:id="763" w:name="_Toc267251488"/>
      <w:bookmarkStart w:id="764" w:name="_Toc267251489"/>
      <w:bookmarkStart w:id="765" w:name="_Toc267251486"/>
      <w:bookmarkStart w:id="766" w:name="_Toc267251490"/>
      <w:r>
        <w:rPr>
          <w:rFonts w:hint="eastAsia" w:ascii="宋体" w:hAnsi="宋体" w:eastAsia="宋体" w:cs="宋体"/>
          <w:b w:val="0"/>
          <w:color w:val="auto"/>
          <w:sz w:val="21"/>
          <w:szCs w:val="21"/>
          <w:highlight w:val="none"/>
        </w:rPr>
        <w:t>15. 缺陷责任期与保修</w:t>
      </w:r>
      <w:bookmarkEnd w:id="758"/>
    </w:p>
    <w:p w14:paraId="2CBE83DA">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15.2缺陷责任期</w:t>
      </w:r>
      <w:bookmarkEnd w:id="759"/>
    </w:p>
    <w:p w14:paraId="311E6D94">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缺陷责任期的具体期限：</w:t>
      </w:r>
      <w:r>
        <w:rPr>
          <w:rFonts w:hint="eastAsia" w:ascii="宋体" w:hAnsi="宋体" w:eastAsia="宋体" w:cs="宋体"/>
          <w:color w:val="auto"/>
          <w:sz w:val="21"/>
          <w:szCs w:val="21"/>
          <w:highlight w:val="none"/>
          <w:u w:val="single"/>
          <w:lang w:val="en-US" w:eastAsia="zh-CN"/>
        </w:rPr>
        <w:t>24</w:t>
      </w:r>
      <w:r>
        <w:rPr>
          <w:rFonts w:hint="eastAsia" w:ascii="宋体" w:hAnsi="宋体" w:eastAsia="宋体" w:cs="宋体"/>
          <w:color w:val="auto"/>
          <w:sz w:val="21"/>
          <w:szCs w:val="21"/>
          <w:highlight w:val="none"/>
          <w:u w:val="single"/>
        </w:rPr>
        <w:t>个月</w:t>
      </w:r>
      <w:r>
        <w:rPr>
          <w:rFonts w:hint="eastAsia" w:ascii="宋体" w:hAnsi="宋体" w:eastAsia="宋体" w:cs="宋体"/>
          <w:color w:val="auto"/>
          <w:sz w:val="21"/>
          <w:szCs w:val="21"/>
          <w:highlight w:val="none"/>
        </w:rPr>
        <w:t>。</w:t>
      </w:r>
    </w:p>
    <w:p w14:paraId="2C5D7CC5">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15.3 质量保证金</w:t>
      </w:r>
    </w:p>
    <w:p w14:paraId="09F27C2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关于是否扣留质量保证金的约定：按</w:t>
      </w:r>
      <w:r>
        <w:rPr>
          <w:rFonts w:hint="eastAsia" w:ascii="宋体" w:hAnsi="宋体" w:eastAsia="宋体" w:cs="宋体"/>
          <w:color w:val="auto"/>
          <w:sz w:val="21"/>
          <w:szCs w:val="21"/>
          <w:highlight w:val="none"/>
          <w:u w:val="single"/>
        </w:rPr>
        <w:t>工程审核造价金额的</w:t>
      </w:r>
      <w:r>
        <w:rPr>
          <w:rFonts w:hint="eastAsia" w:ascii="宋体" w:hAnsi="宋体" w:eastAsia="宋体" w:cs="宋体"/>
          <w:color w:val="auto"/>
          <w:sz w:val="21"/>
          <w:szCs w:val="21"/>
          <w:highlight w:val="none"/>
          <w:u w:val="single"/>
          <w:lang w:val="en-US" w:eastAsia="zh-CN"/>
        </w:rPr>
        <w:t>3</w:t>
      </w:r>
      <w:r>
        <w:rPr>
          <w:rFonts w:hint="eastAsia" w:ascii="宋体" w:hAnsi="宋体" w:eastAsia="宋体" w:cs="宋体"/>
          <w:color w:val="auto"/>
          <w:sz w:val="21"/>
          <w:szCs w:val="21"/>
          <w:highlight w:val="none"/>
          <w:u w:val="single"/>
        </w:rPr>
        <w:t>%作为质保金</w:t>
      </w:r>
      <w:r>
        <w:rPr>
          <w:rFonts w:hint="eastAsia" w:ascii="宋体" w:hAnsi="宋体" w:eastAsia="宋体" w:cs="宋体"/>
          <w:color w:val="auto"/>
          <w:sz w:val="21"/>
          <w:szCs w:val="21"/>
          <w:highlight w:val="none"/>
        </w:rPr>
        <w:t>。</w:t>
      </w:r>
    </w:p>
    <w:p w14:paraId="3BB2FF29">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15.3.1 承包人提供质量保证金的方式</w:t>
      </w:r>
    </w:p>
    <w:p w14:paraId="2CDAF7B1">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质量保证金采用以下第</w:t>
      </w:r>
      <w:r>
        <w:rPr>
          <w:rFonts w:hint="eastAsia" w:ascii="宋体" w:hAnsi="宋体" w:eastAsia="宋体" w:cs="宋体"/>
          <w:color w:val="auto"/>
          <w:sz w:val="21"/>
          <w:szCs w:val="21"/>
          <w:highlight w:val="none"/>
          <w:u w:val="single"/>
        </w:rPr>
        <w:t xml:space="preserve">  2  </w:t>
      </w:r>
      <w:r>
        <w:rPr>
          <w:rFonts w:hint="eastAsia" w:ascii="宋体" w:hAnsi="宋体" w:eastAsia="宋体" w:cs="宋体"/>
          <w:color w:val="auto"/>
          <w:sz w:val="21"/>
          <w:szCs w:val="21"/>
          <w:highlight w:val="none"/>
        </w:rPr>
        <w:t>种方式：</w:t>
      </w:r>
    </w:p>
    <w:p w14:paraId="094581C8">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（1）质量保证金保函，保证金额为：</w:t>
      </w:r>
      <w:r>
        <w:rPr>
          <w:rFonts w:hint="eastAsia" w:ascii="宋体" w:hAnsi="宋体" w:eastAsia="宋体" w:cs="宋体"/>
          <w:color w:val="auto"/>
          <w:kern w:val="0"/>
          <w:sz w:val="21"/>
          <w:szCs w:val="21"/>
          <w:highlight w:val="none"/>
          <w:u w:val="single"/>
        </w:rPr>
        <w:t xml:space="preserve">        /          </w:t>
      </w:r>
      <w:r>
        <w:rPr>
          <w:rFonts w:hint="eastAsia" w:ascii="宋体" w:hAnsi="宋体" w:eastAsia="宋体" w:cs="宋体"/>
          <w:color w:val="auto"/>
          <w:kern w:val="0"/>
          <w:sz w:val="21"/>
          <w:szCs w:val="21"/>
          <w:highlight w:val="none"/>
        </w:rPr>
        <w:t xml:space="preserve">； </w:t>
      </w:r>
    </w:p>
    <w:p w14:paraId="23CE4B81">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kern w:val="0"/>
          <w:sz w:val="21"/>
          <w:szCs w:val="21"/>
          <w:highlight w:val="none"/>
          <w:u w:val="single"/>
          <w:lang w:val="en-US" w:eastAsia="zh-CN"/>
        </w:rPr>
        <w:t>3</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kern w:val="0"/>
          <w:sz w:val="21"/>
          <w:szCs w:val="21"/>
          <w:highlight w:val="none"/>
        </w:rPr>
        <w:t>%的工程款；</w:t>
      </w:r>
    </w:p>
    <w:p w14:paraId="2E3272FD">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（3）其他方式:</w:t>
      </w:r>
      <w:r>
        <w:rPr>
          <w:rFonts w:hint="eastAsia" w:ascii="宋体" w:hAnsi="宋体" w:eastAsia="宋体" w:cs="宋体"/>
          <w:color w:val="auto"/>
          <w:kern w:val="0"/>
          <w:sz w:val="21"/>
          <w:szCs w:val="21"/>
          <w:highlight w:val="none"/>
          <w:u w:val="single"/>
        </w:rPr>
        <w:t xml:space="preserve">          无                             </w:t>
      </w:r>
      <w:r>
        <w:rPr>
          <w:rFonts w:hint="eastAsia" w:ascii="宋体" w:hAnsi="宋体" w:eastAsia="宋体" w:cs="宋体"/>
          <w:color w:val="auto"/>
          <w:kern w:val="0"/>
          <w:sz w:val="21"/>
          <w:szCs w:val="21"/>
          <w:highlight w:val="none"/>
        </w:rPr>
        <w:t>。</w:t>
      </w:r>
    </w:p>
    <w:p w14:paraId="21D61DCC">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15.3.2 质量保证金的扣留 </w:t>
      </w:r>
    </w:p>
    <w:p w14:paraId="57C63F9C">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质量保证金的扣留采取以下第</w:t>
      </w:r>
      <w:r>
        <w:rPr>
          <w:rFonts w:hint="eastAsia" w:ascii="宋体" w:hAnsi="宋体" w:eastAsia="宋体" w:cs="宋体"/>
          <w:color w:val="auto"/>
          <w:sz w:val="21"/>
          <w:szCs w:val="21"/>
          <w:highlight w:val="none"/>
          <w:u w:val="single"/>
        </w:rPr>
        <w:t xml:space="preserve">  2  </w:t>
      </w:r>
      <w:r>
        <w:rPr>
          <w:rFonts w:hint="eastAsia" w:ascii="宋体" w:hAnsi="宋体" w:eastAsia="宋体" w:cs="宋体"/>
          <w:color w:val="auto"/>
          <w:sz w:val="21"/>
          <w:szCs w:val="21"/>
          <w:highlight w:val="none"/>
        </w:rPr>
        <w:t>种方式：</w:t>
      </w:r>
    </w:p>
    <w:p w14:paraId="270FF090">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（1）在支付工程进度款时逐次扣留，在此情形下，质量保证金的计算基数不包括预付款的支付、扣回以及价格调整的金额；</w:t>
      </w:r>
    </w:p>
    <w:p w14:paraId="2D2DB165">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（2）工程竣工结算时一次性扣留质量保证金；</w:t>
      </w:r>
    </w:p>
    <w:p w14:paraId="5F03D604">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（3）其他扣留方式:</w:t>
      </w:r>
      <w:r>
        <w:rPr>
          <w:rFonts w:hint="eastAsia" w:ascii="宋体" w:hAnsi="宋体" w:eastAsia="宋体" w:cs="宋体"/>
          <w:color w:val="auto"/>
          <w:kern w:val="0"/>
          <w:sz w:val="21"/>
          <w:szCs w:val="21"/>
          <w:highlight w:val="none"/>
          <w:u w:val="single"/>
        </w:rPr>
        <w:t xml:space="preserve">          无                      </w:t>
      </w:r>
      <w:r>
        <w:rPr>
          <w:rFonts w:hint="eastAsia" w:ascii="宋体" w:hAnsi="宋体" w:eastAsia="宋体" w:cs="宋体"/>
          <w:color w:val="auto"/>
          <w:kern w:val="0"/>
          <w:sz w:val="21"/>
          <w:szCs w:val="21"/>
          <w:highlight w:val="none"/>
        </w:rPr>
        <w:t>。</w:t>
      </w:r>
    </w:p>
    <w:p w14:paraId="4B47FD9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sz w:val="21"/>
          <w:szCs w:val="21"/>
          <w:highlight w:val="none"/>
        </w:rPr>
        <w:t>关于质量保证金的补充约定：</w:t>
      </w:r>
      <w:r>
        <w:rPr>
          <w:rFonts w:hint="eastAsia" w:ascii="宋体" w:hAnsi="宋体" w:eastAsia="宋体" w:cs="宋体"/>
          <w:color w:val="auto"/>
          <w:sz w:val="21"/>
          <w:szCs w:val="21"/>
          <w:highlight w:val="none"/>
          <w:u w:val="single"/>
        </w:rPr>
        <w:t>发包人在质保期（</w:t>
      </w:r>
      <w:r>
        <w:rPr>
          <w:rFonts w:hint="eastAsia" w:ascii="宋体" w:hAnsi="宋体" w:eastAsia="宋体" w:cs="宋体"/>
          <w:color w:val="auto"/>
          <w:sz w:val="21"/>
          <w:szCs w:val="21"/>
          <w:highlight w:val="none"/>
          <w:u w:val="single"/>
          <w:lang w:val="en-US" w:eastAsia="zh-CN"/>
        </w:rPr>
        <w:t>两年</w:t>
      </w:r>
      <w:r>
        <w:rPr>
          <w:rFonts w:hint="eastAsia" w:ascii="宋体" w:hAnsi="宋体" w:eastAsia="宋体" w:cs="宋体"/>
          <w:color w:val="auto"/>
          <w:sz w:val="21"/>
          <w:szCs w:val="21"/>
          <w:highlight w:val="none"/>
          <w:u w:val="single"/>
        </w:rPr>
        <w:t>）满后一个月内将质保金的全部返回给承包人。质量保证金的返还，并不能免除承包人按照合同约定应承担的质量保修责任和应履行的质量保修义务。</w:t>
      </w:r>
    </w:p>
    <w:bookmarkEnd w:id="760"/>
    <w:bookmarkEnd w:id="761"/>
    <w:p w14:paraId="27692B48">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15.4保修</w:t>
      </w:r>
    </w:p>
    <w:bookmarkEnd w:id="762"/>
    <w:p w14:paraId="612F8816">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15.4.1 保修责任</w:t>
      </w:r>
    </w:p>
    <w:p w14:paraId="541D0944">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工程保修期为：</w:t>
      </w:r>
      <w:r>
        <w:rPr>
          <w:rFonts w:hint="eastAsia" w:ascii="宋体" w:hAnsi="宋体" w:eastAsia="宋体" w:cs="宋体"/>
          <w:color w:val="auto"/>
          <w:sz w:val="21"/>
          <w:szCs w:val="21"/>
          <w:highlight w:val="none"/>
          <w:u w:val="single"/>
          <w:lang w:val="en-US" w:eastAsia="zh-CN"/>
        </w:rPr>
        <w:t xml:space="preserve">  /  </w:t>
      </w:r>
      <w:r>
        <w:rPr>
          <w:rFonts w:hint="eastAsia" w:ascii="宋体" w:hAnsi="宋体" w:eastAsia="宋体" w:cs="宋体"/>
          <w:color w:val="auto"/>
          <w:sz w:val="21"/>
          <w:szCs w:val="21"/>
          <w:highlight w:val="none"/>
          <w:u w:val="single"/>
        </w:rPr>
        <w:t>。</w:t>
      </w:r>
    </w:p>
    <w:p w14:paraId="59A1407E">
      <w:pPr>
        <w:pStyle w:val="48"/>
        <w:pageBreakBefore w:val="0"/>
        <w:widowControl w:val="0"/>
        <w:kinsoku/>
        <w:wordWrap/>
        <w:overflowPunct/>
        <w:topLinePunct w:val="0"/>
        <w:bidi w:val="0"/>
        <w:snapToGrid/>
        <w:spacing w:before="0" w:after="0"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15.4.2 修复通知</w:t>
      </w:r>
    </w:p>
    <w:p w14:paraId="3231A84D">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rPr>
        <w:t>承包人收到保修通知并到达工程现场的合理时间：</w:t>
      </w:r>
      <w:r>
        <w:rPr>
          <w:rFonts w:hint="eastAsia" w:ascii="宋体" w:hAnsi="宋体" w:eastAsia="宋体" w:cs="宋体"/>
          <w:color w:val="auto"/>
          <w:sz w:val="21"/>
          <w:szCs w:val="21"/>
          <w:highlight w:val="none"/>
          <w:u w:val="single"/>
        </w:rPr>
        <w:t>承包人应当在接到保修通知之日起七天内派人保修</w:t>
      </w:r>
      <w:r>
        <w:rPr>
          <w:rFonts w:hint="eastAsia" w:ascii="宋体" w:hAnsi="宋体" w:eastAsia="宋体" w:cs="宋体"/>
          <w:color w:val="auto"/>
          <w:kern w:val="0"/>
          <w:sz w:val="21"/>
          <w:szCs w:val="21"/>
          <w:highlight w:val="none"/>
          <w:u w:val="single"/>
        </w:rPr>
        <w:t>。</w:t>
      </w:r>
      <w:r>
        <w:rPr>
          <w:rFonts w:hint="eastAsia" w:ascii="宋体" w:hAnsi="宋体" w:eastAsia="宋体" w:cs="宋体"/>
          <w:color w:val="auto"/>
          <w:sz w:val="21"/>
          <w:szCs w:val="21"/>
          <w:highlight w:val="none"/>
          <w:u w:val="single"/>
        </w:rPr>
        <w:t>承包人不在约定期限内派人保修的，发包人可以委托他人修理，所产生的费用由承包人承担。</w:t>
      </w:r>
    </w:p>
    <w:bookmarkEnd w:id="763"/>
    <w:bookmarkEnd w:id="764"/>
    <w:bookmarkEnd w:id="765"/>
    <w:bookmarkEnd w:id="766"/>
    <w:p w14:paraId="5C5AF5BB">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767" w:name="_Toc351203648"/>
      <w:bookmarkStart w:id="768" w:name="_Toc280868717"/>
      <w:bookmarkStart w:id="769" w:name="_Toc280868718"/>
      <w:r>
        <w:rPr>
          <w:rFonts w:hint="eastAsia" w:ascii="宋体" w:hAnsi="宋体" w:eastAsia="宋体" w:cs="宋体"/>
          <w:b w:val="0"/>
          <w:color w:val="auto"/>
          <w:sz w:val="21"/>
          <w:szCs w:val="21"/>
          <w:highlight w:val="none"/>
        </w:rPr>
        <w:t>16. 违约</w:t>
      </w:r>
      <w:bookmarkEnd w:id="767"/>
    </w:p>
    <w:p w14:paraId="5467D70F">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16.1 发包人违约</w:t>
      </w:r>
    </w:p>
    <w:p w14:paraId="01B11252">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16.1.1发包人违约的情形</w:t>
      </w:r>
    </w:p>
    <w:p w14:paraId="36191FE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发包人违约的其他情形：</w:t>
      </w:r>
      <w:r>
        <w:rPr>
          <w:rFonts w:hint="eastAsia" w:ascii="宋体" w:hAnsi="宋体" w:eastAsia="宋体" w:cs="宋体"/>
          <w:color w:val="auto"/>
          <w:sz w:val="21"/>
          <w:szCs w:val="21"/>
          <w:highlight w:val="none"/>
          <w:u w:val="single"/>
        </w:rPr>
        <w:t xml:space="preserve">按通用条款执行  </w:t>
      </w:r>
      <w:r>
        <w:rPr>
          <w:rFonts w:hint="eastAsia" w:ascii="宋体" w:hAnsi="宋体" w:eastAsia="宋体" w:cs="宋体"/>
          <w:color w:val="auto"/>
          <w:sz w:val="21"/>
          <w:szCs w:val="21"/>
          <w:highlight w:val="none"/>
        </w:rPr>
        <w:t>。</w:t>
      </w:r>
    </w:p>
    <w:p w14:paraId="5B870E3A">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16.1.2 发包人违约的责任</w:t>
      </w:r>
    </w:p>
    <w:p w14:paraId="5F42B48B">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发包人违约责任的承担方式和计算方法：</w:t>
      </w:r>
    </w:p>
    <w:p w14:paraId="7D6F511C">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kern w:val="0"/>
          <w:sz w:val="21"/>
          <w:szCs w:val="21"/>
          <w:highlight w:val="none"/>
        </w:rPr>
        <w:t>（1）因发包人原因未能在计划开工日期前7天内下达开工通知的违约责任：</w:t>
      </w:r>
      <w:r>
        <w:rPr>
          <w:rFonts w:hint="eastAsia" w:ascii="宋体" w:hAnsi="宋体" w:eastAsia="宋体" w:cs="宋体"/>
          <w:color w:val="auto"/>
          <w:kern w:val="0"/>
          <w:sz w:val="21"/>
          <w:szCs w:val="21"/>
          <w:highlight w:val="none"/>
          <w:u w:val="single"/>
        </w:rPr>
        <w:t xml:space="preserve">     /      </w:t>
      </w:r>
      <w:r>
        <w:rPr>
          <w:rFonts w:hint="eastAsia" w:ascii="宋体" w:hAnsi="宋体" w:eastAsia="宋体" w:cs="宋体"/>
          <w:color w:val="auto"/>
          <w:kern w:val="0"/>
          <w:sz w:val="21"/>
          <w:szCs w:val="21"/>
          <w:highlight w:val="none"/>
        </w:rPr>
        <w:t>。</w:t>
      </w:r>
    </w:p>
    <w:p w14:paraId="706231F9">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（2）因发包人原因未能按合同约定支付合同价款的违约责任：</w:t>
      </w:r>
      <w:r>
        <w:rPr>
          <w:rFonts w:hint="eastAsia" w:ascii="宋体" w:hAnsi="宋体" w:eastAsia="宋体" w:cs="宋体"/>
          <w:color w:val="auto"/>
          <w:kern w:val="0"/>
          <w:sz w:val="21"/>
          <w:szCs w:val="21"/>
          <w:highlight w:val="none"/>
          <w:u w:val="single"/>
        </w:rPr>
        <w:t xml:space="preserve">     /     </w:t>
      </w:r>
      <w:r>
        <w:rPr>
          <w:rFonts w:hint="eastAsia" w:ascii="宋体" w:hAnsi="宋体" w:eastAsia="宋体" w:cs="宋体"/>
          <w:color w:val="auto"/>
          <w:kern w:val="0"/>
          <w:sz w:val="21"/>
          <w:szCs w:val="21"/>
          <w:highlight w:val="none"/>
        </w:rPr>
        <w:t>。</w:t>
      </w:r>
    </w:p>
    <w:p w14:paraId="61A79ED2">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kern w:val="0"/>
          <w:sz w:val="21"/>
          <w:szCs w:val="21"/>
          <w:highlight w:val="none"/>
        </w:rPr>
        <w:t>（3）发包人违反第10.1款〔变更的范围〕第（2）项约定，自行实施被取消的工作或转由他人实施的违约责任：</w:t>
      </w:r>
      <w:r>
        <w:rPr>
          <w:rFonts w:hint="eastAsia" w:ascii="宋体" w:hAnsi="宋体" w:eastAsia="宋体" w:cs="宋体"/>
          <w:color w:val="auto"/>
          <w:kern w:val="0"/>
          <w:sz w:val="21"/>
          <w:szCs w:val="21"/>
          <w:highlight w:val="none"/>
          <w:u w:val="single"/>
        </w:rPr>
        <w:t xml:space="preserve">     /     </w:t>
      </w:r>
      <w:r>
        <w:rPr>
          <w:rFonts w:hint="eastAsia" w:ascii="宋体" w:hAnsi="宋体" w:eastAsia="宋体" w:cs="宋体"/>
          <w:color w:val="auto"/>
          <w:kern w:val="0"/>
          <w:sz w:val="21"/>
          <w:szCs w:val="21"/>
          <w:highlight w:val="none"/>
        </w:rPr>
        <w:t>。</w:t>
      </w:r>
    </w:p>
    <w:p w14:paraId="21A1637E">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（4）发包人提供的材料、工程设备的规格、数量或质量不符合合同约定，或因发包人原因导致交货日期延误或交货地点变更等情况的违约责任：</w:t>
      </w:r>
      <w:r>
        <w:rPr>
          <w:rFonts w:hint="eastAsia" w:ascii="宋体" w:hAnsi="宋体" w:eastAsia="宋体" w:cs="宋体"/>
          <w:color w:val="auto"/>
          <w:kern w:val="0"/>
          <w:sz w:val="21"/>
          <w:szCs w:val="21"/>
          <w:highlight w:val="none"/>
          <w:u w:val="single"/>
        </w:rPr>
        <w:t xml:space="preserve">      /      </w:t>
      </w:r>
      <w:r>
        <w:rPr>
          <w:rFonts w:hint="eastAsia" w:ascii="宋体" w:hAnsi="宋体" w:eastAsia="宋体" w:cs="宋体"/>
          <w:color w:val="auto"/>
          <w:kern w:val="0"/>
          <w:sz w:val="21"/>
          <w:szCs w:val="21"/>
          <w:highlight w:val="none"/>
        </w:rPr>
        <w:t>。</w:t>
      </w:r>
    </w:p>
    <w:p w14:paraId="1B1DF403">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kern w:val="0"/>
          <w:sz w:val="21"/>
          <w:szCs w:val="21"/>
          <w:highlight w:val="none"/>
        </w:rPr>
        <w:t>（5）因发包人违反合同约定造成暂停施工的违约责任：</w:t>
      </w:r>
      <w:r>
        <w:rPr>
          <w:rFonts w:hint="eastAsia" w:ascii="宋体" w:hAnsi="宋体" w:eastAsia="宋体" w:cs="宋体"/>
          <w:color w:val="auto"/>
          <w:kern w:val="0"/>
          <w:sz w:val="21"/>
          <w:szCs w:val="21"/>
          <w:highlight w:val="none"/>
          <w:u w:val="single"/>
        </w:rPr>
        <w:t xml:space="preserve">      /      </w:t>
      </w:r>
      <w:r>
        <w:rPr>
          <w:rFonts w:hint="eastAsia" w:ascii="宋体" w:hAnsi="宋体" w:eastAsia="宋体" w:cs="宋体"/>
          <w:color w:val="auto"/>
          <w:kern w:val="0"/>
          <w:sz w:val="21"/>
          <w:szCs w:val="21"/>
          <w:highlight w:val="none"/>
        </w:rPr>
        <w:t>。</w:t>
      </w:r>
    </w:p>
    <w:p w14:paraId="74424D0C">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（6）发包人无正当理由没有在约定期限内发出复工指示，导致承包人无法复工的违约责任：</w:t>
      </w:r>
      <w:r>
        <w:rPr>
          <w:rFonts w:hint="eastAsia" w:ascii="宋体" w:hAnsi="宋体" w:eastAsia="宋体" w:cs="宋体"/>
          <w:color w:val="auto"/>
          <w:kern w:val="0"/>
          <w:sz w:val="21"/>
          <w:szCs w:val="21"/>
          <w:highlight w:val="none"/>
          <w:u w:val="single"/>
        </w:rPr>
        <w:t xml:space="preserve">                 / </w:t>
      </w:r>
      <w:r>
        <w:rPr>
          <w:rFonts w:hint="eastAsia" w:ascii="宋体" w:hAnsi="宋体" w:eastAsia="宋体" w:cs="宋体"/>
          <w:color w:val="auto"/>
          <w:kern w:val="0"/>
          <w:sz w:val="21"/>
          <w:szCs w:val="21"/>
          <w:highlight w:val="none"/>
        </w:rPr>
        <w:t>。</w:t>
      </w:r>
    </w:p>
    <w:p w14:paraId="227323E1">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（7）其他：</w:t>
      </w:r>
      <w:r>
        <w:rPr>
          <w:rFonts w:hint="eastAsia" w:ascii="宋体" w:hAnsi="宋体" w:eastAsia="宋体" w:cs="宋体"/>
          <w:color w:val="auto"/>
          <w:kern w:val="0"/>
          <w:sz w:val="21"/>
          <w:szCs w:val="21"/>
          <w:highlight w:val="none"/>
          <w:u w:val="single"/>
        </w:rPr>
        <w:t xml:space="preserve">      /      </w:t>
      </w:r>
      <w:r>
        <w:rPr>
          <w:rFonts w:hint="eastAsia" w:ascii="宋体" w:hAnsi="宋体" w:eastAsia="宋体" w:cs="宋体"/>
          <w:color w:val="auto"/>
          <w:kern w:val="0"/>
          <w:sz w:val="21"/>
          <w:szCs w:val="21"/>
          <w:highlight w:val="none"/>
        </w:rPr>
        <w:t>。</w:t>
      </w:r>
    </w:p>
    <w:p w14:paraId="33AB5665">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16.1.3 因发包人违约解除合同</w:t>
      </w:r>
    </w:p>
    <w:p w14:paraId="615AA721">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承包人按16.1.1项〔发包人违约的情形〕约定暂停施工满</w:t>
      </w:r>
      <w:r>
        <w:rPr>
          <w:rFonts w:hint="eastAsia" w:ascii="宋体" w:hAnsi="宋体" w:eastAsia="宋体" w:cs="宋体"/>
          <w:color w:val="auto"/>
          <w:kern w:val="0"/>
          <w:sz w:val="21"/>
          <w:szCs w:val="21"/>
          <w:highlight w:val="none"/>
          <w:u w:val="single"/>
        </w:rPr>
        <w:t xml:space="preserve">  /  </w:t>
      </w:r>
      <w:r>
        <w:rPr>
          <w:rFonts w:hint="eastAsia" w:ascii="宋体" w:hAnsi="宋体" w:eastAsia="宋体" w:cs="宋体"/>
          <w:color w:val="auto"/>
          <w:kern w:val="0"/>
          <w:sz w:val="21"/>
          <w:szCs w:val="21"/>
          <w:highlight w:val="none"/>
        </w:rPr>
        <w:t>天后发包人仍不纠正其违约行为并致使合同目的不能实现的，承包人有权解除合同。</w:t>
      </w:r>
    </w:p>
    <w:p w14:paraId="79E1E35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16.2 承包人违约</w:t>
      </w:r>
    </w:p>
    <w:p w14:paraId="6058C11E">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16.2.1 承包人违约的情形</w:t>
      </w:r>
    </w:p>
    <w:p w14:paraId="2A0512B6">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kern w:val="0"/>
          <w:sz w:val="21"/>
          <w:szCs w:val="21"/>
          <w:highlight w:val="none"/>
        </w:rPr>
        <w:t>承包人违约的其他情形：</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sz w:val="21"/>
          <w:szCs w:val="21"/>
          <w:highlight w:val="none"/>
          <w:u w:val="single"/>
        </w:rPr>
        <w:t xml:space="preserve">按通用条款执行  </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kern w:val="0"/>
          <w:sz w:val="21"/>
          <w:szCs w:val="21"/>
          <w:highlight w:val="none"/>
        </w:rPr>
        <w:t>。</w:t>
      </w:r>
    </w:p>
    <w:p w14:paraId="3DE24A72">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16.2.2承包人违约的责任</w:t>
      </w:r>
    </w:p>
    <w:p w14:paraId="5407281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kern w:val="0"/>
          <w:sz w:val="21"/>
          <w:szCs w:val="21"/>
          <w:highlight w:val="none"/>
        </w:rPr>
        <w:t>承包人违约责任的承担方式和计算方法：</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sz w:val="21"/>
          <w:szCs w:val="21"/>
          <w:highlight w:val="none"/>
          <w:u w:val="single"/>
        </w:rPr>
        <w:t xml:space="preserve">每拖延一天工期支付给发包人最终结算价的0.4‰/天的违约金。误期时间从合同规定竣工日期起直到全部合同工程或相应工程的全部移交竣工报告的批准日期之间的天数（不足一日的按一日计算）。                        </w:t>
      </w:r>
      <w:r>
        <w:rPr>
          <w:rFonts w:hint="eastAsia" w:ascii="宋体" w:hAnsi="宋体" w:eastAsia="宋体" w:cs="宋体"/>
          <w:color w:val="auto"/>
          <w:sz w:val="21"/>
          <w:szCs w:val="21"/>
          <w:highlight w:val="none"/>
        </w:rPr>
        <w:t xml:space="preserve">    </w:t>
      </w:r>
    </w:p>
    <w:p w14:paraId="4B14944C">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16.2.3 因承包人违约解除合同</w:t>
      </w:r>
    </w:p>
    <w:p w14:paraId="3283E331">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kern w:val="0"/>
          <w:sz w:val="21"/>
          <w:szCs w:val="21"/>
          <w:highlight w:val="none"/>
        </w:rPr>
        <w:t>关于承包人违约解除合同的特别约定：</w:t>
      </w:r>
      <w:r>
        <w:rPr>
          <w:rFonts w:hint="eastAsia" w:ascii="宋体" w:hAnsi="宋体" w:eastAsia="宋体" w:cs="宋体"/>
          <w:color w:val="auto"/>
          <w:kern w:val="0"/>
          <w:sz w:val="21"/>
          <w:szCs w:val="21"/>
          <w:highlight w:val="none"/>
          <w:u w:val="single"/>
        </w:rPr>
        <w:t>合同解除后承包人应立即退场，退场标准参照13.6.1的规定执行</w:t>
      </w:r>
      <w:r>
        <w:rPr>
          <w:rFonts w:hint="eastAsia" w:ascii="宋体" w:hAnsi="宋体" w:eastAsia="宋体" w:cs="宋体"/>
          <w:color w:val="auto"/>
          <w:kern w:val="0"/>
          <w:sz w:val="21"/>
          <w:szCs w:val="21"/>
          <w:highlight w:val="none"/>
        </w:rPr>
        <w:t>。</w:t>
      </w:r>
    </w:p>
    <w:p w14:paraId="706855CD">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发包人继续使用承包人在施工现场的材料、设备、临时工程、承包人文件和由承包人或以其名义编制的其他文件的费用承担方式：</w:t>
      </w:r>
      <w:r>
        <w:rPr>
          <w:rFonts w:hint="eastAsia" w:ascii="宋体" w:hAnsi="宋体" w:eastAsia="宋体" w:cs="宋体"/>
          <w:color w:val="auto"/>
          <w:kern w:val="0"/>
          <w:sz w:val="21"/>
          <w:szCs w:val="21"/>
          <w:highlight w:val="none"/>
          <w:u w:val="single"/>
        </w:rPr>
        <w:t xml:space="preserve">   无偿使用     </w:t>
      </w:r>
      <w:r>
        <w:rPr>
          <w:rFonts w:hint="eastAsia" w:ascii="宋体" w:hAnsi="宋体" w:eastAsia="宋体" w:cs="宋体"/>
          <w:color w:val="auto"/>
          <w:kern w:val="0"/>
          <w:sz w:val="21"/>
          <w:szCs w:val="21"/>
          <w:highlight w:val="none"/>
        </w:rPr>
        <w:t>。</w:t>
      </w:r>
    </w:p>
    <w:p w14:paraId="750C4D34">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770" w:name="_Toc351203649"/>
      <w:r>
        <w:rPr>
          <w:rFonts w:hint="eastAsia" w:ascii="宋体" w:hAnsi="宋体" w:eastAsia="宋体" w:cs="宋体"/>
          <w:b w:val="0"/>
          <w:color w:val="auto"/>
          <w:sz w:val="21"/>
          <w:szCs w:val="21"/>
          <w:highlight w:val="none"/>
        </w:rPr>
        <w:t>17. 不可抗力</w:t>
      </w:r>
      <w:bookmarkEnd w:id="770"/>
      <w:r>
        <w:rPr>
          <w:rFonts w:hint="eastAsia" w:ascii="宋体" w:hAnsi="宋体" w:eastAsia="宋体" w:cs="宋体"/>
          <w:b w:val="0"/>
          <w:color w:val="auto"/>
          <w:sz w:val="21"/>
          <w:szCs w:val="21"/>
          <w:highlight w:val="none"/>
        </w:rPr>
        <w:t xml:space="preserve"> </w:t>
      </w:r>
      <w:bookmarkEnd w:id="768"/>
    </w:p>
    <w:p w14:paraId="71C6B9A9">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17.1 不可抗力的确认</w:t>
      </w:r>
    </w:p>
    <w:p w14:paraId="1AA5CF13">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u w:val="single"/>
        </w:rPr>
      </w:pPr>
      <w:r>
        <w:rPr>
          <w:rFonts w:hint="eastAsia" w:ascii="宋体" w:hAnsi="宋体" w:eastAsia="宋体" w:cs="宋体"/>
          <w:color w:val="auto"/>
          <w:sz w:val="21"/>
          <w:szCs w:val="21"/>
          <w:highlight w:val="none"/>
        </w:rPr>
        <w:t>除通用合同条款约定的不可抗力事件之外，视为不可抗力的其他情形：</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sz w:val="21"/>
          <w:szCs w:val="21"/>
          <w:highlight w:val="none"/>
          <w:u w:val="single"/>
        </w:rPr>
        <w:t>不可抗力包括因战争、恐怖主义、动乱、空中飞行物体坠落或其他非发包人、承包人责任造成的爆炸、停工、火灾，以及：1、当地气象部门规定的情形；2、当地地震部门规定的情形；3、当地卫生部门规定的情形；4、提供政府相关部门对不可抗力的证明材料。</w:t>
      </w:r>
      <w:r>
        <w:rPr>
          <w:rFonts w:hint="eastAsia" w:ascii="宋体" w:hAnsi="宋体" w:eastAsia="宋体" w:cs="宋体"/>
          <w:color w:val="auto"/>
          <w:kern w:val="0"/>
          <w:sz w:val="21"/>
          <w:szCs w:val="21"/>
          <w:highlight w:val="none"/>
          <w:u w:val="single"/>
        </w:rPr>
        <w:t xml:space="preserve"> </w:t>
      </w:r>
    </w:p>
    <w:p w14:paraId="3453005E">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17.4 因不可抗力解除合同</w:t>
      </w:r>
    </w:p>
    <w:p w14:paraId="2B6583D4">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合同解除后，发包人应在商定或确定发包人应支付款项后</w:t>
      </w:r>
      <w:r>
        <w:rPr>
          <w:rFonts w:hint="eastAsia" w:ascii="宋体" w:hAnsi="宋体" w:eastAsia="宋体" w:cs="宋体"/>
          <w:color w:val="auto"/>
          <w:sz w:val="21"/>
          <w:szCs w:val="21"/>
          <w:highlight w:val="none"/>
          <w:u w:val="single"/>
        </w:rPr>
        <w:t xml:space="preserve">  /  </w:t>
      </w:r>
      <w:r>
        <w:rPr>
          <w:rFonts w:hint="eastAsia" w:ascii="宋体" w:hAnsi="宋体" w:eastAsia="宋体" w:cs="宋体"/>
          <w:color w:val="auto"/>
          <w:sz w:val="21"/>
          <w:szCs w:val="21"/>
          <w:highlight w:val="none"/>
        </w:rPr>
        <w:t>天内完成款项的支付。</w:t>
      </w:r>
    </w:p>
    <w:p w14:paraId="5633DF56">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771" w:name="_Toc351203650"/>
      <w:r>
        <w:rPr>
          <w:rFonts w:hint="eastAsia" w:ascii="宋体" w:hAnsi="宋体" w:eastAsia="宋体" w:cs="宋体"/>
          <w:b w:val="0"/>
          <w:color w:val="auto"/>
          <w:sz w:val="21"/>
          <w:szCs w:val="21"/>
          <w:highlight w:val="none"/>
        </w:rPr>
        <w:t>18. 保险</w:t>
      </w:r>
      <w:bookmarkEnd w:id="771"/>
    </w:p>
    <w:bookmarkEnd w:id="769"/>
    <w:p w14:paraId="3B438F25">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18.1 工程保险</w:t>
      </w:r>
    </w:p>
    <w:p w14:paraId="3FA85ACC">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关于工程保险的特别约定：</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sz w:val="21"/>
          <w:szCs w:val="21"/>
          <w:highlight w:val="none"/>
          <w:u w:val="single"/>
        </w:rPr>
        <w:t>承包人应投保建筑工程一切险并承担相关费用</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kern w:val="0"/>
          <w:sz w:val="21"/>
          <w:szCs w:val="21"/>
          <w:highlight w:val="none"/>
        </w:rPr>
        <w:t>。</w:t>
      </w:r>
    </w:p>
    <w:p w14:paraId="03A7475B">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18.3 其他保险</w:t>
      </w:r>
    </w:p>
    <w:p w14:paraId="0E8AA39D">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sz w:val="21"/>
          <w:szCs w:val="21"/>
          <w:highlight w:val="none"/>
        </w:rPr>
        <w:t>关于其他保险的约定：</w:t>
      </w:r>
      <w:r>
        <w:rPr>
          <w:rFonts w:hint="eastAsia" w:ascii="宋体" w:hAnsi="宋体" w:eastAsia="宋体" w:cs="宋体"/>
          <w:color w:val="auto"/>
          <w:kern w:val="0"/>
          <w:sz w:val="21"/>
          <w:szCs w:val="21"/>
          <w:highlight w:val="none"/>
          <w:u w:val="single"/>
        </w:rPr>
        <w:t xml:space="preserve"> 承包人根据市建协字</w:t>
      </w:r>
      <w:r>
        <w:rPr>
          <w:rFonts w:hint="eastAsia" w:ascii="宋体" w:hAnsi="宋体" w:cs="宋体"/>
          <w:color w:val="auto"/>
          <w:kern w:val="0"/>
          <w:sz w:val="21"/>
          <w:szCs w:val="21"/>
          <w:highlight w:val="none"/>
          <w:u w:val="single"/>
          <w:lang w:eastAsia="zh-CN"/>
        </w:rPr>
        <w:t>〔2009〕3号</w:t>
      </w:r>
      <w:r>
        <w:rPr>
          <w:rFonts w:hint="eastAsia" w:ascii="宋体" w:hAnsi="宋体" w:eastAsia="宋体" w:cs="宋体"/>
          <w:color w:val="auto"/>
          <w:kern w:val="0"/>
          <w:sz w:val="21"/>
          <w:szCs w:val="21"/>
          <w:highlight w:val="none"/>
          <w:u w:val="single"/>
        </w:rPr>
        <w:t xml:space="preserve">文须缴纳建筑意外伤害保险费。  </w:t>
      </w:r>
    </w:p>
    <w:p w14:paraId="7E2CB5D5">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承包人是否应为其施工设备等办理财产保险：</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3554F2A8">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18.7 通知义务</w:t>
      </w:r>
    </w:p>
    <w:p w14:paraId="4367D947">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rPr>
        <w:t>关于变更保险合同时的通知义务的约定：</w:t>
      </w:r>
      <w:r>
        <w:rPr>
          <w:rFonts w:hint="eastAsia" w:ascii="宋体" w:hAnsi="宋体" w:eastAsia="宋体" w:cs="宋体"/>
          <w:color w:val="auto"/>
          <w:sz w:val="21"/>
          <w:szCs w:val="21"/>
          <w:highlight w:val="none"/>
          <w:u w:val="single"/>
        </w:rPr>
        <w:t xml:space="preserve">       按通用条款执行           </w:t>
      </w:r>
      <w:r>
        <w:rPr>
          <w:rFonts w:hint="eastAsia" w:ascii="宋体" w:hAnsi="宋体" w:eastAsia="宋体" w:cs="宋体"/>
          <w:color w:val="auto"/>
          <w:sz w:val="21"/>
          <w:szCs w:val="21"/>
          <w:highlight w:val="none"/>
        </w:rPr>
        <w:t>。</w:t>
      </w:r>
    </w:p>
    <w:p w14:paraId="0AF16B35">
      <w:pPr>
        <w:pStyle w:val="5"/>
        <w:pageBreakBefore w:val="0"/>
        <w:widowControl w:val="0"/>
        <w:kinsoku/>
        <w:wordWrap/>
        <w:overflowPunct/>
        <w:topLinePunct w:val="0"/>
        <w:bidi w:val="0"/>
        <w:snapToGrid/>
        <w:spacing w:before="0" w:after="0" w:line="360" w:lineRule="exact"/>
        <w:ind w:right="0" w:rightChars="0"/>
        <w:textAlignment w:val="auto"/>
        <w:rPr>
          <w:rFonts w:hint="eastAsia" w:ascii="宋体" w:hAnsi="宋体" w:eastAsia="宋体" w:cs="宋体"/>
          <w:b w:val="0"/>
          <w:color w:val="auto"/>
          <w:sz w:val="21"/>
          <w:szCs w:val="21"/>
          <w:highlight w:val="none"/>
        </w:rPr>
      </w:pPr>
      <w:bookmarkStart w:id="772" w:name="_Toc351203651"/>
      <w:r>
        <w:rPr>
          <w:rFonts w:hint="eastAsia" w:ascii="宋体" w:hAnsi="宋体" w:eastAsia="宋体" w:cs="宋体"/>
          <w:b w:val="0"/>
          <w:color w:val="auto"/>
          <w:sz w:val="21"/>
          <w:szCs w:val="21"/>
          <w:highlight w:val="none"/>
        </w:rPr>
        <w:t>20. 争议解决</w:t>
      </w:r>
      <w:bookmarkEnd w:id="772"/>
    </w:p>
    <w:p w14:paraId="7ABE020C">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20.3 争议评审</w:t>
      </w:r>
    </w:p>
    <w:p w14:paraId="43FDE20E">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合同当事人是否同意将工程争议提交争议评审小组决定：</w:t>
      </w:r>
      <w:r>
        <w:rPr>
          <w:rFonts w:hint="eastAsia" w:ascii="宋体" w:hAnsi="宋体" w:eastAsia="宋体" w:cs="宋体"/>
          <w:color w:val="auto"/>
          <w:sz w:val="21"/>
          <w:szCs w:val="21"/>
          <w:highlight w:val="none"/>
          <w:u w:val="single"/>
        </w:rPr>
        <w:t xml:space="preserve">  不同意    </w:t>
      </w:r>
      <w:r>
        <w:rPr>
          <w:rFonts w:hint="eastAsia" w:ascii="宋体" w:hAnsi="宋体" w:eastAsia="宋体" w:cs="宋体"/>
          <w:color w:val="auto"/>
          <w:sz w:val="21"/>
          <w:szCs w:val="21"/>
          <w:highlight w:val="none"/>
        </w:rPr>
        <w:t xml:space="preserve">。  </w:t>
      </w:r>
    </w:p>
    <w:p w14:paraId="35839FCB">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20.3.1 争议评审小组的确定</w:t>
      </w:r>
    </w:p>
    <w:p w14:paraId="003B9091">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争议评审小组成员的确定：</w:t>
      </w:r>
      <w:r>
        <w:rPr>
          <w:rFonts w:hint="eastAsia" w:ascii="宋体" w:hAnsi="宋体" w:eastAsia="宋体" w:cs="宋体"/>
          <w:color w:val="auto"/>
          <w:sz w:val="21"/>
          <w:szCs w:val="21"/>
          <w:highlight w:val="none"/>
          <w:u w:val="single"/>
        </w:rPr>
        <w:t xml:space="preserve">            /                 </w:t>
      </w:r>
      <w:r>
        <w:rPr>
          <w:rFonts w:hint="eastAsia" w:ascii="宋体" w:hAnsi="宋体" w:eastAsia="宋体" w:cs="宋体"/>
          <w:color w:val="auto"/>
          <w:sz w:val="21"/>
          <w:szCs w:val="21"/>
          <w:highlight w:val="none"/>
        </w:rPr>
        <w:t>。</w:t>
      </w:r>
    </w:p>
    <w:p w14:paraId="57782F64">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选定争议评审员的期限：</w:t>
      </w:r>
      <w:r>
        <w:rPr>
          <w:rFonts w:hint="eastAsia" w:ascii="宋体" w:hAnsi="宋体" w:eastAsia="宋体" w:cs="宋体"/>
          <w:color w:val="auto"/>
          <w:sz w:val="21"/>
          <w:szCs w:val="21"/>
          <w:highlight w:val="none"/>
          <w:u w:val="single"/>
        </w:rPr>
        <w:t xml:space="preserve">             /                  </w:t>
      </w:r>
      <w:r>
        <w:rPr>
          <w:rFonts w:hint="eastAsia" w:ascii="宋体" w:hAnsi="宋体" w:eastAsia="宋体" w:cs="宋体"/>
          <w:color w:val="auto"/>
          <w:sz w:val="21"/>
          <w:szCs w:val="21"/>
          <w:highlight w:val="none"/>
        </w:rPr>
        <w:t>。</w:t>
      </w:r>
    </w:p>
    <w:p w14:paraId="03B188A2">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争议评审小组成员的报酬承担方式：</w:t>
      </w:r>
      <w:r>
        <w:rPr>
          <w:rFonts w:hint="eastAsia" w:ascii="宋体" w:hAnsi="宋体" w:eastAsia="宋体" w:cs="宋体"/>
          <w:color w:val="auto"/>
          <w:sz w:val="21"/>
          <w:szCs w:val="21"/>
          <w:highlight w:val="none"/>
          <w:u w:val="single"/>
        </w:rPr>
        <w:t xml:space="preserve">        /             </w:t>
      </w:r>
      <w:r>
        <w:rPr>
          <w:rFonts w:hint="eastAsia" w:ascii="宋体" w:hAnsi="宋体" w:eastAsia="宋体" w:cs="宋体"/>
          <w:color w:val="auto"/>
          <w:sz w:val="21"/>
          <w:szCs w:val="21"/>
          <w:highlight w:val="none"/>
        </w:rPr>
        <w:t>。</w:t>
      </w:r>
    </w:p>
    <w:p w14:paraId="48FBCC9B">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其他事项的约定：</w:t>
      </w:r>
      <w:r>
        <w:rPr>
          <w:rFonts w:hint="eastAsia" w:ascii="宋体" w:hAnsi="宋体" w:eastAsia="宋体" w:cs="宋体"/>
          <w:color w:val="auto"/>
          <w:sz w:val="21"/>
          <w:szCs w:val="21"/>
          <w:highlight w:val="none"/>
          <w:u w:val="single"/>
        </w:rPr>
        <w:t xml:space="preserve">                   /                  </w:t>
      </w:r>
      <w:r>
        <w:rPr>
          <w:rFonts w:hint="eastAsia" w:ascii="宋体" w:hAnsi="宋体" w:eastAsia="宋体" w:cs="宋体"/>
          <w:color w:val="auto"/>
          <w:sz w:val="21"/>
          <w:szCs w:val="21"/>
          <w:highlight w:val="none"/>
        </w:rPr>
        <w:t>。</w:t>
      </w:r>
    </w:p>
    <w:p w14:paraId="16D9C8C6">
      <w:pPr>
        <w:pageBreakBefore w:val="0"/>
        <w:widowControl w:val="0"/>
        <w:kinsoku/>
        <w:wordWrap/>
        <w:overflowPunct/>
        <w:topLinePunct w:val="0"/>
        <w:autoSpaceDE w:val="0"/>
        <w:autoSpaceDN w:val="0"/>
        <w:bidi w:val="0"/>
        <w:adjustRightInd w:val="0"/>
        <w:snapToGrid/>
        <w:spacing w:line="360" w:lineRule="exact"/>
        <w:ind w:left="0" w:leftChars="0" w:right="0" w:rightChars="0" w:firstLine="420" w:firstLineChars="200"/>
        <w:jc w:val="lef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20.3.2 争议评审小组的决定</w:t>
      </w:r>
    </w:p>
    <w:p w14:paraId="227CBFDF">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合同当事人关于本项的约定：</w:t>
      </w:r>
      <w:r>
        <w:rPr>
          <w:rFonts w:hint="eastAsia" w:ascii="宋体" w:hAnsi="宋体" w:eastAsia="宋体" w:cs="宋体"/>
          <w:color w:val="auto"/>
          <w:sz w:val="21"/>
          <w:szCs w:val="21"/>
          <w:highlight w:val="none"/>
          <w:u w:val="single"/>
        </w:rPr>
        <w:t xml:space="preserve">            /               </w:t>
      </w:r>
      <w:r>
        <w:rPr>
          <w:rFonts w:hint="eastAsia" w:ascii="宋体" w:hAnsi="宋体" w:eastAsia="宋体" w:cs="宋体"/>
          <w:color w:val="auto"/>
          <w:sz w:val="21"/>
          <w:szCs w:val="21"/>
          <w:highlight w:val="none"/>
        </w:rPr>
        <w:t>。</w:t>
      </w:r>
    </w:p>
    <w:p w14:paraId="78D9A616">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20.4仲裁或诉讼</w:t>
      </w:r>
    </w:p>
    <w:p w14:paraId="01DCC875">
      <w:pPr>
        <w:pageBreakBefore w:val="0"/>
        <w:widowControl w:val="0"/>
        <w:kinsoku/>
        <w:wordWrap/>
        <w:overflowPunct/>
        <w:topLinePunct w:val="0"/>
        <w:bidi w:val="0"/>
        <w:snapToGrid/>
        <w:spacing w:line="360" w:lineRule="exact"/>
        <w:ind w:left="0" w:leftChars="0" w:right="0" w:righ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因合同及合同有关事项发生的争议，按下列第</w:t>
      </w:r>
      <w:r>
        <w:rPr>
          <w:rFonts w:hint="eastAsia" w:ascii="宋体" w:hAnsi="宋体" w:eastAsia="宋体" w:cs="宋体"/>
          <w:color w:val="auto"/>
          <w:sz w:val="21"/>
          <w:szCs w:val="21"/>
          <w:highlight w:val="none"/>
          <w:u w:val="single"/>
        </w:rPr>
        <w:t xml:space="preserve"> （2） </w:t>
      </w:r>
      <w:r>
        <w:rPr>
          <w:rFonts w:hint="eastAsia" w:ascii="宋体" w:hAnsi="宋体" w:eastAsia="宋体" w:cs="宋体"/>
          <w:color w:val="auto"/>
          <w:sz w:val="21"/>
          <w:szCs w:val="21"/>
          <w:highlight w:val="none"/>
        </w:rPr>
        <w:t>种方式解决：</w:t>
      </w:r>
    </w:p>
    <w:p w14:paraId="3292242C">
      <w:pPr>
        <w:pageBreakBefore w:val="0"/>
        <w:widowControl w:val="0"/>
        <w:kinsoku/>
        <w:wordWrap/>
        <w:overflowPunct/>
        <w:topLinePunct w:val="0"/>
        <w:bidi w:val="0"/>
        <w:snapToGrid/>
        <w:spacing w:line="360" w:lineRule="exact"/>
        <w:ind w:left="0" w:leftChars="0" w:right="0" w:rightChars="0" w:firstLine="420" w:firstLineChars="20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（1）向</w:t>
      </w:r>
      <w:r>
        <w:rPr>
          <w:rFonts w:hint="eastAsia" w:ascii="宋体" w:hAnsi="宋体" w:eastAsia="宋体" w:cs="宋体"/>
          <w:color w:val="auto"/>
          <w:sz w:val="21"/>
          <w:szCs w:val="21"/>
          <w:highlight w:val="none"/>
          <w:u w:val="single"/>
        </w:rPr>
        <w:t xml:space="preserve">   建设行政主管部门 </w:t>
      </w:r>
      <w:r>
        <w:rPr>
          <w:rFonts w:hint="eastAsia" w:ascii="宋体" w:hAnsi="宋体" w:eastAsia="宋体" w:cs="宋体"/>
          <w:color w:val="auto"/>
          <w:sz w:val="21"/>
          <w:szCs w:val="21"/>
          <w:highlight w:val="none"/>
        </w:rPr>
        <w:t>仲裁委员会申请仲裁；</w:t>
      </w:r>
    </w:p>
    <w:p w14:paraId="1D528F32">
      <w:pPr>
        <w:autoSpaceDE w:val="0"/>
        <w:autoSpaceDN w:val="0"/>
        <w:spacing w:line="360" w:lineRule="exact"/>
        <w:ind w:firstLine="420" w:firstLineChars="200"/>
        <w:jc w:val="left"/>
        <w:rPr>
          <w:rFonts w:ascii="宋体" w:hAnsi="宋体" w:cs="宋体"/>
          <w:color w:val="auto"/>
          <w:kern w:val="0"/>
          <w:sz w:val="22"/>
          <w:szCs w:val="21"/>
          <w:highlight w:val="none"/>
          <w:u w:val="single"/>
          <w:lang w:val="zh-CN" w:bidi="zh-CN"/>
        </w:rPr>
      </w:pPr>
      <w:r>
        <w:rPr>
          <w:rFonts w:hint="eastAsia" w:ascii="宋体" w:hAnsi="宋体" w:eastAsia="宋体" w:cs="宋体"/>
          <w:color w:val="auto"/>
          <w:sz w:val="21"/>
          <w:szCs w:val="21"/>
          <w:highlight w:val="none"/>
        </w:rPr>
        <w:t>（2）向</w:t>
      </w:r>
      <w:r>
        <w:rPr>
          <w:rFonts w:hint="eastAsia" w:ascii="宋体" w:hAnsi="宋体" w:eastAsia="宋体" w:cs="宋体"/>
          <w:color w:val="auto"/>
          <w:sz w:val="21"/>
          <w:szCs w:val="21"/>
          <w:highlight w:val="none"/>
          <w:u w:val="single"/>
        </w:rPr>
        <w:t xml:space="preserve">   本工程辖区内  </w:t>
      </w:r>
      <w:r>
        <w:rPr>
          <w:rFonts w:hint="eastAsia" w:ascii="宋体" w:hAnsi="宋体" w:eastAsia="宋体" w:cs="宋体"/>
          <w:color w:val="auto"/>
          <w:sz w:val="21"/>
          <w:szCs w:val="21"/>
          <w:highlight w:val="none"/>
        </w:rPr>
        <w:t>人民法院起诉。</w:t>
      </w:r>
    </w:p>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14:paraId="42BE647A">
      <w:pPr>
        <w:pStyle w:val="30"/>
        <w:autoSpaceDE w:val="0"/>
        <w:autoSpaceDN w:val="0"/>
        <w:adjustRightInd w:val="0"/>
        <w:spacing w:line="380" w:lineRule="exact"/>
        <w:ind w:firstLine="422" w:firstLineChars="200"/>
        <w:rPr>
          <w:rFonts w:hint="eastAsia" w:ascii="宋体" w:hAnsi="宋体" w:eastAsia="宋体" w:cs="宋体"/>
          <w:b/>
          <w:color w:val="auto"/>
          <w:sz w:val="21"/>
          <w:szCs w:val="21"/>
          <w:highlight w:val="none"/>
        </w:rPr>
      </w:pPr>
    </w:p>
    <w:p w14:paraId="1FDB3222">
      <w:pPr>
        <w:pStyle w:val="22"/>
        <w:rPr>
          <w:rFonts w:hint="eastAsia" w:ascii="宋体" w:hAnsi="宋体" w:eastAsia="宋体" w:cs="宋体"/>
          <w:b/>
          <w:color w:val="auto"/>
          <w:sz w:val="21"/>
          <w:szCs w:val="21"/>
          <w:highlight w:val="none"/>
        </w:rPr>
      </w:pPr>
    </w:p>
    <w:p w14:paraId="0D464E41">
      <w:pPr>
        <w:pStyle w:val="22"/>
        <w:rPr>
          <w:rFonts w:hint="eastAsia" w:ascii="宋体" w:hAnsi="宋体" w:eastAsia="宋体" w:cs="宋体"/>
          <w:b/>
          <w:color w:val="auto"/>
          <w:sz w:val="21"/>
          <w:szCs w:val="21"/>
          <w:highlight w:val="none"/>
        </w:rPr>
      </w:pPr>
    </w:p>
    <w:p w14:paraId="7249CBDC">
      <w:pPr>
        <w:pStyle w:val="22"/>
        <w:rPr>
          <w:rFonts w:hint="eastAsia" w:ascii="宋体" w:hAnsi="宋体" w:eastAsia="宋体" w:cs="宋体"/>
          <w:b/>
          <w:color w:val="auto"/>
          <w:sz w:val="21"/>
          <w:szCs w:val="21"/>
          <w:highlight w:val="none"/>
        </w:rPr>
      </w:pPr>
    </w:p>
    <w:p w14:paraId="5A5890FD">
      <w:pPr>
        <w:rPr>
          <w:rFonts w:hint="eastAsia"/>
          <w:color w:val="auto"/>
          <w:highlight w:val="none"/>
        </w:rPr>
      </w:pPr>
    </w:p>
    <w:p w14:paraId="36728696">
      <w:pPr>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br w:type="page"/>
      </w:r>
    </w:p>
    <w:p w14:paraId="6FE2F04B">
      <w:pPr>
        <w:pageBreakBefore w:val="0"/>
        <w:widowControl w:val="0"/>
        <w:kinsoku/>
        <w:wordWrap/>
        <w:overflowPunct/>
        <w:topLinePunct w:val="0"/>
        <w:bidi w:val="0"/>
        <w:snapToGrid/>
        <w:spacing w:line="360" w:lineRule="exact"/>
        <w:ind w:left="0" w:leftChars="0" w:right="0" w:rightChars="0"/>
        <w:jc w:val="left"/>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附件</w:t>
      </w:r>
    </w:p>
    <w:p w14:paraId="4E47EFA2">
      <w:pPr>
        <w:pageBreakBefore w:val="0"/>
        <w:widowControl w:val="0"/>
        <w:kinsoku/>
        <w:wordWrap/>
        <w:overflowPunct/>
        <w:topLinePunct w:val="0"/>
        <w:bidi w:val="0"/>
        <w:snapToGrid/>
        <w:spacing w:line="360" w:lineRule="exact"/>
        <w:ind w:left="0" w:leftChars="0" w:right="0" w:rightChars="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协议书附件：</w:t>
      </w:r>
    </w:p>
    <w:p w14:paraId="791C9AAE">
      <w:pPr>
        <w:pageBreakBefore w:val="0"/>
        <w:widowControl w:val="0"/>
        <w:kinsoku/>
        <w:wordWrap/>
        <w:overflowPunct/>
        <w:topLinePunct w:val="0"/>
        <w:bidi w:val="0"/>
        <w:snapToGrid/>
        <w:spacing w:line="360" w:lineRule="exact"/>
        <w:ind w:left="0" w:leftChars="0" w:right="0" w:rightChars="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附件1：承包人承揽工程项目一览表</w:t>
      </w:r>
    </w:p>
    <w:p w14:paraId="0855F3B3">
      <w:pPr>
        <w:pageBreakBefore w:val="0"/>
        <w:widowControl w:val="0"/>
        <w:kinsoku/>
        <w:wordWrap/>
        <w:overflowPunct/>
        <w:topLinePunct w:val="0"/>
        <w:bidi w:val="0"/>
        <w:snapToGrid/>
        <w:spacing w:line="360" w:lineRule="exact"/>
        <w:ind w:left="0" w:leftChars="0" w:right="0" w:rightChars="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专用合同条款附件：</w:t>
      </w:r>
    </w:p>
    <w:p w14:paraId="694A6CBC">
      <w:pPr>
        <w:pageBreakBefore w:val="0"/>
        <w:widowControl w:val="0"/>
        <w:kinsoku/>
        <w:wordWrap/>
        <w:overflowPunct/>
        <w:topLinePunct w:val="0"/>
        <w:bidi w:val="0"/>
        <w:snapToGrid/>
        <w:spacing w:line="360" w:lineRule="exact"/>
        <w:ind w:left="0" w:leftChars="0" w:right="0" w:rightChars="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附件2：发包人供应材料设备一览表</w:t>
      </w:r>
    </w:p>
    <w:p w14:paraId="37EEF80B">
      <w:pPr>
        <w:pageBreakBefore w:val="0"/>
        <w:widowControl w:val="0"/>
        <w:kinsoku/>
        <w:wordWrap/>
        <w:overflowPunct/>
        <w:topLinePunct w:val="0"/>
        <w:bidi w:val="0"/>
        <w:snapToGrid/>
        <w:spacing w:line="360" w:lineRule="exact"/>
        <w:ind w:left="0" w:leftChars="0" w:right="0" w:rightChars="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附件3：工程质量保修书</w:t>
      </w:r>
    </w:p>
    <w:p w14:paraId="0D575214">
      <w:pPr>
        <w:pageBreakBefore w:val="0"/>
        <w:widowControl w:val="0"/>
        <w:kinsoku/>
        <w:wordWrap/>
        <w:overflowPunct/>
        <w:topLinePunct w:val="0"/>
        <w:bidi w:val="0"/>
        <w:snapToGrid/>
        <w:spacing w:line="360" w:lineRule="exact"/>
        <w:ind w:left="0" w:leftChars="0" w:right="0" w:rightChars="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附件4：主要建设工程文件目录</w:t>
      </w:r>
    </w:p>
    <w:p w14:paraId="7B8585DF">
      <w:pPr>
        <w:pageBreakBefore w:val="0"/>
        <w:widowControl w:val="0"/>
        <w:kinsoku/>
        <w:wordWrap/>
        <w:overflowPunct/>
        <w:topLinePunct w:val="0"/>
        <w:bidi w:val="0"/>
        <w:snapToGrid/>
        <w:spacing w:line="360" w:lineRule="exact"/>
        <w:ind w:left="0" w:leftChars="0" w:right="0" w:rightChars="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附件5：承包人用于本工程施工的机械设备表</w:t>
      </w:r>
    </w:p>
    <w:p w14:paraId="72159BF5">
      <w:pPr>
        <w:pageBreakBefore w:val="0"/>
        <w:widowControl w:val="0"/>
        <w:kinsoku/>
        <w:wordWrap/>
        <w:overflowPunct/>
        <w:topLinePunct w:val="0"/>
        <w:bidi w:val="0"/>
        <w:snapToGrid/>
        <w:spacing w:line="360" w:lineRule="exact"/>
        <w:ind w:left="0" w:leftChars="0" w:right="0" w:rightChars="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附件6：承包人主要施工管理人员表</w:t>
      </w:r>
    </w:p>
    <w:p w14:paraId="67493031">
      <w:pPr>
        <w:pageBreakBefore w:val="0"/>
        <w:widowControl w:val="0"/>
        <w:kinsoku/>
        <w:wordWrap/>
        <w:overflowPunct/>
        <w:topLinePunct w:val="0"/>
        <w:bidi w:val="0"/>
        <w:snapToGrid/>
        <w:spacing w:line="360" w:lineRule="exact"/>
        <w:ind w:left="0" w:leftChars="0" w:right="0" w:rightChars="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附件7：分包人主要施工管理人员表</w:t>
      </w:r>
    </w:p>
    <w:p w14:paraId="79DF4D58">
      <w:pPr>
        <w:pageBreakBefore w:val="0"/>
        <w:widowControl w:val="0"/>
        <w:kinsoku/>
        <w:wordWrap/>
        <w:overflowPunct/>
        <w:topLinePunct w:val="0"/>
        <w:bidi w:val="0"/>
        <w:snapToGrid/>
        <w:spacing w:line="360" w:lineRule="exact"/>
        <w:ind w:left="0" w:leftChars="0" w:right="0" w:rightChars="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附件8：履约担保格式</w:t>
      </w:r>
    </w:p>
    <w:p w14:paraId="41FBA548">
      <w:pPr>
        <w:pageBreakBefore w:val="0"/>
        <w:widowControl w:val="0"/>
        <w:kinsoku/>
        <w:wordWrap/>
        <w:overflowPunct/>
        <w:topLinePunct w:val="0"/>
        <w:bidi w:val="0"/>
        <w:snapToGrid/>
        <w:spacing w:line="360" w:lineRule="exact"/>
        <w:ind w:left="0" w:leftChars="0" w:right="0" w:rightChars="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附件9：预付款担保格式</w:t>
      </w:r>
    </w:p>
    <w:p w14:paraId="32056917">
      <w:pPr>
        <w:pageBreakBefore w:val="0"/>
        <w:widowControl w:val="0"/>
        <w:kinsoku/>
        <w:wordWrap/>
        <w:overflowPunct/>
        <w:topLinePunct w:val="0"/>
        <w:bidi w:val="0"/>
        <w:snapToGrid/>
        <w:spacing w:line="360" w:lineRule="exact"/>
        <w:ind w:left="0" w:leftChars="0" w:right="0" w:rightChars="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附件10：支付担保格式</w:t>
      </w:r>
    </w:p>
    <w:p w14:paraId="6A6C8397">
      <w:pPr>
        <w:pageBreakBefore w:val="0"/>
        <w:widowControl w:val="0"/>
        <w:kinsoku/>
        <w:wordWrap/>
        <w:overflowPunct/>
        <w:topLinePunct w:val="0"/>
        <w:bidi w:val="0"/>
        <w:snapToGrid/>
        <w:spacing w:line="360" w:lineRule="exact"/>
        <w:ind w:left="0" w:leftChars="0" w:right="0" w:rightChars="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附件11：暂估价一览表</w:t>
      </w:r>
    </w:p>
    <w:p w14:paraId="7804B62F">
      <w:pPr>
        <w:pStyle w:val="8"/>
        <w:rPr>
          <w:rFonts w:hint="eastAsia" w:ascii="宋体" w:hAnsi="宋体" w:eastAsia="宋体" w:cs="宋体"/>
          <w:color w:val="auto"/>
          <w:sz w:val="21"/>
          <w:szCs w:val="21"/>
          <w:highlight w:val="none"/>
          <w:lang w:val="en-US" w:eastAsia="zh-CN"/>
        </w:rPr>
      </w:pPr>
    </w:p>
    <w:p w14:paraId="74CB5865">
      <w:pPr>
        <w:pStyle w:val="8"/>
        <w:rPr>
          <w:rFonts w:hint="eastAsia" w:ascii="宋体" w:hAnsi="宋体" w:eastAsia="宋体" w:cs="宋体"/>
          <w:color w:val="auto"/>
          <w:sz w:val="21"/>
          <w:szCs w:val="21"/>
          <w:highlight w:val="none"/>
          <w:lang w:val="en-US" w:eastAsia="zh-CN"/>
        </w:rPr>
        <w:sectPr>
          <w:pgSz w:w="11906" w:h="16838"/>
          <w:pgMar w:top="1418" w:right="1115" w:bottom="1418" w:left="1131" w:header="851" w:footer="992" w:gutter="0"/>
          <w:pgNumType w:fmt="decimal"/>
          <w:cols w:space="720" w:num="1"/>
          <w:titlePg/>
          <w:docGrid w:type="lines" w:linePitch="312" w:charSpace="0"/>
        </w:sectPr>
      </w:pPr>
    </w:p>
    <w:p w14:paraId="70E5A0C0">
      <w:pPr>
        <w:pageBreakBefore w:val="0"/>
        <w:widowControl w:val="0"/>
        <w:kinsoku/>
        <w:wordWrap/>
        <w:overflowPunct/>
        <w:topLinePunct w:val="0"/>
        <w:bidi w:val="0"/>
        <w:snapToGrid/>
        <w:spacing w:line="360" w:lineRule="exact"/>
        <w:ind w:left="0" w:leftChars="0" w:right="0" w:rightChars="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附件1：</w:t>
      </w:r>
    </w:p>
    <w:p w14:paraId="0340D87C">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承包人承揽工程项目一览表</w:t>
      </w:r>
    </w:p>
    <w:tbl>
      <w:tblPr>
        <w:tblStyle w:val="18"/>
        <w:tblW w:w="14317" w:type="dxa"/>
        <w:tblInd w:w="-39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277"/>
        <w:gridCol w:w="1843"/>
        <w:gridCol w:w="1417"/>
        <w:gridCol w:w="2126"/>
        <w:gridCol w:w="850"/>
        <w:gridCol w:w="1560"/>
        <w:gridCol w:w="2126"/>
        <w:gridCol w:w="1417"/>
        <w:gridCol w:w="851"/>
        <w:gridCol w:w="850"/>
      </w:tblGrid>
      <w:tr w14:paraId="4514D7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1277" w:type="dxa"/>
            <w:tcBorders>
              <w:top w:val="single" w:color="auto" w:sz="12" w:space="0"/>
              <w:bottom w:val="double" w:color="auto" w:sz="6" w:space="0"/>
            </w:tcBorders>
            <w:vAlign w:val="center"/>
          </w:tcPr>
          <w:p w14:paraId="43D37C7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单位工程名称</w:t>
            </w:r>
          </w:p>
        </w:tc>
        <w:tc>
          <w:tcPr>
            <w:tcW w:w="1843" w:type="dxa"/>
            <w:tcBorders>
              <w:top w:val="single" w:color="auto" w:sz="12" w:space="0"/>
              <w:bottom w:val="double" w:color="auto" w:sz="6" w:space="0"/>
            </w:tcBorders>
            <w:vAlign w:val="center"/>
          </w:tcPr>
          <w:p w14:paraId="38FAEBF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建设规模</w:t>
            </w:r>
          </w:p>
        </w:tc>
        <w:tc>
          <w:tcPr>
            <w:tcW w:w="1417" w:type="dxa"/>
            <w:tcBorders>
              <w:top w:val="single" w:color="auto" w:sz="12" w:space="0"/>
              <w:bottom w:val="double" w:color="auto" w:sz="6" w:space="0"/>
            </w:tcBorders>
            <w:vAlign w:val="center"/>
          </w:tcPr>
          <w:p w14:paraId="5A83772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建筑面积(平方米)</w:t>
            </w:r>
          </w:p>
        </w:tc>
        <w:tc>
          <w:tcPr>
            <w:tcW w:w="2126" w:type="dxa"/>
            <w:tcBorders>
              <w:top w:val="single" w:color="auto" w:sz="12" w:space="0"/>
              <w:bottom w:val="double" w:color="auto" w:sz="6" w:space="0"/>
            </w:tcBorders>
            <w:vAlign w:val="center"/>
          </w:tcPr>
          <w:p w14:paraId="693BC7B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结构形式</w:t>
            </w:r>
          </w:p>
        </w:tc>
        <w:tc>
          <w:tcPr>
            <w:tcW w:w="850" w:type="dxa"/>
            <w:tcBorders>
              <w:top w:val="single" w:color="auto" w:sz="12" w:space="0"/>
              <w:bottom w:val="double" w:color="auto" w:sz="6" w:space="0"/>
            </w:tcBorders>
            <w:vAlign w:val="center"/>
          </w:tcPr>
          <w:p w14:paraId="2B3CF4E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层数</w:t>
            </w:r>
          </w:p>
        </w:tc>
        <w:tc>
          <w:tcPr>
            <w:tcW w:w="1560" w:type="dxa"/>
            <w:tcBorders>
              <w:top w:val="single" w:color="auto" w:sz="12" w:space="0"/>
              <w:bottom w:val="double" w:color="auto" w:sz="6" w:space="0"/>
            </w:tcBorders>
            <w:vAlign w:val="center"/>
          </w:tcPr>
          <w:p w14:paraId="10A391D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生产能力</w:t>
            </w:r>
          </w:p>
        </w:tc>
        <w:tc>
          <w:tcPr>
            <w:tcW w:w="2126" w:type="dxa"/>
            <w:tcBorders>
              <w:top w:val="single" w:color="auto" w:sz="12" w:space="0"/>
              <w:bottom w:val="double" w:color="auto" w:sz="6" w:space="0"/>
            </w:tcBorders>
            <w:vAlign w:val="center"/>
          </w:tcPr>
          <w:p w14:paraId="4CD474E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设备安装内容</w:t>
            </w:r>
          </w:p>
        </w:tc>
        <w:tc>
          <w:tcPr>
            <w:tcW w:w="1417" w:type="dxa"/>
            <w:tcBorders>
              <w:top w:val="single" w:color="auto" w:sz="12" w:space="0"/>
              <w:bottom w:val="double" w:color="auto" w:sz="6" w:space="0"/>
            </w:tcBorders>
            <w:vAlign w:val="center"/>
          </w:tcPr>
          <w:p w14:paraId="19EC352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合同价格（元）</w:t>
            </w:r>
          </w:p>
        </w:tc>
        <w:tc>
          <w:tcPr>
            <w:tcW w:w="851" w:type="dxa"/>
            <w:tcBorders>
              <w:top w:val="single" w:color="auto" w:sz="12" w:space="0"/>
              <w:bottom w:val="double" w:color="auto" w:sz="6" w:space="0"/>
            </w:tcBorders>
            <w:vAlign w:val="center"/>
          </w:tcPr>
          <w:p w14:paraId="740FC56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开工日期</w:t>
            </w:r>
          </w:p>
        </w:tc>
        <w:tc>
          <w:tcPr>
            <w:tcW w:w="850" w:type="dxa"/>
            <w:tcBorders>
              <w:top w:val="single" w:color="auto" w:sz="12" w:space="0"/>
              <w:bottom w:val="double" w:color="auto" w:sz="6" w:space="0"/>
            </w:tcBorders>
            <w:vAlign w:val="center"/>
          </w:tcPr>
          <w:p w14:paraId="7E33883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竣工日期</w:t>
            </w:r>
          </w:p>
        </w:tc>
      </w:tr>
      <w:tr w14:paraId="1FF073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double" w:color="auto" w:sz="6" w:space="0"/>
              <w:bottom w:val="single" w:color="auto" w:sz="6" w:space="0"/>
            </w:tcBorders>
            <w:vAlign w:val="center"/>
          </w:tcPr>
          <w:p w14:paraId="56037AF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843" w:type="dxa"/>
            <w:tcBorders>
              <w:top w:val="double" w:color="auto" w:sz="6" w:space="0"/>
              <w:bottom w:val="single" w:color="auto" w:sz="6" w:space="0"/>
            </w:tcBorders>
            <w:vAlign w:val="center"/>
          </w:tcPr>
          <w:p w14:paraId="5B0D231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tcBorders>
              <w:top w:val="double" w:color="auto" w:sz="6" w:space="0"/>
              <w:bottom w:val="single" w:color="auto" w:sz="6" w:space="0"/>
            </w:tcBorders>
            <w:vAlign w:val="center"/>
          </w:tcPr>
          <w:p w14:paraId="3C1E8A7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tcBorders>
              <w:top w:val="double" w:color="auto" w:sz="6" w:space="0"/>
              <w:bottom w:val="single" w:color="auto" w:sz="6" w:space="0"/>
            </w:tcBorders>
            <w:vAlign w:val="center"/>
          </w:tcPr>
          <w:p w14:paraId="565E6B3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tcBorders>
              <w:top w:val="double" w:color="auto" w:sz="6" w:space="0"/>
              <w:bottom w:val="single" w:color="auto" w:sz="6" w:space="0"/>
            </w:tcBorders>
            <w:vAlign w:val="center"/>
          </w:tcPr>
          <w:p w14:paraId="32B0A1D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0" w:type="dxa"/>
            <w:tcBorders>
              <w:top w:val="double" w:color="auto" w:sz="6" w:space="0"/>
              <w:bottom w:val="single" w:color="auto" w:sz="6" w:space="0"/>
            </w:tcBorders>
            <w:vAlign w:val="center"/>
          </w:tcPr>
          <w:p w14:paraId="3C45258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tcBorders>
              <w:top w:val="double" w:color="auto" w:sz="6" w:space="0"/>
              <w:bottom w:val="single" w:color="auto" w:sz="6" w:space="0"/>
            </w:tcBorders>
            <w:vAlign w:val="center"/>
          </w:tcPr>
          <w:p w14:paraId="44D1BB5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tcBorders>
              <w:top w:val="double" w:color="auto" w:sz="6" w:space="0"/>
              <w:bottom w:val="single" w:color="auto" w:sz="6" w:space="0"/>
            </w:tcBorders>
            <w:vAlign w:val="center"/>
          </w:tcPr>
          <w:p w14:paraId="31ECFAC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1" w:type="dxa"/>
            <w:tcBorders>
              <w:top w:val="double" w:color="auto" w:sz="6" w:space="0"/>
              <w:bottom w:val="single" w:color="auto" w:sz="6" w:space="0"/>
            </w:tcBorders>
            <w:vAlign w:val="center"/>
          </w:tcPr>
          <w:p w14:paraId="228D336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tcBorders>
              <w:top w:val="double" w:color="auto" w:sz="6" w:space="0"/>
              <w:bottom w:val="single" w:color="auto" w:sz="6" w:space="0"/>
            </w:tcBorders>
            <w:vAlign w:val="center"/>
          </w:tcPr>
          <w:p w14:paraId="4EA9DD6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0AEB015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0EC7723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843" w:type="dxa"/>
            <w:tcBorders>
              <w:top w:val="nil"/>
            </w:tcBorders>
            <w:vAlign w:val="center"/>
          </w:tcPr>
          <w:p w14:paraId="35394C9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tcBorders>
              <w:top w:val="nil"/>
            </w:tcBorders>
            <w:vAlign w:val="center"/>
          </w:tcPr>
          <w:p w14:paraId="35837A6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tcBorders>
              <w:top w:val="nil"/>
            </w:tcBorders>
            <w:vAlign w:val="center"/>
          </w:tcPr>
          <w:p w14:paraId="097F9F2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tcBorders>
              <w:top w:val="nil"/>
            </w:tcBorders>
            <w:vAlign w:val="center"/>
          </w:tcPr>
          <w:p w14:paraId="6C0E493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0" w:type="dxa"/>
            <w:tcBorders>
              <w:top w:val="nil"/>
            </w:tcBorders>
            <w:vAlign w:val="center"/>
          </w:tcPr>
          <w:p w14:paraId="45ECFCE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tcBorders>
              <w:top w:val="nil"/>
            </w:tcBorders>
            <w:vAlign w:val="center"/>
          </w:tcPr>
          <w:p w14:paraId="41D7892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tcBorders>
              <w:top w:val="nil"/>
            </w:tcBorders>
            <w:vAlign w:val="center"/>
          </w:tcPr>
          <w:p w14:paraId="7EA283C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1" w:type="dxa"/>
            <w:tcBorders>
              <w:top w:val="nil"/>
            </w:tcBorders>
            <w:vAlign w:val="center"/>
          </w:tcPr>
          <w:p w14:paraId="5A81051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tcBorders>
              <w:top w:val="nil"/>
            </w:tcBorders>
            <w:vAlign w:val="center"/>
          </w:tcPr>
          <w:p w14:paraId="4C909C7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346D183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7088D4A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843" w:type="dxa"/>
            <w:tcBorders>
              <w:top w:val="nil"/>
            </w:tcBorders>
            <w:vAlign w:val="center"/>
          </w:tcPr>
          <w:p w14:paraId="229BA6F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tcBorders>
              <w:top w:val="nil"/>
            </w:tcBorders>
            <w:vAlign w:val="center"/>
          </w:tcPr>
          <w:p w14:paraId="16BEEB0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tcBorders>
              <w:top w:val="nil"/>
            </w:tcBorders>
            <w:vAlign w:val="center"/>
          </w:tcPr>
          <w:p w14:paraId="141D915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tcBorders>
              <w:top w:val="nil"/>
            </w:tcBorders>
            <w:vAlign w:val="center"/>
          </w:tcPr>
          <w:p w14:paraId="3C140FB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0" w:type="dxa"/>
            <w:tcBorders>
              <w:top w:val="nil"/>
            </w:tcBorders>
            <w:vAlign w:val="center"/>
          </w:tcPr>
          <w:p w14:paraId="414F61B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tcBorders>
              <w:top w:val="nil"/>
            </w:tcBorders>
            <w:vAlign w:val="center"/>
          </w:tcPr>
          <w:p w14:paraId="5ABAB67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tcBorders>
              <w:top w:val="nil"/>
            </w:tcBorders>
            <w:vAlign w:val="center"/>
          </w:tcPr>
          <w:p w14:paraId="615B265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1" w:type="dxa"/>
            <w:tcBorders>
              <w:top w:val="nil"/>
            </w:tcBorders>
            <w:vAlign w:val="center"/>
          </w:tcPr>
          <w:p w14:paraId="76B39A6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tcBorders>
              <w:top w:val="nil"/>
            </w:tcBorders>
            <w:vAlign w:val="center"/>
          </w:tcPr>
          <w:p w14:paraId="0B2A227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562CBA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vAlign w:val="center"/>
          </w:tcPr>
          <w:p w14:paraId="52379E1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843" w:type="dxa"/>
            <w:vAlign w:val="center"/>
          </w:tcPr>
          <w:p w14:paraId="54D14F8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vAlign w:val="center"/>
          </w:tcPr>
          <w:p w14:paraId="6050E4A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vAlign w:val="center"/>
          </w:tcPr>
          <w:p w14:paraId="19F229E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vAlign w:val="center"/>
          </w:tcPr>
          <w:p w14:paraId="39A72A0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0" w:type="dxa"/>
            <w:vAlign w:val="center"/>
          </w:tcPr>
          <w:p w14:paraId="1432021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vAlign w:val="center"/>
          </w:tcPr>
          <w:p w14:paraId="27D2893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vAlign w:val="center"/>
          </w:tcPr>
          <w:p w14:paraId="722F78A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1" w:type="dxa"/>
            <w:vAlign w:val="center"/>
          </w:tcPr>
          <w:p w14:paraId="21F817C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vAlign w:val="center"/>
          </w:tcPr>
          <w:p w14:paraId="469541A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7B41BC7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66A5DA0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843" w:type="dxa"/>
            <w:tcBorders>
              <w:top w:val="nil"/>
            </w:tcBorders>
            <w:vAlign w:val="center"/>
          </w:tcPr>
          <w:p w14:paraId="4B005FF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tcBorders>
              <w:top w:val="nil"/>
            </w:tcBorders>
            <w:vAlign w:val="center"/>
          </w:tcPr>
          <w:p w14:paraId="0F9D33E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tcBorders>
              <w:top w:val="nil"/>
            </w:tcBorders>
            <w:vAlign w:val="center"/>
          </w:tcPr>
          <w:p w14:paraId="50261C2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tcBorders>
              <w:top w:val="nil"/>
            </w:tcBorders>
            <w:vAlign w:val="center"/>
          </w:tcPr>
          <w:p w14:paraId="5AAAEB5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0" w:type="dxa"/>
            <w:tcBorders>
              <w:top w:val="nil"/>
            </w:tcBorders>
            <w:vAlign w:val="center"/>
          </w:tcPr>
          <w:p w14:paraId="5382A21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tcBorders>
              <w:top w:val="nil"/>
            </w:tcBorders>
            <w:vAlign w:val="center"/>
          </w:tcPr>
          <w:p w14:paraId="202C1CC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tcBorders>
              <w:top w:val="nil"/>
            </w:tcBorders>
            <w:vAlign w:val="center"/>
          </w:tcPr>
          <w:p w14:paraId="7E213DF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1" w:type="dxa"/>
            <w:tcBorders>
              <w:top w:val="nil"/>
            </w:tcBorders>
            <w:vAlign w:val="center"/>
          </w:tcPr>
          <w:p w14:paraId="53E4856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tcBorders>
              <w:top w:val="nil"/>
            </w:tcBorders>
            <w:vAlign w:val="center"/>
          </w:tcPr>
          <w:p w14:paraId="2F2C8FE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1FBC92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vAlign w:val="center"/>
          </w:tcPr>
          <w:p w14:paraId="3ED893C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843" w:type="dxa"/>
            <w:vAlign w:val="center"/>
          </w:tcPr>
          <w:p w14:paraId="722CC9E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vAlign w:val="center"/>
          </w:tcPr>
          <w:p w14:paraId="312F904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vAlign w:val="center"/>
          </w:tcPr>
          <w:p w14:paraId="2BB1189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vAlign w:val="center"/>
          </w:tcPr>
          <w:p w14:paraId="2030B8D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0" w:type="dxa"/>
            <w:vAlign w:val="center"/>
          </w:tcPr>
          <w:p w14:paraId="1455D07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vAlign w:val="center"/>
          </w:tcPr>
          <w:p w14:paraId="0A115AC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vAlign w:val="center"/>
          </w:tcPr>
          <w:p w14:paraId="1B359FF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1" w:type="dxa"/>
            <w:vAlign w:val="center"/>
          </w:tcPr>
          <w:p w14:paraId="4CC8E82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vAlign w:val="center"/>
          </w:tcPr>
          <w:p w14:paraId="3D21C04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6FCC20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3F52C29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843" w:type="dxa"/>
            <w:tcBorders>
              <w:top w:val="nil"/>
            </w:tcBorders>
            <w:vAlign w:val="center"/>
          </w:tcPr>
          <w:p w14:paraId="3531E09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tcBorders>
              <w:top w:val="nil"/>
            </w:tcBorders>
            <w:vAlign w:val="center"/>
          </w:tcPr>
          <w:p w14:paraId="48A0777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tcBorders>
              <w:top w:val="nil"/>
            </w:tcBorders>
            <w:vAlign w:val="center"/>
          </w:tcPr>
          <w:p w14:paraId="495F34D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tcBorders>
              <w:top w:val="nil"/>
            </w:tcBorders>
            <w:vAlign w:val="center"/>
          </w:tcPr>
          <w:p w14:paraId="7C622BE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0" w:type="dxa"/>
            <w:tcBorders>
              <w:top w:val="nil"/>
            </w:tcBorders>
            <w:vAlign w:val="center"/>
          </w:tcPr>
          <w:p w14:paraId="5449956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tcBorders>
              <w:top w:val="nil"/>
            </w:tcBorders>
            <w:vAlign w:val="center"/>
          </w:tcPr>
          <w:p w14:paraId="7A4D2A4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tcBorders>
              <w:top w:val="nil"/>
            </w:tcBorders>
            <w:vAlign w:val="center"/>
          </w:tcPr>
          <w:p w14:paraId="0BE519B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1" w:type="dxa"/>
            <w:tcBorders>
              <w:top w:val="nil"/>
            </w:tcBorders>
            <w:vAlign w:val="center"/>
          </w:tcPr>
          <w:p w14:paraId="1DDD8D9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tcBorders>
              <w:top w:val="nil"/>
            </w:tcBorders>
            <w:vAlign w:val="center"/>
          </w:tcPr>
          <w:p w14:paraId="45E9E75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3B3980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4FC754F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843" w:type="dxa"/>
            <w:tcBorders>
              <w:top w:val="nil"/>
            </w:tcBorders>
            <w:vAlign w:val="center"/>
          </w:tcPr>
          <w:p w14:paraId="7A63379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tcBorders>
              <w:top w:val="nil"/>
            </w:tcBorders>
            <w:vAlign w:val="center"/>
          </w:tcPr>
          <w:p w14:paraId="52F5071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tcBorders>
              <w:top w:val="nil"/>
            </w:tcBorders>
            <w:vAlign w:val="center"/>
          </w:tcPr>
          <w:p w14:paraId="46BFDC7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tcBorders>
              <w:top w:val="nil"/>
            </w:tcBorders>
            <w:vAlign w:val="center"/>
          </w:tcPr>
          <w:p w14:paraId="099127E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0" w:type="dxa"/>
            <w:tcBorders>
              <w:top w:val="nil"/>
            </w:tcBorders>
            <w:vAlign w:val="center"/>
          </w:tcPr>
          <w:p w14:paraId="22C577F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tcBorders>
              <w:top w:val="nil"/>
            </w:tcBorders>
            <w:vAlign w:val="center"/>
          </w:tcPr>
          <w:p w14:paraId="406533A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tcBorders>
              <w:top w:val="nil"/>
            </w:tcBorders>
            <w:vAlign w:val="center"/>
          </w:tcPr>
          <w:p w14:paraId="1AFED70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1" w:type="dxa"/>
            <w:tcBorders>
              <w:top w:val="nil"/>
            </w:tcBorders>
            <w:vAlign w:val="center"/>
          </w:tcPr>
          <w:p w14:paraId="394B588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tcBorders>
              <w:top w:val="nil"/>
            </w:tcBorders>
            <w:vAlign w:val="center"/>
          </w:tcPr>
          <w:p w14:paraId="671F422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4A5351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vAlign w:val="center"/>
          </w:tcPr>
          <w:p w14:paraId="1FB9605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843" w:type="dxa"/>
            <w:vAlign w:val="center"/>
          </w:tcPr>
          <w:p w14:paraId="711B5E7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vAlign w:val="center"/>
          </w:tcPr>
          <w:p w14:paraId="2FC4E08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vAlign w:val="center"/>
          </w:tcPr>
          <w:p w14:paraId="41CCF6B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vAlign w:val="center"/>
          </w:tcPr>
          <w:p w14:paraId="6E6FADF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0" w:type="dxa"/>
            <w:vAlign w:val="center"/>
          </w:tcPr>
          <w:p w14:paraId="79B531B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vAlign w:val="center"/>
          </w:tcPr>
          <w:p w14:paraId="61584FC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vAlign w:val="center"/>
          </w:tcPr>
          <w:p w14:paraId="01A1E82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1" w:type="dxa"/>
            <w:vAlign w:val="center"/>
          </w:tcPr>
          <w:p w14:paraId="76E3A2A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vAlign w:val="center"/>
          </w:tcPr>
          <w:p w14:paraId="176FDF6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261634B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48B5F5F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843" w:type="dxa"/>
            <w:tcBorders>
              <w:top w:val="nil"/>
            </w:tcBorders>
            <w:vAlign w:val="center"/>
          </w:tcPr>
          <w:p w14:paraId="183F24F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tcBorders>
              <w:top w:val="nil"/>
            </w:tcBorders>
            <w:vAlign w:val="center"/>
          </w:tcPr>
          <w:p w14:paraId="4DBE88B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tcBorders>
              <w:top w:val="nil"/>
            </w:tcBorders>
            <w:vAlign w:val="center"/>
          </w:tcPr>
          <w:p w14:paraId="3C2B2F8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tcBorders>
              <w:top w:val="nil"/>
            </w:tcBorders>
            <w:vAlign w:val="center"/>
          </w:tcPr>
          <w:p w14:paraId="52D0C57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0" w:type="dxa"/>
            <w:tcBorders>
              <w:top w:val="nil"/>
            </w:tcBorders>
            <w:vAlign w:val="center"/>
          </w:tcPr>
          <w:p w14:paraId="25FD3A6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tcBorders>
              <w:top w:val="nil"/>
            </w:tcBorders>
            <w:vAlign w:val="center"/>
          </w:tcPr>
          <w:p w14:paraId="3D2A89A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tcBorders>
              <w:top w:val="nil"/>
            </w:tcBorders>
            <w:vAlign w:val="center"/>
          </w:tcPr>
          <w:p w14:paraId="0CC8135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1" w:type="dxa"/>
            <w:tcBorders>
              <w:top w:val="nil"/>
            </w:tcBorders>
            <w:vAlign w:val="center"/>
          </w:tcPr>
          <w:p w14:paraId="22D7C87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tcBorders>
              <w:top w:val="nil"/>
            </w:tcBorders>
            <w:vAlign w:val="center"/>
          </w:tcPr>
          <w:p w14:paraId="48AF9AD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6866C3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vAlign w:val="center"/>
          </w:tcPr>
          <w:p w14:paraId="42FFB8C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843" w:type="dxa"/>
            <w:vAlign w:val="center"/>
          </w:tcPr>
          <w:p w14:paraId="7637A46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vAlign w:val="center"/>
          </w:tcPr>
          <w:p w14:paraId="22CEFA8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vAlign w:val="center"/>
          </w:tcPr>
          <w:p w14:paraId="00FF903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vAlign w:val="center"/>
          </w:tcPr>
          <w:p w14:paraId="17A1408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0" w:type="dxa"/>
            <w:vAlign w:val="center"/>
          </w:tcPr>
          <w:p w14:paraId="367512D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2126" w:type="dxa"/>
            <w:vAlign w:val="center"/>
          </w:tcPr>
          <w:p w14:paraId="231C863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7" w:type="dxa"/>
            <w:vAlign w:val="center"/>
          </w:tcPr>
          <w:p w14:paraId="79A5944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1" w:type="dxa"/>
            <w:vAlign w:val="center"/>
          </w:tcPr>
          <w:p w14:paraId="773FA14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vAlign w:val="center"/>
          </w:tcPr>
          <w:p w14:paraId="0524016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bl>
    <w:p w14:paraId="40BD45FA">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b/>
          <w:color w:val="auto"/>
          <w:sz w:val="21"/>
          <w:szCs w:val="21"/>
          <w:highlight w:val="none"/>
        </w:rPr>
        <w:sectPr>
          <w:pgSz w:w="16838" w:h="11906" w:orient="landscape"/>
          <w:pgMar w:top="1554" w:right="1418" w:bottom="1531" w:left="1418" w:header="851" w:footer="992" w:gutter="0"/>
          <w:pgNumType w:fmt="decimal"/>
          <w:cols w:space="720" w:num="1"/>
          <w:titlePg/>
          <w:docGrid w:type="linesAndChars" w:linePitch="312" w:charSpace="0"/>
        </w:sectPr>
      </w:pPr>
    </w:p>
    <w:p w14:paraId="4F79764A">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附件2：</w:t>
      </w:r>
    </w:p>
    <w:p w14:paraId="1E7EFDDB">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发包人供应材料设备一览表</w:t>
      </w:r>
    </w:p>
    <w:tbl>
      <w:tblPr>
        <w:tblStyle w:val="18"/>
        <w:tblW w:w="8694"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402"/>
        <w:gridCol w:w="1099"/>
        <w:gridCol w:w="1134"/>
        <w:gridCol w:w="620"/>
        <w:gridCol w:w="690"/>
        <w:gridCol w:w="1044"/>
        <w:gridCol w:w="719"/>
        <w:gridCol w:w="716"/>
        <w:gridCol w:w="1487"/>
        <w:gridCol w:w="783"/>
      </w:tblGrid>
      <w:tr w14:paraId="75D893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402" w:type="dxa"/>
            <w:tcBorders>
              <w:top w:val="single" w:color="auto" w:sz="12" w:space="0"/>
              <w:bottom w:val="double" w:color="auto" w:sz="6" w:space="0"/>
            </w:tcBorders>
            <w:vAlign w:val="center"/>
          </w:tcPr>
          <w:p w14:paraId="6FD0576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序号</w:t>
            </w:r>
          </w:p>
        </w:tc>
        <w:tc>
          <w:tcPr>
            <w:tcW w:w="1099" w:type="dxa"/>
            <w:tcBorders>
              <w:top w:val="single" w:color="auto" w:sz="12" w:space="0"/>
              <w:bottom w:val="double" w:color="auto" w:sz="6" w:space="0"/>
            </w:tcBorders>
            <w:vAlign w:val="center"/>
          </w:tcPr>
          <w:p w14:paraId="2A051D9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 xml:space="preserve">  材料、</w:t>
            </w:r>
          </w:p>
          <w:p w14:paraId="323216BB">
            <w:pPr>
              <w:pStyle w:val="8"/>
              <w:keepNext/>
              <w:pageBreakBefore w:val="0"/>
              <w:widowControl w:val="0"/>
              <w:kinsoku/>
              <w:wordWrap/>
              <w:overflowPunct/>
              <w:topLinePunct w:val="0"/>
              <w:bidi w:val="0"/>
              <w:snapToGrid/>
              <w:spacing w:after="0" w:line="360" w:lineRule="exact"/>
              <w:ind w:left="0" w:leftChars="0" w:right="0" w:rightChars="0"/>
              <w:jc w:val="both"/>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设备品种</w:t>
            </w:r>
          </w:p>
        </w:tc>
        <w:tc>
          <w:tcPr>
            <w:tcW w:w="1134" w:type="dxa"/>
            <w:tcBorders>
              <w:top w:val="single" w:color="auto" w:sz="12" w:space="0"/>
              <w:bottom w:val="double" w:color="auto" w:sz="6" w:space="0"/>
            </w:tcBorders>
            <w:vAlign w:val="center"/>
          </w:tcPr>
          <w:p w14:paraId="6A23E62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规格型号</w:t>
            </w:r>
          </w:p>
        </w:tc>
        <w:tc>
          <w:tcPr>
            <w:tcW w:w="620" w:type="dxa"/>
            <w:tcBorders>
              <w:top w:val="single" w:color="auto" w:sz="12" w:space="0"/>
              <w:bottom w:val="double" w:color="auto" w:sz="6" w:space="0"/>
            </w:tcBorders>
            <w:vAlign w:val="center"/>
          </w:tcPr>
          <w:p w14:paraId="5AA8096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单位</w:t>
            </w:r>
          </w:p>
        </w:tc>
        <w:tc>
          <w:tcPr>
            <w:tcW w:w="690" w:type="dxa"/>
            <w:tcBorders>
              <w:top w:val="single" w:color="auto" w:sz="12" w:space="0"/>
              <w:bottom w:val="double" w:color="auto" w:sz="6" w:space="0"/>
            </w:tcBorders>
            <w:vAlign w:val="center"/>
          </w:tcPr>
          <w:p w14:paraId="5C75A9F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数量</w:t>
            </w:r>
          </w:p>
        </w:tc>
        <w:tc>
          <w:tcPr>
            <w:tcW w:w="1044" w:type="dxa"/>
            <w:tcBorders>
              <w:top w:val="single" w:color="auto" w:sz="12" w:space="0"/>
              <w:bottom w:val="double" w:color="auto" w:sz="6" w:space="0"/>
            </w:tcBorders>
            <w:vAlign w:val="center"/>
          </w:tcPr>
          <w:p w14:paraId="6A5398E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单价（元）</w:t>
            </w:r>
          </w:p>
        </w:tc>
        <w:tc>
          <w:tcPr>
            <w:tcW w:w="719" w:type="dxa"/>
            <w:tcBorders>
              <w:top w:val="single" w:color="auto" w:sz="12" w:space="0"/>
              <w:bottom w:val="double" w:color="auto" w:sz="6" w:space="0"/>
            </w:tcBorders>
            <w:vAlign w:val="center"/>
          </w:tcPr>
          <w:p w14:paraId="64B7E8E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质量等级</w:t>
            </w:r>
          </w:p>
        </w:tc>
        <w:tc>
          <w:tcPr>
            <w:tcW w:w="716" w:type="dxa"/>
            <w:tcBorders>
              <w:top w:val="single" w:color="auto" w:sz="12" w:space="0"/>
              <w:bottom w:val="double" w:color="auto" w:sz="6" w:space="0"/>
            </w:tcBorders>
            <w:vAlign w:val="center"/>
          </w:tcPr>
          <w:p w14:paraId="29EBCC4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供应时间</w:t>
            </w:r>
          </w:p>
        </w:tc>
        <w:tc>
          <w:tcPr>
            <w:tcW w:w="1487" w:type="dxa"/>
            <w:tcBorders>
              <w:top w:val="single" w:color="auto" w:sz="12" w:space="0"/>
              <w:bottom w:val="double" w:color="auto" w:sz="6" w:space="0"/>
            </w:tcBorders>
            <w:vAlign w:val="center"/>
          </w:tcPr>
          <w:p w14:paraId="7343E44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送达地点</w:t>
            </w:r>
          </w:p>
        </w:tc>
        <w:tc>
          <w:tcPr>
            <w:tcW w:w="783" w:type="dxa"/>
            <w:tcBorders>
              <w:top w:val="single" w:color="auto" w:sz="12" w:space="0"/>
              <w:bottom w:val="double" w:color="auto" w:sz="6" w:space="0"/>
            </w:tcBorders>
            <w:vAlign w:val="center"/>
          </w:tcPr>
          <w:p w14:paraId="71139C0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备注</w:t>
            </w:r>
          </w:p>
        </w:tc>
      </w:tr>
      <w:tr w14:paraId="7F8659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tcBorders>
              <w:top w:val="double" w:color="auto" w:sz="6" w:space="0"/>
              <w:bottom w:val="single" w:color="auto" w:sz="6" w:space="0"/>
            </w:tcBorders>
            <w:vAlign w:val="center"/>
          </w:tcPr>
          <w:p w14:paraId="36A6F8F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99" w:type="dxa"/>
            <w:tcBorders>
              <w:top w:val="double" w:color="auto" w:sz="6" w:space="0"/>
              <w:bottom w:val="single" w:color="auto" w:sz="6" w:space="0"/>
            </w:tcBorders>
            <w:vAlign w:val="center"/>
          </w:tcPr>
          <w:p w14:paraId="38462DF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tcBorders>
              <w:top w:val="double" w:color="auto" w:sz="6" w:space="0"/>
              <w:bottom w:val="single" w:color="auto" w:sz="6" w:space="0"/>
            </w:tcBorders>
            <w:vAlign w:val="center"/>
          </w:tcPr>
          <w:p w14:paraId="14AABCC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20" w:type="dxa"/>
            <w:tcBorders>
              <w:top w:val="double" w:color="auto" w:sz="6" w:space="0"/>
              <w:bottom w:val="single" w:color="auto" w:sz="6" w:space="0"/>
            </w:tcBorders>
            <w:vAlign w:val="center"/>
          </w:tcPr>
          <w:p w14:paraId="6C0B70E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90" w:type="dxa"/>
            <w:tcBorders>
              <w:top w:val="double" w:color="auto" w:sz="6" w:space="0"/>
              <w:bottom w:val="single" w:color="auto" w:sz="6" w:space="0"/>
            </w:tcBorders>
            <w:vAlign w:val="center"/>
          </w:tcPr>
          <w:p w14:paraId="261C1CE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44" w:type="dxa"/>
            <w:tcBorders>
              <w:top w:val="double" w:color="auto" w:sz="6" w:space="0"/>
              <w:bottom w:val="single" w:color="auto" w:sz="6" w:space="0"/>
            </w:tcBorders>
            <w:vAlign w:val="center"/>
          </w:tcPr>
          <w:p w14:paraId="38ACD8F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9" w:type="dxa"/>
            <w:tcBorders>
              <w:top w:val="double" w:color="auto" w:sz="6" w:space="0"/>
              <w:bottom w:val="single" w:color="auto" w:sz="6" w:space="0"/>
            </w:tcBorders>
            <w:vAlign w:val="center"/>
          </w:tcPr>
          <w:p w14:paraId="754E584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6" w:type="dxa"/>
            <w:tcBorders>
              <w:top w:val="double" w:color="auto" w:sz="6" w:space="0"/>
              <w:bottom w:val="single" w:color="auto" w:sz="6" w:space="0"/>
            </w:tcBorders>
            <w:vAlign w:val="center"/>
          </w:tcPr>
          <w:p w14:paraId="4A53EB0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87" w:type="dxa"/>
            <w:tcBorders>
              <w:top w:val="double" w:color="auto" w:sz="6" w:space="0"/>
              <w:bottom w:val="single" w:color="auto" w:sz="6" w:space="0"/>
            </w:tcBorders>
            <w:vAlign w:val="center"/>
          </w:tcPr>
          <w:p w14:paraId="3444A24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83" w:type="dxa"/>
            <w:tcBorders>
              <w:top w:val="double" w:color="auto" w:sz="6" w:space="0"/>
              <w:bottom w:val="single" w:color="auto" w:sz="6" w:space="0"/>
            </w:tcBorders>
            <w:vAlign w:val="center"/>
          </w:tcPr>
          <w:p w14:paraId="7696A99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7C734DF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tcBorders>
              <w:top w:val="nil"/>
            </w:tcBorders>
            <w:vAlign w:val="center"/>
          </w:tcPr>
          <w:p w14:paraId="06186CF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99" w:type="dxa"/>
            <w:tcBorders>
              <w:top w:val="nil"/>
            </w:tcBorders>
            <w:vAlign w:val="center"/>
          </w:tcPr>
          <w:p w14:paraId="7739E16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tcBorders>
              <w:top w:val="nil"/>
            </w:tcBorders>
            <w:vAlign w:val="center"/>
          </w:tcPr>
          <w:p w14:paraId="5815D2C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20" w:type="dxa"/>
            <w:tcBorders>
              <w:top w:val="nil"/>
            </w:tcBorders>
            <w:vAlign w:val="center"/>
          </w:tcPr>
          <w:p w14:paraId="375986F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90" w:type="dxa"/>
            <w:tcBorders>
              <w:top w:val="nil"/>
            </w:tcBorders>
            <w:vAlign w:val="center"/>
          </w:tcPr>
          <w:p w14:paraId="4839105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44" w:type="dxa"/>
            <w:tcBorders>
              <w:top w:val="nil"/>
            </w:tcBorders>
            <w:vAlign w:val="center"/>
          </w:tcPr>
          <w:p w14:paraId="22F2A5F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9" w:type="dxa"/>
            <w:tcBorders>
              <w:top w:val="nil"/>
            </w:tcBorders>
            <w:vAlign w:val="center"/>
          </w:tcPr>
          <w:p w14:paraId="528D492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6" w:type="dxa"/>
            <w:tcBorders>
              <w:top w:val="nil"/>
            </w:tcBorders>
            <w:vAlign w:val="center"/>
          </w:tcPr>
          <w:p w14:paraId="61AE46D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87" w:type="dxa"/>
            <w:tcBorders>
              <w:top w:val="nil"/>
            </w:tcBorders>
            <w:vAlign w:val="center"/>
          </w:tcPr>
          <w:p w14:paraId="02CB044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83" w:type="dxa"/>
            <w:tcBorders>
              <w:top w:val="nil"/>
            </w:tcBorders>
            <w:vAlign w:val="center"/>
          </w:tcPr>
          <w:p w14:paraId="5D98783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147A96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vAlign w:val="center"/>
          </w:tcPr>
          <w:p w14:paraId="25D2079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99" w:type="dxa"/>
            <w:vAlign w:val="center"/>
          </w:tcPr>
          <w:p w14:paraId="69BA214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62B3E06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20" w:type="dxa"/>
            <w:vAlign w:val="center"/>
          </w:tcPr>
          <w:p w14:paraId="6ED8119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90" w:type="dxa"/>
            <w:vAlign w:val="center"/>
          </w:tcPr>
          <w:p w14:paraId="1F5560A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44" w:type="dxa"/>
            <w:vAlign w:val="center"/>
          </w:tcPr>
          <w:p w14:paraId="3A5AD25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9" w:type="dxa"/>
            <w:vAlign w:val="center"/>
          </w:tcPr>
          <w:p w14:paraId="2A382B0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6" w:type="dxa"/>
            <w:vAlign w:val="center"/>
          </w:tcPr>
          <w:p w14:paraId="403DFC6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87" w:type="dxa"/>
            <w:vAlign w:val="center"/>
          </w:tcPr>
          <w:p w14:paraId="70AFFAD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83" w:type="dxa"/>
            <w:vAlign w:val="center"/>
          </w:tcPr>
          <w:p w14:paraId="6F1F00F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34E06F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vAlign w:val="center"/>
          </w:tcPr>
          <w:p w14:paraId="6AFE03E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99" w:type="dxa"/>
            <w:vAlign w:val="center"/>
          </w:tcPr>
          <w:p w14:paraId="547398E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057B76F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20" w:type="dxa"/>
            <w:vAlign w:val="center"/>
          </w:tcPr>
          <w:p w14:paraId="7F14A1D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90" w:type="dxa"/>
            <w:vAlign w:val="center"/>
          </w:tcPr>
          <w:p w14:paraId="591F92C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44" w:type="dxa"/>
            <w:vAlign w:val="center"/>
          </w:tcPr>
          <w:p w14:paraId="6F25AEB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9" w:type="dxa"/>
            <w:vAlign w:val="center"/>
          </w:tcPr>
          <w:p w14:paraId="42F0235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6" w:type="dxa"/>
            <w:vAlign w:val="center"/>
          </w:tcPr>
          <w:p w14:paraId="53ABF42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87" w:type="dxa"/>
            <w:vAlign w:val="center"/>
          </w:tcPr>
          <w:p w14:paraId="6F83FCC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83" w:type="dxa"/>
            <w:vAlign w:val="center"/>
          </w:tcPr>
          <w:p w14:paraId="1001B05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3910E5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vAlign w:val="center"/>
          </w:tcPr>
          <w:p w14:paraId="7CC3162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99" w:type="dxa"/>
            <w:vAlign w:val="center"/>
          </w:tcPr>
          <w:p w14:paraId="438E55C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5F1D742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20" w:type="dxa"/>
            <w:vAlign w:val="center"/>
          </w:tcPr>
          <w:p w14:paraId="51274E7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90" w:type="dxa"/>
            <w:vAlign w:val="center"/>
          </w:tcPr>
          <w:p w14:paraId="7EA357E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44" w:type="dxa"/>
            <w:vAlign w:val="center"/>
          </w:tcPr>
          <w:p w14:paraId="03E3F3D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9" w:type="dxa"/>
            <w:vAlign w:val="center"/>
          </w:tcPr>
          <w:p w14:paraId="73E33D7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6" w:type="dxa"/>
            <w:vAlign w:val="center"/>
          </w:tcPr>
          <w:p w14:paraId="4CBAD11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87" w:type="dxa"/>
            <w:vAlign w:val="center"/>
          </w:tcPr>
          <w:p w14:paraId="774F6BA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83" w:type="dxa"/>
            <w:vAlign w:val="center"/>
          </w:tcPr>
          <w:p w14:paraId="74ACBC2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522231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vAlign w:val="center"/>
          </w:tcPr>
          <w:p w14:paraId="29B1C1E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99" w:type="dxa"/>
            <w:vAlign w:val="center"/>
          </w:tcPr>
          <w:p w14:paraId="29E43D4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6B99B14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20" w:type="dxa"/>
            <w:vAlign w:val="center"/>
          </w:tcPr>
          <w:p w14:paraId="6D60164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90" w:type="dxa"/>
            <w:vAlign w:val="center"/>
          </w:tcPr>
          <w:p w14:paraId="5792CB0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44" w:type="dxa"/>
            <w:vAlign w:val="center"/>
          </w:tcPr>
          <w:p w14:paraId="172736F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9" w:type="dxa"/>
            <w:vAlign w:val="center"/>
          </w:tcPr>
          <w:p w14:paraId="65B20FC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6" w:type="dxa"/>
            <w:vAlign w:val="center"/>
          </w:tcPr>
          <w:p w14:paraId="054218F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87" w:type="dxa"/>
            <w:vAlign w:val="center"/>
          </w:tcPr>
          <w:p w14:paraId="7A6E367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83" w:type="dxa"/>
            <w:vAlign w:val="center"/>
          </w:tcPr>
          <w:p w14:paraId="38414CD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7744AC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vAlign w:val="center"/>
          </w:tcPr>
          <w:p w14:paraId="52BA6DD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99" w:type="dxa"/>
            <w:vAlign w:val="center"/>
          </w:tcPr>
          <w:p w14:paraId="1DCF27C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0E6FC5B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20" w:type="dxa"/>
            <w:vAlign w:val="center"/>
          </w:tcPr>
          <w:p w14:paraId="4CFF682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90" w:type="dxa"/>
            <w:vAlign w:val="center"/>
          </w:tcPr>
          <w:p w14:paraId="4099CC9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44" w:type="dxa"/>
            <w:vAlign w:val="center"/>
          </w:tcPr>
          <w:p w14:paraId="4A8F600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9" w:type="dxa"/>
            <w:vAlign w:val="center"/>
          </w:tcPr>
          <w:p w14:paraId="637BEDE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6" w:type="dxa"/>
            <w:vAlign w:val="center"/>
          </w:tcPr>
          <w:p w14:paraId="0D98A0E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87" w:type="dxa"/>
            <w:vAlign w:val="center"/>
          </w:tcPr>
          <w:p w14:paraId="3B405C9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83" w:type="dxa"/>
            <w:vAlign w:val="center"/>
          </w:tcPr>
          <w:p w14:paraId="6443A52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700543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vAlign w:val="center"/>
          </w:tcPr>
          <w:p w14:paraId="3A6D81C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99" w:type="dxa"/>
            <w:vAlign w:val="center"/>
          </w:tcPr>
          <w:p w14:paraId="4B9536B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105ED4B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20" w:type="dxa"/>
            <w:vAlign w:val="center"/>
          </w:tcPr>
          <w:p w14:paraId="7FC90A4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90" w:type="dxa"/>
            <w:vAlign w:val="center"/>
          </w:tcPr>
          <w:p w14:paraId="42A09B4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44" w:type="dxa"/>
            <w:vAlign w:val="center"/>
          </w:tcPr>
          <w:p w14:paraId="1DE1119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9" w:type="dxa"/>
            <w:vAlign w:val="center"/>
          </w:tcPr>
          <w:p w14:paraId="27C1DDD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6" w:type="dxa"/>
            <w:vAlign w:val="center"/>
          </w:tcPr>
          <w:p w14:paraId="71A0F4F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87" w:type="dxa"/>
            <w:vAlign w:val="center"/>
          </w:tcPr>
          <w:p w14:paraId="530B329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83" w:type="dxa"/>
            <w:vAlign w:val="center"/>
          </w:tcPr>
          <w:p w14:paraId="7F29881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4CBE008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vAlign w:val="center"/>
          </w:tcPr>
          <w:p w14:paraId="0F36A59B">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99" w:type="dxa"/>
            <w:vAlign w:val="center"/>
          </w:tcPr>
          <w:p w14:paraId="0CE51908">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134" w:type="dxa"/>
            <w:vAlign w:val="center"/>
          </w:tcPr>
          <w:p w14:paraId="2EDBA353">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20" w:type="dxa"/>
            <w:vAlign w:val="center"/>
          </w:tcPr>
          <w:p w14:paraId="5B3DB79D">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90" w:type="dxa"/>
            <w:vAlign w:val="center"/>
          </w:tcPr>
          <w:p w14:paraId="36787666">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44" w:type="dxa"/>
            <w:vAlign w:val="center"/>
          </w:tcPr>
          <w:p w14:paraId="5C127404">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9" w:type="dxa"/>
            <w:vAlign w:val="center"/>
          </w:tcPr>
          <w:p w14:paraId="5C8342DD">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6" w:type="dxa"/>
            <w:vAlign w:val="center"/>
          </w:tcPr>
          <w:p w14:paraId="6903F203">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487" w:type="dxa"/>
            <w:vAlign w:val="center"/>
          </w:tcPr>
          <w:p w14:paraId="439B14DD">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83" w:type="dxa"/>
            <w:vAlign w:val="center"/>
          </w:tcPr>
          <w:p w14:paraId="70AE63EF">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r>
      <w:tr w14:paraId="38751F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vAlign w:val="center"/>
          </w:tcPr>
          <w:p w14:paraId="5F60D53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99" w:type="dxa"/>
            <w:vAlign w:val="center"/>
          </w:tcPr>
          <w:p w14:paraId="61C996D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4DE2D7F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20" w:type="dxa"/>
            <w:vAlign w:val="center"/>
          </w:tcPr>
          <w:p w14:paraId="20C292E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90" w:type="dxa"/>
            <w:vAlign w:val="center"/>
          </w:tcPr>
          <w:p w14:paraId="5108DB2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44" w:type="dxa"/>
            <w:vAlign w:val="center"/>
          </w:tcPr>
          <w:p w14:paraId="6CC11A9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9" w:type="dxa"/>
            <w:vAlign w:val="center"/>
          </w:tcPr>
          <w:p w14:paraId="28C06A0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16" w:type="dxa"/>
            <w:vAlign w:val="center"/>
          </w:tcPr>
          <w:p w14:paraId="39E9B20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87" w:type="dxa"/>
            <w:vAlign w:val="center"/>
          </w:tcPr>
          <w:p w14:paraId="2B66C72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783" w:type="dxa"/>
            <w:vAlign w:val="center"/>
          </w:tcPr>
          <w:p w14:paraId="43AA1BE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2B5F84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vAlign w:val="center"/>
          </w:tcPr>
          <w:p w14:paraId="2DC98FAC">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99" w:type="dxa"/>
            <w:vAlign w:val="center"/>
          </w:tcPr>
          <w:p w14:paraId="45F5BF83">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134" w:type="dxa"/>
            <w:vAlign w:val="center"/>
          </w:tcPr>
          <w:p w14:paraId="719BD0F1">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20" w:type="dxa"/>
            <w:vAlign w:val="center"/>
          </w:tcPr>
          <w:p w14:paraId="706C41CF">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90" w:type="dxa"/>
            <w:vAlign w:val="center"/>
          </w:tcPr>
          <w:p w14:paraId="232E0B6F">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44" w:type="dxa"/>
            <w:vAlign w:val="center"/>
          </w:tcPr>
          <w:p w14:paraId="3B60BD4A">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9" w:type="dxa"/>
            <w:vAlign w:val="center"/>
          </w:tcPr>
          <w:p w14:paraId="07B817DD">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6" w:type="dxa"/>
            <w:vAlign w:val="center"/>
          </w:tcPr>
          <w:p w14:paraId="6A965459">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487" w:type="dxa"/>
            <w:vAlign w:val="center"/>
          </w:tcPr>
          <w:p w14:paraId="5911989D">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83" w:type="dxa"/>
            <w:vAlign w:val="center"/>
          </w:tcPr>
          <w:p w14:paraId="15F88066">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r>
      <w:tr w14:paraId="3D541C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vAlign w:val="center"/>
          </w:tcPr>
          <w:p w14:paraId="0C6964B7">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99" w:type="dxa"/>
            <w:vAlign w:val="center"/>
          </w:tcPr>
          <w:p w14:paraId="68F42B45">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134" w:type="dxa"/>
            <w:vAlign w:val="center"/>
          </w:tcPr>
          <w:p w14:paraId="5F3ED113">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20" w:type="dxa"/>
            <w:vAlign w:val="center"/>
          </w:tcPr>
          <w:p w14:paraId="453D2780">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90" w:type="dxa"/>
            <w:vAlign w:val="center"/>
          </w:tcPr>
          <w:p w14:paraId="1216C2B8">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44" w:type="dxa"/>
            <w:vAlign w:val="center"/>
          </w:tcPr>
          <w:p w14:paraId="33F88673">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9" w:type="dxa"/>
            <w:vAlign w:val="center"/>
          </w:tcPr>
          <w:p w14:paraId="1417D034">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6" w:type="dxa"/>
            <w:vAlign w:val="center"/>
          </w:tcPr>
          <w:p w14:paraId="36AF98F6">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487" w:type="dxa"/>
            <w:vAlign w:val="center"/>
          </w:tcPr>
          <w:p w14:paraId="5EA5B910">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83" w:type="dxa"/>
            <w:vAlign w:val="center"/>
          </w:tcPr>
          <w:p w14:paraId="45F897F2">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r>
      <w:tr w14:paraId="05CB143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vAlign w:val="center"/>
          </w:tcPr>
          <w:p w14:paraId="411AD32A">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99" w:type="dxa"/>
            <w:vAlign w:val="center"/>
          </w:tcPr>
          <w:p w14:paraId="45DEFA2C">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134" w:type="dxa"/>
            <w:vAlign w:val="center"/>
          </w:tcPr>
          <w:p w14:paraId="3BCA64CC">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20" w:type="dxa"/>
            <w:vAlign w:val="center"/>
          </w:tcPr>
          <w:p w14:paraId="7AFAE988">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90" w:type="dxa"/>
            <w:vAlign w:val="center"/>
          </w:tcPr>
          <w:p w14:paraId="5030AD0D">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44" w:type="dxa"/>
            <w:vAlign w:val="center"/>
          </w:tcPr>
          <w:p w14:paraId="4A83E885">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9" w:type="dxa"/>
            <w:vAlign w:val="center"/>
          </w:tcPr>
          <w:p w14:paraId="63AF6A24">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6" w:type="dxa"/>
            <w:vAlign w:val="center"/>
          </w:tcPr>
          <w:p w14:paraId="208CDB42">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487" w:type="dxa"/>
            <w:vAlign w:val="center"/>
          </w:tcPr>
          <w:p w14:paraId="14A83631">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83" w:type="dxa"/>
            <w:vAlign w:val="center"/>
          </w:tcPr>
          <w:p w14:paraId="47B2ACE7">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r>
      <w:tr w14:paraId="772FAC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vAlign w:val="center"/>
          </w:tcPr>
          <w:p w14:paraId="75696D1C">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99" w:type="dxa"/>
            <w:vAlign w:val="center"/>
          </w:tcPr>
          <w:p w14:paraId="2C8F5226">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134" w:type="dxa"/>
            <w:vAlign w:val="center"/>
          </w:tcPr>
          <w:p w14:paraId="0153B66D">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20" w:type="dxa"/>
            <w:vAlign w:val="center"/>
          </w:tcPr>
          <w:p w14:paraId="781E0D0A">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90" w:type="dxa"/>
            <w:vAlign w:val="center"/>
          </w:tcPr>
          <w:p w14:paraId="264B023D">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44" w:type="dxa"/>
            <w:vAlign w:val="center"/>
          </w:tcPr>
          <w:p w14:paraId="2F841B4E">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9" w:type="dxa"/>
            <w:vAlign w:val="center"/>
          </w:tcPr>
          <w:p w14:paraId="6EEC1863">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6" w:type="dxa"/>
            <w:vAlign w:val="center"/>
          </w:tcPr>
          <w:p w14:paraId="04D13494">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487" w:type="dxa"/>
            <w:vAlign w:val="center"/>
          </w:tcPr>
          <w:p w14:paraId="4452EA96">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83" w:type="dxa"/>
            <w:vAlign w:val="center"/>
          </w:tcPr>
          <w:p w14:paraId="2EBCCDAC">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r>
      <w:tr w14:paraId="5FDC3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vAlign w:val="center"/>
          </w:tcPr>
          <w:p w14:paraId="6F9875BB">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99" w:type="dxa"/>
            <w:vAlign w:val="center"/>
          </w:tcPr>
          <w:p w14:paraId="523696E3">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134" w:type="dxa"/>
            <w:vAlign w:val="center"/>
          </w:tcPr>
          <w:p w14:paraId="04C5CAC2">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20" w:type="dxa"/>
            <w:vAlign w:val="center"/>
          </w:tcPr>
          <w:p w14:paraId="0FC49290">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90" w:type="dxa"/>
            <w:vAlign w:val="center"/>
          </w:tcPr>
          <w:p w14:paraId="034C4C00">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44" w:type="dxa"/>
            <w:vAlign w:val="center"/>
          </w:tcPr>
          <w:p w14:paraId="219A0849">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9" w:type="dxa"/>
            <w:vAlign w:val="center"/>
          </w:tcPr>
          <w:p w14:paraId="3487B0CD">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6" w:type="dxa"/>
            <w:vAlign w:val="center"/>
          </w:tcPr>
          <w:p w14:paraId="08D1F273">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487" w:type="dxa"/>
            <w:vAlign w:val="center"/>
          </w:tcPr>
          <w:p w14:paraId="693E0E27">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83" w:type="dxa"/>
            <w:vAlign w:val="center"/>
          </w:tcPr>
          <w:p w14:paraId="4D6CEE6C">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r>
      <w:tr w14:paraId="6415EE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vAlign w:val="center"/>
          </w:tcPr>
          <w:p w14:paraId="59208CA2">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99" w:type="dxa"/>
            <w:vAlign w:val="center"/>
          </w:tcPr>
          <w:p w14:paraId="1FB90960">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134" w:type="dxa"/>
            <w:vAlign w:val="center"/>
          </w:tcPr>
          <w:p w14:paraId="35614D70">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20" w:type="dxa"/>
            <w:vAlign w:val="center"/>
          </w:tcPr>
          <w:p w14:paraId="5FAAB2A3">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90" w:type="dxa"/>
            <w:vAlign w:val="center"/>
          </w:tcPr>
          <w:p w14:paraId="17DE734E">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44" w:type="dxa"/>
            <w:vAlign w:val="center"/>
          </w:tcPr>
          <w:p w14:paraId="2F38E78E">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9" w:type="dxa"/>
            <w:vAlign w:val="center"/>
          </w:tcPr>
          <w:p w14:paraId="5015B018">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6" w:type="dxa"/>
            <w:vAlign w:val="center"/>
          </w:tcPr>
          <w:p w14:paraId="6D1BEFC2">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487" w:type="dxa"/>
            <w:vAlign w:val="center"/>
          </w:tcPr>
          <w:p w14:paraId="1298B8DE">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83" w:type="dxa"/>
            <w:vAlign w:val="center"/>
          </w:tcPr>
          <w:p w14:paraId="3B237262">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r>
      <w:tr w14:paraId="2DC11B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vAlign w:val="center"/>
          </w:tcPr>
          <w:p w14:paraId="73B7D18B">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99" w:type="dxa"/>
            <w:vAlign w:val="center"/>
          </w:tcPr>
          <w:p w14:paraId="6F717AAA">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134" w:type="dxa"/>
            <w:vAlign w:val="center"/>
          </w:tcPr>
          <w:p w14:paraId="5836E44B">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20" w:type="dxa"/>
            <w:vAlign w:val="center"/>
          </w:tcPr>
          <w:p w14:paraId="4FA4AB37">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90" w:type="dxa"/>
            <w:vAlign w:val="center"/>
          </w:tcPr>
          <w:p w14:paraId="70669C78">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44" w:type="dxa"/>
            <w:vAlign w:val="center"/>
          </w:tcPr>
          <w:p w14:paraId="462FE3D2">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9" w:type="dxa"/>
            <w:vAlign w:val="center"/>
          </w:tcPr>
          <w:p w14:paraId="7E1B94DC">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6" w:type="dxa"/>
            <w:vAlign w:val="center"/>
          </w:tcPr>
          <w:p w14:paraId="7DF5D808">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487" w:type="dxa"/>
            <w:vAlign w:val="center"/>
          </w:tcPr>
          <w:p w14:paraId="49DE1287">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83" w:type="dxa"/>
            <w:vAlign w:val="center"/>
          </w:tcPr>
          <w:p w14:paraId="52A47B01">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r>
      <w:tr w14:paraId="6E02DFA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402" w:type="dxa"/>
            <w:vAlign w:val="center"/>
          </w:tcPr>
          <w:p w14:paraId="79272E6F">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99" w:type="dxa"/>
            <w:vAlign w:val="center"/>
          </w:tcPr>
          <w:p w14:paraId="3CA81EBD">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134" w:type="dxa"/>
            <w:vAlign w:val="center"/>
          </w:tcPr>
          <w:p w14:paraId="7BCD763F">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20" w:type="dxa"/>
            <w:vAlign w:val="center"/>
          </w:tcPr>
          <w:p w14:paraId="6996BE16">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690" w:type="dxa"/>
            <w:vAlign w:val="center"/>
          </w:tcPr>
          <w:p w14:paraId="24E82705">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044" w:type="dxa"/>
            <w:vAlign w:val="center"/>
          </w:tcPr>
          <w:p w14:paraId="1A76D235">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9" w:type="dxa"/>
            <w:vAlign w:val="center"/>
          </w:tcPr>
          <w:p w14:paraId="639FFCFF">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16" w:type="dxa"/>
            <w:vAlign w:val="center"/>
          </w:tcPr>
          <w:p w14:paraId="7518E940">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1487" w:type="dxa"/>
            <w:vAlign w:val="center"/>
          </w:tcPr>
          <w:p w14:paraId="12D154BF">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c>
          <w:tcPr>
            <w:tcW w:w="783" w:type="dxa"/>
            <w:vAlign w:val="center"/>
          </w:tcPr>
          <w:p w14:paraId="22AE000E">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p>
        </w:tc>
      </w:tr>
    </w:tbl>
    <w:p w14:paraId="473F91BB">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p w14:paraId="6EA88CF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p w14:paraId="74712BB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p w14:paraId="7B5967C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p w14:paraId="6F938F1C">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p w14:paraId="05D81339">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附件3：    </w:t>
      </w:r>
    </w:p>
    <w:p w14:paraId="2AD27B61">
      <w:pPr>
        <w:pStyle w:val="35"/>
        <w:tabs>
          <w:tab w:val="left" w:pos="0"/>
        </w:tabs>
        <w:spacing w:line="276" w:lineRule="auto"/>
        <w:ind w:firstLine="0" w:firstLine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  </w:t>
      </w:r>
    </w:p>
    <w:p w14:paraId="376EB5B6">
      <w:pPr>
        <w:pStyle w:val="3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工程质量保修书</w:t>
      </w:r>
    </w:p>
    <w:p w14:paraId="66D161E1">
      <w:pPr>
        <w:pStyle w:val="31"/>
        <w:rPr>
          <w:rFonts w:hint="eastAsia" w:ascii="宋体" w:hAnsi="宋体" w:eastAsia="宋体" w:cs="宋体"/>
          <w:color w:val="auto"/>
          <w:sz w:val="21"/>
          <w:szCs w:val="21"/>
          <w:highlight w:val="none"/>
        </w:rPr>
      </w:pPr>
    </w:p>
    <w:p w14:paraId="1604F52E">
      <w:pPr>
        <w:pStyle w:val="35"/>
        <w:spacing w:line="320" w:lineRule="exact"/>
        <w:ind w:firstLine="0" w:firstLine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发包人（全称）：</w:t>
      </w:r>
      <w:r>
        <w:rPr>
          <w:rFonts w:hint="eastAsia" w:ascii="宋体" w:hAnsi="宋体" w:eastAsia="宋体" w:cs="宋体"/>
          <w:color w:val="auto"/>
          <w:sz w:val="21"/>
          <w:szCs w:val="21"/>
          <w:highlight w:val="none"/>
          <w:u w:val="single"/>
          <w:lang w:val="en-US" w:eastAsia="zh-CN"/>
        </w:rPr>
        <w:t xml:space="preserve"> </w:t>
      </w:r>
      <w:r>
        <w:rPr>
          <w:rFonts w:hint="eastAsia" w:ascii="宋体" w:hAnsi="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rPr>
        <w:t xml:space="preserve"> </w:t>
      </w:r>
    </w:p>
    <w:p w14:paraId="652D2ADC">
      <w:pPr>
        <w:pStyle w:val="35"/>
        <w:spacing w:line="320" w:lineRule="exact"/>
        <w:ind w:firstLine="0" w:firstLine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承包人（全称）：</w:t>
      </w:r>
      <w:r>
        <w:rPr>
          <w:rFonts w:hint="eastAsia" w:ascii="宋体" w:hAnsi="宋体" w:eastAsia="宋体" w:cs="宋体"/>
          <w:color w:val="auto"/>
          <w:sz w:val="21"/>
          <w:szCs w:val="21"/>
          <w:highlight w:val="none"/>
          <w:u w:val="single"/>
        </w:rPr>
        <w:t xml:space="preserve"> </w:t>
      </w:r>
      <w:r>
        <w:rPr>
          <w:rFonts w:hint="eastAsia" w:ascii="宋体" w:hAnsi="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rPr>
        <w:t xml:space="preserve"> </w:t>
      </w:r>
    </w:p>
    <w:p w14:paraId="77324118">
      <w:pPr>
        <w:pStyle w:val="3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为保证</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none"/>
          <w:lang w:eastAsia="zh-CN"/>
        </w:rPr>
        <w:t>工程</w:t>
      </w:r>
      <w:r>
        <w:rPr>
          <w:rFonts w:hint="eastAsia" w:ascii="宋体" w:hAnsi="宋体" w:eastAsia="宋体" w:cs="宋体"/>
          <w:color w:val="auto"/>
          <w:sz w:val="21"/>
          <w:szCs w:val="21"/>
          <w:highlight w:val="none"/>
        </w:rPr>
        <w:t>在合理使用期限内正常使用，经发包人、承包人协商一致签订本工程质量保修书。承包人在质量保修期内按照有关管理规定及双方约定承担工程质量保修责任。</w:t>
      </w:r>
    </w:p>
    <w:p w14:paraId="1D43FD67">
      <w:pPr>
        <w:pStyle w:val="38"/>
        <w:spacing w:line="400" w:lineRule="exact"/>
        <w:ind w:firstLine="420" w:firstLineChars="200"/>
        <w:outlineLvl w:val="0"/>
        <w:rPr>
          <w:rFonts w:hint="eastAsia" w:ascii="宋体" w:hAnsi="宋体" w:eastAsia="宋体" w:cs="宋体"/>
          <w:color w:val="auto"/>
          <w:sz w:val="21"/>
          <w:szCs w:val="21"/>
          <w:highlight w:val="none"/>
        </w:rPr>
      </w:pPr>
      <w:bookmarkStart w:id="773" w:name="_Toc25270"/>
      <w:bookmarkStart w:id="774" w:name="_Toc522201808"/>
      <w:r>
        <w:rPr>
          <w:rFonts w:hint="eastAsia" w:ascii="宋体" w:hAnsi="宋体" w:eastAsia="宋体" w:cs="宋体"/>
          <w:color w:val="auto"/>
          <w:sz w:val="21"/>
          <w:szCs w:val="21"/>
          <w:highlight w:val="none"/>
        </w:rPr>
        <w:t>一、工程保修范围和内容</w:t>
      </w:r>
      <w:bookmarkEnd w:id="773"/>
      <w:bookmarkEnd w:id="774"/>
    </w:p>
    <w:p w14:paraId="21D088C3">
      <w:pPr>
        <w:pStyle w:val="3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质量保修范围为施工图纸所包括的工程内容</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具体质量保修内容双方约定如下：</w:t>
      </w:r>
      <w:r>
        <w:rPr>
          <w:rFonts w:hint="eastAsia" w:ascii="宋体" w:hAnsi="宋体" w:eastAsia="宋体" w:cs="宋体"/>
          <w:color w:val="auto"/>
          <w:sz w:val="21"/>
          <w:szCs w:val="21"/>
          <w:highlight w:val="none"/>
          <w:u w:val="single"/>
        </w:rPr>
        <w:t xml:space="preserve"> 承包方所承包施工的全部工程内容 </w:t>
      </w:r>
      <w:r>
        <w:rPr>
          <w:rFonts w:hint="eastAsia" w:ascii="宋体" w:hAnsi="宋体" w:eastAsia="宋体" w:cs="宋体"/>
          <w:color w:val="auto"/>
          <w:sz w:val="21"/>
          <w:szCs w:val="21"/>
          <w:highlight w:val="none"/>
        </w:rPr>
        <w:t>。</w:t>
      </w:r>
    </w:p>
    <w:p w14:paraId="587E6C31">
      <w:pPr>
        <w:pStyle w:val="38"/>
        <w:spacing w:line="400" w:lineRule="exact"/>
        <w:ind w:firstLine="420" w:firstLineChars="200"/>
        <w:outlineLvl w:val="0"/>
        <w:rPr>
          <w:rFonts w:hint="eastAsia" w:ascii="宋体" w:hAnsi="宋体" w:eastAsia="宋体" w:cs="宋体"/>
          <w:color w:val="auto"/>
          <w:sz w:val="21"/>
          <w:szCs w:val="21"/>
          <w:highlight w:val="none"/>
        </w:rPr>
      </w:pPr>
      <w:bookmarkStart w:id="775" w:name="_Toc32666"/>
      <w:bookmarkStart w:id="776" w:name="_Toc522201809"/>
      <w:r>
        <w:rPr>
          <w:rFonts w:hint="eastAsia" w:ascii="宋体" w:hAnsi="宋体" w:eastAsia="宋体" w:cs="宋体"/>
          <w:color w:val="auto"/>
          <w:sz w:val="21"/>
          <w:szCs w:val="21"/>
          <w:highlight w:val="none"/>
        </w:rPr>
        <w:t>二、</w:t>
      </w:r>
      <w:r>
        <w:rPr>
          <w:rFonts w:hint="eastAsia" w:ascii="宋体" w:hAnsi="宋体" w:eastAsia="宋体" w:cs="宋体"/>
          <w:color w:val="auto"/>
          <w:sz w:val="21"/>
          <w:szCs w:val="21"/>
          <w:highlight w:val="none"/>
          <w:lang w:eastAsia="zh-CN"/>
        </w:rPr>
        <w:t>质量</w:t>
      </w:r>
      <w:r>
        <w:rPr>
          <w:rFonts w:hint="eastAsia" w:ascii="宋体" w:hAnsi="宋体" w:eastAsia="宋体" w:cs="宋体"/>
          <w:color w:val="auto"/>
          <w:sz w:val="21"/>
          <w:szCs w:val="21"/>
          <w:highlight w:val="none"/>
        </w:rPr>
        <w:t>保修期</w:t>
      </w:r>
      <w:bookmarkEnd w:id="775"/>
      <w:bookmarkEnd w:id="776"/>
    </w:p>
    <w:p w14:paraId="7B1838E5">
      <w:pPr>
        <w:pStyle w:val="39"/>
        <w:keepNext w:val="0"/>
        <w:keepLines w:val="0"/>
        <w:pageBreakBefore w:val="0"/>
        <w:widowControl w:val="0"/>
        <w:kinsoku/>
        <w:wordWrap/>
        <w:overflowPunct/>
        <w:topLinePunct w:val="0"/>
        <w:autoSpaceDE/>
        <w:autoSpaceDN/>
        <w:bidi w:val="0"/>
        <w:adjustRightInd/>
        <w:snapToGrid/>
        <w:spacing w:line="360" w:lineRule="auto"/>
        <w:ind w:firstLine="54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质量保修期从工程实际竣工验收通过之日算起。分单项竣工验收的工程，按单项工程分别计算质量保修期。</w:t>
      </w:r>
    </w:p>
    <w:p w14:paraId="21ED1794">
      <w:pPr>
        <w:pStyle w:val="30"/>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根据《建设工程质量管理条例》及有关规定，工程的质量保修期如下：</w:t>
      </w:r>
    </w:p>
    <w:p w14:paraId="31E69A9F">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1．地基基础工程和主体结构工程为设计文件规定的工程合理使用年限；</w:t>
      </w:r>
    </w:p>
    <w:p w14:paraId="48BA4736">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2．屋面防水工程、有防水要求的卫生间、房间和外墙面的防渗为</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eastAsia="zh-CN"/>
        </w:rPr>
        <w:t>五</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年；</w:t>
      </w:r>
    </w:p>
    <w:p w14:paraId="2AED1985">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3．装修工程为</w:t>
      </w:r>
      <w:r>
        <w:rPr>
          <w:rFonts w:hint="eastAsia" w:ascii="宋体" w:hAnsi="宋体" w:eastAsia="宋体" w:cs="宋体"/>
          <w:color w:val="auto"/>
          <w:sz w:val="21"/>
          <w:szCs w:val="21"/>
          <w:highlight w:val="none"/>
          <w:u w:val="single"/>
        </w:rPr>
        <w:t xml:space="preserve">  </w:t>
      </w:r>
      <w:r>
        <w:rPr>
          <w:rFonts w:hint="eastAsia"/>
          <w:color w:val="auto"/>
          <w:highlight w:val="none"/>
          <w:u w:val="single"/>
        </w:rPr>
        <w:t>两</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年；</w:t>
      </w:r>
    </w:p>
    <w:p w14:paraId="72AF4741">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4．电气管线、给排水管道、设备安装工程为</w:t>
      </w:r>
      <w:r>
        <w:rPr>
          <w:rFonts w:hint="eastAsia" w:ascii="宋体" w:hAnsi="宋体" w:eastAsia="宋体" w:cs="宋体"/>
          <w:color w:val="auto"/>
          <w:sz w:val="21"/>
          <w:szCs w:val="21"/>
          <w:highlight w:val="none"/>
          <w:u w:val="single"/>
        </w:rPr>
        <w:t xml:space="preserve"> </w:t>
      </w:r>
      <w:r>
        <w:rPr>
          <w:rFonts w:hint="eastAsia"/>
          <w:color w:val="auto"/>
          <w:highlight w:val="none"/>
          <w:u w:val="single"/>
        </w:rPr>
        <w:t>两</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年；</w:t>
      </w:r>
    </w:p>
    <w:p w14:paraId="5FBEB9F5">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5．供热与供冷系统为</w:t>
      </w:r>
      <w:r>
        <w:rPr>
          <w:rFonts w:hint="eastAsia" w:ascii="宋体" w:hAnsi="宋体" w:eastAsia="宋体" w:cs="宋体"/>
          <w:color w:val="auto"/>
          <w:sz w:val="21"/>
          <w:szCs w:val="21"/>
          <w:highlight w:val="none"/>
          <w:u w:val="single"/>
        </w:rPr>
        <w:t xml:space="preserve"> </w:t>
      </w:r>
      <w:r>
        <w:rPr>
          <w:rFonts w:hint="eastAsia"/>
          <w:color w:val="auto"/>
          <w:highlight w:val="none"/>
          <w:u w:val="single"/>
        </w:rPr>
        <w:t>两</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个采暖期、供冷期；</w:t>
      </w:r>
    </w:p>
    <w:p w14:paraId="0D935AF4">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6．住宅小区内的给排水设施、道路等配套工程为</w:t>
      </w:r>
      <w:r>
        <w:rPr>
          <w:rFonts w:hint="eastAsia" w:ascii="宋体" w:hAnsi="宋体" w:eastAsia="宋体" w:cs="宋体"/>
          <w:color w:val="auto"/>
          <w:sz w:val="21"/>
          <w:szCs w:val="21"/>
          <w:highlight w:val="none"/>
          <w:u w:val="single"/>
        </w:rPr>
        <w:t xml:space="preserve"> </w:t>
      </w:r>
      <w:r>
        <w:rPr>
          <w:rFonts w:hint="eastAsia"/>
          <w:color w:val="auto"/>
          <w:highlight w:val="none"/>
          <w:u w:val="single"/>
        </w:rPr>
        <w:t>两</w:t>
      </w:r>
      <w:r>
        <w:rPr>
          <w:rFonts w:hint="eastAsia"/>
          <w:color w:val="auto"/>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年；</w:t>
      </w:r>
    </w:p>
    <w:p w14:paraId="31CE3056">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7．其他项目保修期限约定如下：</w:t>
      </w:r>
      <w:r>
        <w:rPr>
          <w:rFonts w:hint="eastAsia" w:ascii="宋体" w:hAnsi="宋体" w:eastAsia="宋体" w:cs="宋体"/>
          <w:color w:val="auto"/>
          <w:sz w:val="21"/>
          <w:szCs w:val="21"/>
          <w:highlight w:val="none"/>
          <w:u w:val="single"/>
        </w:rPr>
        <w:t xml:space="preserve"> 本工程其余项目质保期均为两年，</w:t>
      </w:r>
      <w:r>
        <w:rPr>
          <w:rFonts w:hint="eastAsia" w:ascii="宋体" w:hAnsi="宋体" w:eastAsia="宋体" w:cs="宋体"/>
          <w:color w:val="auto"/>
          <w:highlight w:val="none"/>
          <w:u w:val="single"/>
        </w:rPr>
        <w:t>质量保修规范如国家有新规定，则按新规定执行</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6AA64534">
      <w:pPr>
        <w:pStyle w:val="3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质量保修期自工程竣工验收合格之日起计算</w:t>
      </w:r>
    </w:p>
    <w:p w14:paraId="46F9FAAA">
      <w:pPr>
        <w:pStyle w:val="38"/>
        <w:spacing w:line="400" w:lineRule="exact"/>
        <w:ind w:firstLine="420" w:firstLineChars="200"/>
        <w:outlineLvl w:val="0"/>
        <w:rPr>
          <w:rFonts w:hint="eastAsia" w:ascii="宋体" w:hAnsi="宋体" w:eastAsia="宋体" w:cs="宋体"/>
          <w:color w:val="auto"/>
          <w:sz w:val="21"/>
          <w:szCs w:val="21"/>
          <w:highlight w:val="none"/>
        </w:rPr>
      </w:pPr>
      <w:bookmarkStart w:id="777" w:name="_Toc17657"/>
      <w:r>
        <w:rPr>
          <w:rFonts w:hint="eastAsia" w:ascii="宋体" w:hAnsi="宋体" w:eastAsia="宋体" w:cs="宋体"/>
          <w:color w:val="auto"/>
          <w:sz w:val="21"/>
          <w:szCs w:val="21"/>
          <w:highlight w:val="none"/>
        </w:rPr>
        <w:t>三、缺陷责任期</w:t>
      </w:r>
      <w:bookmarkEnd w:id="777"/>
    </w:p>
    <w:p w14:paraId="2F1670C4">
      <w:pPr>
        <w:pStyle w:val="3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工程缺陷责任期为</w:t>
      </w:r>
      <w:r>
        <w:rPr>
          <w:rFonts w:hint="eastAsia" w:ascii="宋体" w:hAnsi="宋体" w:eastAsia="宋体" w:cs="宋体"/>
          <w:color w:val="auto"/>
          <w:sz w:val="21"/>
          <w:szCs w:val="21"/>
          <w:highlight w:val="none"/>
          <w:u w:val="single"/>
        </w:rPr>
        <w:t xml:space="preserve"> 24 </w:t>
      </w:r>
      <w:r>
        <w:rPr>
          <w:rFonts w:hint="eastAsia" w:ascii="宋体" w:hAnsi="宋体" w:eastAsia="宋体" w:cs="宋体"/>
          <w:color w:val="auto"/>
          <w:sz w:val="21"/>
          <w:szCs w:val="21"/>
          <w:highlight w:val="none"/>
        </w:rPr>
        <w:t>个月（最长不超过24个月），缺陷责任期自工程竣工验收合格之日起计算。单位工程先于全部工程进行验收，单位工程缺陷责任期自单位工程验收合格之日起算。</w:t>
      </w:r>
    </w:p>
    <w:p w14:paraId="57964F25">
      <w:pPr>
        <w:pStyle w:val="3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缺陷责任期终止后，发包人应退还剩余的质量保证金。</w:t>
      </w:r>
    </w:p>
    <w:p w14:paraId="07172D26">
      <w:pPr>
        <w:pStyle w:val="38"/>
        <w:spacing w:line="400" w:lineRule="exact"/>
        <w:ind w:firstLine="420" w:firstLineChars="200"/>
        <w:outlineLvl w:val="0"/>
        <w:rPr>
          <w:rFonts w:hint="eastAsia" w:ascii="宋体" w:hAnsi="宋体" w:eastAsia="宋体" w:cs="宋体"/>
          <w:color w:val="auto"/>
          <w:sz w:val="21"/>
          <w:szCs w:val="21"/>
          <w:highlight w:val="none"/>
        </w:rPr>
      </w:pPr>
      <w:bookmarkStart w:id="778" w:name="_Toc23338"/>
      <w:r>
        <w:rPr>
          <w:rFonts w:hint="eastAsia" w:ascii="宋体" w:hAnsi="宋体" w:eastAsia="宋体" w:cs="宋体"/>
          <w:color w:val="auto"/>
          <w:sz w:val="21"/>
          <w:szCs w:val="21"/>
          <w:highlight w:val="none"/>
        </w:rPr>
        <w:t>四、质量保修责任</w:t>
      </w:r>
      <w:bookmarkEnd w:id="778"/>
    </w:p>
    <w:p w14:paraId="56130C8A">
      <w:pPr>
        <w:pStyle w:val="3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1．属于保修范围、内容的项目，承包人应当在接到保修通知之日起</w:t>
      </w:r>
      <w:r>
        <w:rPr>
          <w:rFonts w:hint="eastAsia" w:ascii="宋体" w:hAnsi="宋体" w:eastAsia="宋体" w:cs="宋体"/>
          <w:color w:val="auto"/>
          <w:sz w:val="21"/>
          <w:szCs w:val="21"/>
          <w:highlight w:val="none"/>
          <w:u w:val="single"/>
        </w:rPr>
        <w:t xml:space="preserve">  三 </w:t>
      </w:r>
      <w:r>
        <w:rPr>
          <w:rFonts w:hint="eastAsia" w:ascii="宋体" w:hAnsi="宋体" w:eastAsia="宋体" w:cs="宋体"/>
          <w:color w:val="auto"/>
          <w:sz w:val="21"/>
          <w:szCs w:val="21"/>
          <w:highlight w:val="none"/>
        </w:rPr>
        <w:t>天内派人保修。承包人不在约定期限内派人保修的，发包人可以委托他人修理，修理费用从</w:t>
      </w:r>
      <w:r>
        <w:rPr>
          <w:rFonts w:hint="eastAsia" w:ascii="宋体" w:hAnsi="宋体" w:eastAsia="宋体" w:cs="宋体"/>
          <w:color w:val="auto"/>
          <w:sz w:val="21"/>
          <w:szCs w:val="21"/>
          <w:highlight w:val="none"/>
          <w:lang w:eastAsia="zh-CN"/>
        </w:rPr>
        <w:t>质量保证金</w:t>
      </w:r>
      <w:r>
        <w:rPr>
          <w:rFonts w:hint="eastAsia" w:ascii="宋体" w:hAnsi="宋体" w:eastAsia="宋体" w:cs="宋体"/>
          <w:color w:val="auto"/>
          <w:sz w:val="21"/>
          <w:szCs w:val="21"/>
          <w:highlight w:val="none"/>
        </w:rPr>
        <w:t>内扣除。</w:t>
      </w:r>
    </w:p>
    <w:p w14:paraId="04E46CE2">
      <w:pPr>
        <w:pStyle w:val="3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2．发生紧急事故需抢修的，承包人在接到事故通知后，应当立即到达事故现场抢修。</w:t>
      </w:r>
    </w:p>
    <w:p w14:paraId="3B20B6A5">
      <w:pPr>
        <w:pStyle w:val="3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7C90745D">
      <w:pPr>
        <w:pStyle w:val="3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4．质量保修完成后，由发包人组织验收。</w:t>
      </w:r>
    </w:p>
    <w:p w14:paraId="577EFD6C">
      <w:pPr>
        <w:pStyle w:val="38"/>
        <w:spacing w:line="400" w:lineRule="exact"/>
        <w:ind w:firstLine="420" w:firstLineChars="200"/>
        <w:outlineLvl w:val="0"/>
        <w:rPr>
          <w:rFonts w:hint="eastAsia" w:ascii="宋体" w:hAnsi="宋体" w:eastAsia="宋体" w:cs="宋体"/>
          <w:color w:val="auto"/>
          <w:sz w:val="21"/>
          <w:szCs w:val="21"/>
          <w:highlight w:val="none"/>
        </w:rPr>
      </w:pPr>
      <w:bookmarkStart w:id="779" w:name="_Toc30305"/>
      <w:r>
        <w:rPr>
          <w:rFonts w:hint="eastAsia" w:ascii="宋体" w:hAnsi="宋体" w:eastAsia="宋体" w:cs="宋体"/>
          <w:color w:val="auto"/>
          <w:sz w:val="21"/>
          <w:szCs w:val="21"/>
          <w:highlight w:val="none"/>
        </w:rPr>
        <w:t>五、保修费用</w:t>
      </w:r>
      <w:bookmarkEnd w:id="779"/>
    </w:p>
    <w:p w14:paraId="79CF6E68">
      <w:pPr>
        <w:pStyle w:val="30"/>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保修费用由造成质量缺陷的责任方承担。</w:t>
      </w:r>
    </w:p>
    <w:p w14:paraId="7367CD35">
      <w:pPr>
        <w:pStyle w:val="35"/>
        <w:numPr>
          <w:ilvl w:val="0"/>
          <w:numId w:val="0"/>
        </w:numPr>
        <w:spacing w:line="400" w:lineRule="exact"/>
        <w:ind w:firstLine="420" w:firstLineChars="200"/>
        <w:rPr>
          <w:rFonts w:hint="eastAsia" w:ascii="宋体" w:hAnsi="宋体" w:eastAsia="宋体" w:cs="宋体"/>
          <w:color w:val="auto"/>
          <w:sz w:val="21"/>
          <w:szCs w:val="21"/>
          <w:highlight w:val="none"/>
          <w:u w:val="single"/>
        </w:rPr>
      </w:pPr>
      <w:r>
        <w:rPr>
          <w:rFonts w:hint="eastAsia" w:ascii="宋体" w:hAnsi="宋体" w:eastAsia="宋体" w:cs="宋体"/>
          <w:color w:val="auto"/>
          <w:kern w:val="2"/>
          <w:sz w:val="21"/>
          <w:szCs w:val="21"/>
          <w:highlight w:val="none"/>
          <w:lang w:val="en-US" w:eastAsia="zh-CN" w:bidi="ar-SA"/>
        </w:rPr>
        <w:t>六、</w:t>
      </w:r>
      <w:r>
        <w:rPr>
          <w:rFonts w:hint="eastAsia" w:ascii="宋体" w:hAnsi="宋体" w:eastAsia="宋体" w:cs="宋体"/>
          <w:color w:val="auto"/>
          <w:sz w:val="21"/>
          <w:szCs w:val="21"/>
          <w:highlight w:val="none"/>
        </w:rPr>
        <w:t xml:space="preserve">双方约定的其他工程质量保修事项：  </w:t>
      </w:r>
    </w:p>
    <w:p w14:paraId="2CEB225F">
      <w:pPr>
        <w:pStyle w:val="35"/>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1.</w:t>
      </w:r>
      <w:r>
        <w:rPr>
          <w:rFonts w:hint="eastAsia" w:ascii="宋体" w:hAnsi="宋体" w:eastAsia="宋体" w:cs="宋体"/>
          <w:color w:val="auto"/>
          <w:sz w:val="21"/>
          <w:szCs w:val="21"/>
          <w:highlight w:val="none"/>
          <w:u w:val="single"/>
        </w:rPr>
        <w:t>承包人未按照法律法规有关规定和合同约定履行质量保修义务的，发包人有权从质量保证金中扣留用于质量保修的各项支出。</w:t>
      </w:r>
    </w:p>
    <w:p w14:paraId="6E56ACC0">
      <w:pPr>
        <w:pStyle w:val="35"/>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kern w:val="2"/>
          <w:sz w:val="21"/>
          <w:szCs w:val="21"/>
          <w:highlight w:val="none"/>
          <w:lang w:val="en-US" w:eastAsia="zh-CN" w:bidi="ar-SA"/>
        </w:rPr>
        <w:t>2.</w:t>
      </w:r>
      <w:r>
        <w:rPr>
          <w:rFonts w:hint="eastAsia" w:ascii="宋体" w:hAnsi="宋体" w:eastAsia="宋体" w:cs="宋体"/>
          <w:color w:val="auto"/>
          <w:sz w:val="21"/>
          <w:szCs w:val="21"/>
          <w:highlight w:val="none"/>
          <w:u w:val="single"/>
          <w:lang w:eastAsia="zh-CN"/>
        </w:rPr>
        <w:t>质量保证金</w:t>
      </w:r>
      <w:r>
        <w:rPr>
          <w:rFonts w:hint="eastAsia" w:ascii="宋体" w:hAnsi="宋体" w:eastAsia="宋体" w:cs="宋体"/>
          <w:color w:val="auto"/>
          <w:sz w:val="21"/>
          <w:szCs w:val="21"/>
          <w:highlight w:val="none"/>
          <w:u w:val="single"/>
        </w:rPr>
        <w:t>比例：工程结算价的</w:t>
      </w:r>
      <w:r>
        <w:rPr>
          <w:rFonts w:hint="eastAsia" w:ascii="宋体" w:hAnsi="宋体" w:eastAsia="宋体" w:cs="宋体"/>
          <w:color w:val="auto"/>
          <w:sz w:val="21"/>
          <w:szCs w:val="21"/>
          <w:highlight w:val="none"/>
          <w:u w:val="single"/>
          <w:lang w:val="en-US" w:eastAsia="zh-CN"/>
        </w:rPr>
        <w:t>3</w:t>
      </w:r>
      <w:r>
        <w:rPr>
          <w:rFonts w:hint="eastAsia" w:ascii="宋体" w:hAnsi="宋体" w:eastAsia="宋体" w:cs="宋体"/>
          <w:color w:val="auto"/>
          <w:sz w:val="21"/>
          <w:szCs w:val="21"/>
          <w:highlight w:val="none"/>
          <w:u w:val="single"/>
        </w:rPr>
        <w:t>%。</w:t>
      </w:r>
    </w:p>
    <w:p w14:paraId="11478070">
      <w:pPr>
        <w:pStyle w:val="35"/>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2"/>
          <w:sz w:val="21"/>
          <w:szCs w:val="21"/>
          <w:highlight w:val="none"/>
          <w:lang w:val="en-US" w:eastAsia="zh-CN" w:bidi="ar-SA"/>
        </w:rPr>
        <w:t>3.</w:t>
      </w:r>
      <w:r>
        <w:rPr>
          <w:rFonts w:hint="eastAsia" w:ascii="宋体" w:hAnsi="宋体" w:eastAsia="宋体" w:cs="宋体"/>
          <w:color w:val="auto"/>
          <w:sz w:val="21"/>
          <w:szCs w:val="21"/>
          <w:highlight w:val="none"/>
          <w:u w:val="single"/>
          <w:lang w:eastAsia="zh-CN"/>
        </w:rPr>
        <w:t>质量保证金</w:t>
      </w:r>
      <w:r>
        <w:rPr>
          <w:rFonts w:hint="eastAsia" w:ascii="宋体" w:hAnsi="宋体" w:eastAsia="宋体" w:cs="宋体"/>
          <w:color w:val="auto"/>
          <w:sz w:val="21"/>
          <w:szCs w:val="21"/>
          <w:highlight w:val="none"/>
          <w:u w:val="single"/>
        </w:rPr>
        <w:t>返还：发包人在质保期（</w:t>
      </w:r>
      <w:r>
        <w:rPr>
          <w:rFonts w:hint="eastAsia" w:ascii="宋体" w:hAnsi="宋体" w:eastAsia="宋体" w:cs="宋体"/>
          <w:color w:val="auto"/>
          <w:sz w:val="21"/>
          <w:szCs w:val="21"/>
          <w:highlight w:val="none"/>
          <w:u w:val="single"/>
          <w:lang w:val="en-US" w:eastAsia="zh-CN"/>
        </w:rPr>
        <w:t>两年</w:t>
      </w:r>
      <w:r>
        <w:rPr>
          <w:rFonts w:hint="eastAsia" w:ascii="宋体" w:hAnsi="宋体" w:eastAsia="宋体" w:cs="宋体"/>
          <w:color w:val="auto"/>
          <w:sz w:val="21"/>
          <w:szCs w:val="21"/>
          <w:highlight w:val="none"/>
          <w:u w:val="single"/>
        </w:rPr>
        <w:t xml:space="preserve">）满后一个月内将质保金的全部返回给承包人。质量保证金的返还，并不能免除承包人按照合同约定应承担的质量保修责任和应履行的质量保修义务 </w:t>
      </w:r>
      <w:r>
        <w:rPr>
          <w:rFonts w:hint="eastAsia" w:ascii="宋体" w:hAnsi="宋体" w:eastAsia="宋体" w:cs="宋体"/>
          <w:color w:val="auto"/>
          <w:sz w:val="21"/>
          <w:szCs w:val="21"/>
          <w:highlight w:val="none"/>
        </w:rPr>
        <w:t>。</w:t>
      </w:r>
    </w:p>
    <w:p w14:paraId="27A34DD4">
      <w:pPr>
        <w:pStyle w:val="30"/>
        <w:spacing w:line="32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工程质量保修书由发包人、承包人在工程竣工验收前共同签署，作为施工合同附件，其有效期限至保修期满。</w:t>
      </w:r>
    </w:p>
    <w:p w14:paraId="7D6945D7">
      <w:pPr>
        <w:pStyle w:val="30"/>
        <w:spacing w:line="320" w:lineRule="exact"/>
        <w:ind w:firstLine="420" w:firstLineChars="200"/>
        <w:rPr>
          <w:rFonts w:hint="eastAsia" w:ascii="宋体" w:hAnsi="宋体" w:eastAsia="宋体" w:cs="宋体"/>
          <w:color w:val="auto"/>
          <w:sz w:val="21"/>
          <w:szCs w:val="21"/>
          <w:highlight w:val="none"/>
        </w:rPr>
      </w:pPr>
    </w:p>
    <w:p w14:paraId="4901131B">
      <w:pPr>
        <w:pStyle w:val="31"/>
        <w:ind w:left="63" w:right="63"/>
        <w:rPr>
          <w:rFonts w:hint="eastAsia" w:ascii="宋体" w:hAnsi="宋体" w:eastAsia="宋体" w:cs="宋体"/>
          <w:color w:val="auto"/>
          <w:sz w:val="21"/>
          <w:szCs w:val="21"/>
          <w:highlight w:val="none"/>
          <w:lang w:val="en-US" w:eastAsia="zh-CN"/>
        </w:rPr>
      </w:pPr>
    </w:p>
    <w:p w14:paraId="1D635A37">
      <w:pPr>
        <w:pStyle w:val="35"/>
        <w:spacing w:line="320" w:lineRule="exact"/>
        <w:ind w:left="0" w:leftChars="0" w:firstLine="0" w:firstLineChars="0"/>
        <w:rPr>
          <w:rFonts w:hint="eastAsia" w:ascii="宋体" w:hAnsi="宋体" w:eastAsia="宋体" w:cs="宋体"/>
          <w:color w:val="auto"/>
          <w:sz w:val="21"/>
          <w:szCs w:val="21"/>
          <w:highlight w:val="none"/>
          <w:u w:val="single"/>
          <w:lang w:val="en-US" w:eastAsia="zh-CN"/>
        </w:rPr>
      </w:pPr>
      <w:r>
        <w:rPr>
          <w:rFonts w:hint="eastAsia" w:ascii="宋体" w:hAnsi="宋体" w:eastAsia="宋体" w:cs="宋体"/>
          <w:color w:val="auto"/>
          <w:sz w:val="21"/>
          <w:szCs w:val="21"/>
          <w:highlight w:val="none"/>
        </w:rPr>
        <w:t>发包人(公章)：</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none"/>
          <w:lang w:val="en-US" w:eastAsia="zh-CN"/>
        </w:rPr>
        <w:t xml:space="preserve">                </w:t>
      </w:r>
      <w:r>
        <w:rPr>
          <w:rFonts w:hint="eastAsia" w:ascii="宋体" w:hAnsi="宋体" w:eastAsia="宋体" w:cs="宋体"/>
          <w:color w:val="auto"/>
          <w:sz w:val="21"/>
          <w:szCs w:val="21"/>
          <w:highlight w:val="none"/>
        </w:rPr>
        <w:t>承包人(公章)：</w:t>
      </w:r>
      <w:r>
        <w:rPr>
          <w:rFonts w:hint="eastAsia" w:ascii="宋体" w:hAnsi="宋体" w:eastAsia="宋体" w:cs="宋体"/>
          <w:color w:val="auto"/>
          <w:sz w:val="21"/>
          <w:szCs w:val="21"/>
          <w:highlight w:val="none"/>
          <w:u w:val="single"/>
          <w:lang w:val="en-US" w:eastAsia="zh-CN"/>
        </w:rPr>
        <w:t xml:space="preserve">  </w:t>
      </w:r>
    </w:p>
    <w:p w14:paraId="76791F4E">
      <w:pPr>
        <w:pStyle w:val="35"/>
        <w:spacing w:line="320" w:lineRule="exact"/>
        <w:ind w:left="0" w:leftChars="0" w:firstLine="0" w:firstLine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 </w:t>
      </w:r>
    </w:p>
    <w:p w14:paraId="09E0E1DC">
      <w:pPr>
        <w:pStyle w:val="35"/>
        <w:spacing w:line="320" w:lineRule="exact"/>
        <w:ind w:left="0" w:leftChars="0" w:firstLine="0" w:firstLineChars="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地  址：</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rPr>
        <w:t xml:space="preserve"> </w:t>
      </w:r>
      <w:r>
        <w:rPr>
          <w:rFonts w:hint="eastAsia" w:ascii="宋体" w:hAnsi="宋体" w:eastAsia="宋体" w:cs="宋体"/>
          <w:color w:val="auto"/>
          <w:sz w:val="21"/>
          <w:szCs w:val="21"/>
          <w:highlight w:val="none"/>
          <w:lang w:val="en-US" w:eastAsia="zh-CN"/>
        </w:rPr>
        <w:t xml:space="preserve">  </w:t>
      </w:r>
      <w:r>
        <w:rPr>
          <w:rFonts w:hint="eastAsia" w:ascii="宋体" w:hAnsi="宋体" w:eastAsia="宋体" w:cs="宋体"/>
          <w:color w:val="auto"/>
          <w:sz w:val="21"/>
          <w:szCs w:val="21"/>
          <w:highlight w:val="none"/>
        </w:rPr>
        <w:t xml:space="preserve">   </w:t>
      </w:r>
      <w:r>
        <w:rPr>
          <w:rFonts w:hint="eastAsia" w:ascii="宋体" w:hAnsi="宋体" w:eastAsia="宋体" w:cs="宋体"/>
          <w:color w:val="auto"/>
          <w:sz w:val="21"/>
          <w:szCs w:val="21"/>
          <w:highlight w:val="none"/>
          <w:lang w:val="en-US" w:eastAsia="zh-CN"/>
        </w:rPr>
        <w:t xml:space="preserve">          </w:t>
      </w:r>
      <w:r>
        <w:rPr>
          <w:rFonts w:hint="eastAsia" w:ascii="宋体" w:hAnsi="宋体" w:eastAsia="宋体" w:cs="宋体"/>
          <w:color w:val="auto"/>
          <w:sz w:val="21"/>
          <w:szCs w:val="21"/>
          <w:highlight w:val="none"/>
        </w:rPr>
        <w:t>地  址：</w:t>
      </w:r>
      <w:r>
        <w:rPr>
          <w:rFonts w:hint="eastAsia" w:ascii="宋体" w:hAnsi="宋体" w:eastAsia="宋体" w:cs="宋体"/>
          <w:color w:val="auto"/>
          <w:sz w:val="21"/>
          <w:szCs w:val="21"/>
          <w:highlight w:val="none"/>
          <w:u w:val="single"/>
          <w:lang w:val="en-US" w:eastAsia="zh-CN"/>
        </w:rPr>
        <w:t xml:space="preserve"> </w:t>
      </w:r>
    </w:p>
    <w:p w14:paraId="69E97112">
      <w:pPr>
        <w:pStyle w:val="35"/>
        <w:spacing w:line="320" w:lineRule="exact"/>
        <w:ind w:left="0" w:leftChars="0" w:firstLine="0" w:firstLineChars="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法定代表人</w:t>
      </w:r>
      <w:r>
        <w:rPr>
          <w:rFonts w:hint="eastAsia" w:ascii="宋体" w:hAnsi="宋体" w:eastAsia="宋体" w:cs="宋体"/>
          <w:color w:val="auto"/>
          <w:sz w:val="21"/>
          <w:szCs w:val="21"/>
          <w:highlight w:val="none"/>
          <w:lang w:eastAsia="zh-CN"/>
        </w:rPr>
        <w:t>或</w:t>
      </w:r>
      <w:r>
        <w:rPr>
          <w:rFonts w:hint="eastAsia" w:ascii="宋体" w:hAnsi="宋体" w:eastAsia="宋体" w:cs="宋体"/>
          <w:color w:val="auto"/>
          <w:sz w:val="21"/>
          <w:szCs w:val="21"/>
          <w:highlight w:val="none"/>
        </w:rPr>
        <w:t xml:space="preserve">委托代理人    </w:t>
      </w:r>
      <w:r>
        <w:rPr>
          <w:rFonts w:hint="eastAsia" w:ascii="宋体" w:hAnsi="宋体" w:eastAsia="宋体" w:cs="宋体"/>
          <w:color w:val="auto"/>
          <w:sz w:val="21"/>
          <w:szCs w:val="21"/>
          <w:highlight w:val="none"/>
          <w:lang w:val="en-US" w:eastAsia="zh-CN"/>
        </w:rPr>
        <w:t xml:space="preserve">                   </w:t>
      </w:r>
      <w:r>
        <w:rPr>
          <w:rFonts w:hint="eastAsia" w:ascii="宋体" w:hAnsi="宋体" w:eastAsia="宋体" w:cs="宋体"/>
          <w:color w:val="auto"/>
          <w:sz w:val="21"/>
          <w:szCs w:val="21"/>
          <w:highlight w:val="none"/>
        </w:rPr>
        <w:t xml:space="preserve"> 法定代表人</w:t>
      </w:r>
      <w:r>
        <w:rPr>
          <w:rFonts w:hint="eastAsia" w:ascii="宋体" w:hAnsi="宋体" w:eastAsia="宋体" w:cs="宋体"/>
          <w:color w:val="auto"/>
          <w:sz w:val="21"/>
          <w:szCs w:val="21"/>
          <w:highlight w:val="none"/>
          <w:lang w:eastAsia="zh-CN"/>
        </w:rPr>
        <w:t>或</w:t>
      </w:r>
      <w:r>
        <w:rPr>
          <w:rFonts w:hint="eastAsia" w:ascii="宋体" w:hAnsi="宋体" w:eastAsia="宋体" w:cs="宋体"/>
          <w:color w:val="auto"/>
          <w:sz w:val="21"/>
          <w:szCs w:val="21"/>
          <w:highlight w:val="none"/>
        </w:rPr>
        <w:t>委托代理人</w:t>
      </w:r>
    </w:p>
    <w:p w14:paraId="29FA46D2">
      <w:pPr>
        <w:pStyle w:val="35"/>
        <w:spacing w:line="320" w:lineRule="exact"/>
        <w:ind w:left="0" w:leftChars="0" w:firstLine="0" w:firstLineChars="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rPr>
        <w:t>(签字</w:t>
      </w:r>
      <w:r>
        <w:rPr>
          <w:rFonts w:hint="eastAsia" w:ascii="宋体" w:hAnsi="宋体" w:eastAsia="宋体" w:cs="宋体"/>
          <w:color w:val="auto"/>
          <w:sz w:val="21"/>
          <w:szCs w:val="21"/>
          <w:highlight w:val="none"/>
          <w:lang w:eastAsia="zh-CN"/>
        </w:rPr>
        <w:t>或盖章</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 xml:space="preserve">     </w:t>
      </w:r>
      <w:r>
        <w:rPr>
          <w:rFonts w:hint="eastAsia" w:ascii="宋体" w:hAnsi="宋体" w:eastAsia="宋体" w:cs="宋体"/>
          <w:color w:val="auto"/>
          <w:sz w:val="21"/>
          <w:szCs w:val="21"/>
          <w:highlight w:val="none"/>
          <w:lang w:val="en-US" w:eastAsia="zh-CN"/>
        </w:rPr>
        <w:t xml:space="preserve">                </w:t>
      </w:r>
      <w:r>
        <w:rPr>
          <w:rFonts w:hint="eastAsia" w:ascii="宋体" w:hAnsi="宋体" w:eastAsia="宋体" w:cs="宋体"/>
          <w:color w:val="auto"/>
          <w:sz w:val="21"/>
          <w:szCs w:val="21"/>
          <w:highlight w:val="none"/>
        </w:rPr>
        <w:t>(签字</w:t>
      </w:r>
      <w:r>
        <w:rPr>
          <w:rFonts w:hint="eastAsia" w:ascii="宋体" w:hAnsi="宋体" w:eastAsia="宋体" w:cs="宋体"/>
          <w:color w:val="auto"/>
          <w:sz w:val="21"/>
          <w:szCs w:val="21"/>
          <w:highlight w:val="none"/>
          <w:lang w:eastAsia="zh-CN"/>
        </w:rPr>
        <w:t>或盖章</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u w:val="single"/>
          <w:lang w:val="en-US" w:eastAsia="zh-CN"/>
        </w:rPr>
        <w:t xml:space="preserve">   </w:t>
      </w:r>
    </w:p>
    <w:p w14:paraId="731326D2">
      <w:pPr>
        <w:pStyle w:val="35"/>
        <w:spacing w:line="320" w:lineRule="exact"/>
        <w:ind w:left="0" w:leftChars="0" w:firstLine="0" w:firstLine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电  话：</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rPr>
        <w:t xml:space="preserve">     </w:t>
      </w:r>
      <w:r>
        <w:rPr>
          <w:rFonts w:hint="eastAsia" w:ascii="宋体" w:hAnsi="宋体" w:eastAsia="宋体" w:cs="宋体"/>
          <w:color w:val="auto"/>
          <w:sz w:val="21"/>
          <w:szCs w:val="21"/>
          <w:highlight w:val="none"/>
          <w:lang w:val="en-US" w:eastAsia="zh-CN"/>
        </w:rPr>
        <w:t xml:space="preserve">                </w:t>
      </w:r>
      <w:r>
        <w:rPr>
          <w:rFonts w:hint="eastAsia" w:ascii="宋体" w:hAnsi="宋体" w:eastAsia="宋体" w:cs="宋体"/>
          <w:color w:val="auto"/>
          <w:sz w:val="21"/>
          <w:szCs w:val="21"/>
          <w:highlight w:val="none"/>
        </w:rPr>
        <w:t>电  话：</w:t>
      </w:r>
      <w:r>
        <w:rPr>
          <w:rFonts w:hint="eastAsia" w:ascii="宋体" w:hAnsi="宋体" w:eastAsia="宋体" w:cs="宋体"/>
          <w:color w:val="auto"/>
          <w:sz w:val="21"/>
          <w:szCs w:val="21"/>
          <w:highlight w:val="none"/>
          <w:u w:val="single"/>
        </w:rPr>
        <w:t></w:t>
      </w:r>
    </w:p>
    <w:p w14:paraId="594C08ED">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p w14:paraId="4A562B71">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b/>
          <w:color w:val="auto"/>
          <w:sz w:val="21"/>
          <w:szCs w:val="21"/>
          <w:highlight w:val="none"/>
        </w:rPr>
        <w:br w:type="page"/>
      </w:r>
      <w:r>
        <w:rPr>
          <w:rFonts w:hint="eastAsia" w:ascii="宋体" w:hAnsi="宋体" w:eastAsia="宋体" w:cs="宋体"/>
          <w:color w:val="auto"/>
          <w:sz w:val="21"/>
          <w:szCs w:val="21"/>
          <w:highlight w:val="none"/>
        </w:rPr>
        <w:t>附件4：</w:t>
      </w:r>
    </w:p>
    <w:p w14:paraId="0A85D513">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主要建设工程文件目录</w:t>
      </w:r>
    </w:p>
    <w:p w14:paraId="2B6595B6">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bl>
      <w:tblPr>
        <w:tblStyle w:val="18"/>
        <w:tblpPr w:leftFromText="180" w:rightFromText="180" w:vertAnchor="text" w:horzAnchor="page" w:tblpX="1430" w:tblpY="14"/>
        <w:tblOverlap w:val="never"/>
        <w:tblW w:w="8727"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067"/>
        <w:gridCol w:w="1450"/>
        <w:gridCol w:w="1243"/>
        <w:gridCol w:w="1450"/>
        <w:gridCol w:w="1564"/>
      </w:tblGrid>
      <w:tr w14:paraId="7B5045B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1953" w:type="dxa"/>
            <w:tcBorders>
              <w:top w:val="single" w:color="auto" w:sz="12" w:space="0"/>
              <w:bottom w:val="double" w:color="auto" w:sz="6" w:space="0"/>
            </w:tcBorders>
            <w:vAlign w:val="center"/>
          </w:tcPr>
          <w:p w14:paraId="6E9FC57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文件名称</w:t>
            </w:r>
          </w:p>
        </w:tc>
        <w:tc>
          <w:tcPr>
            <w:tcW w:w="1067" w:type="dxa"/>
            <w:tcBorders>
              <w:top w:val="single" w:color="auto" w:sz="12" w:space="0"/>
              <w:bottom w:val="double" w:color="auto" w:sz="6" w:space="0"/>
            </w:tcBorders>
            <w:vAlign w:val="center"/>
          </w:tcPr>
          <w:p w14:paraId="06FCB31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套数</w:t>
            </w:r>
          </w:p>
        </w:tc>
        <w:tc>
          <w:tcPr>
            <w:tcW w:w="1450" w:type="dxa"/>
            <w:tcBorders>
              <w:top w:val="single" w:color="auto" w:sz="12" w:space="0"/>
              <w:bottom w:val="double" w:color="auto" w:sz="6" w:space="0"/>
            </w:tcBorders>
            <w:vAlign w:val="center"/>
          </w:tcPr>
          <w:p w14:paraId="6B1D9B9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费用（元）</w:t>
            </w:r>
          </w:p>
        </w:tc>
        <w:tc>
          <w:tcPr>
            <w:tcW w:w="1243" w:type="dxa"/>
            <w:tcBorders>
              <w:top w:val="single" w:color="auto" w:sz="12" w:space="0"/>
              <w:bottom w:val="double" w:color="auto" w:sz="6" w:space="0"/>
            </w:tcBorders>
            <w:vAlign w:val="center"/>
          </w:tcPr>
          <w:p w14:paraId="125CE4B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质量</w:t>
            </w:r>
          </w:p>
        </w:tc>
        <w:tc>
          <w:tcPr>
            <w:tcW w:w="1450" w:type="dxa"/>
            <w:tcBorders>
              <w:top w:val="single" w:color="auto" w:sz="12" w:space="0"/>
              <w:bottom w:val="double" w:color="auto" w:sz="6" w:space="0"/>
            </w:tcBorders>
            <w:vAlign w:val="top"/>
          </w:tcPr>
          <w:p w14:paraId="35D69405">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移交时间</w:t>
            </w:r>
          </w:p>
        </w:tc>
        <w:tc>
          <w:tcPr>
            <w:tcW w:w="1564" w:type="dxa"/>
            <w:tcBorders>
              <w:top w:val="single" w:color="auto" w:sz="12" w:space="0"/>
              <w:bottom w:val="double" w:color="auto" w:sz="6" w:space="0"/>
            </w:tcBorders>
            <w:vAlign w:val="top"/>
          </w:tcPr>
          <w:p w14:paraId="71876BB3">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责任人</w:t>
            </w:r>
          </w:p>
        </w:tc>
      </w:tr>
      <w:tr w14:paraId="0B7BBF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tcBorders>
              <w:top w:val="double" w:color="auto" w:sz="6" w:space="0"/>
              <w:bottom w:val="single" w:color="auto" w:sz="6" w:space="0"/>
            </w:tcBorders>
            <w:vAlign w:val="center"/>
          </w:tcPr>
          <w:p w14:paraId="2989CC1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67" w:type="dxa"/>
            <w:tcBorders>
              <w:top w:val="double" w:color="auto" w:sz="6" w:space="0"/>
              <w:bottom w:val="single" w:color="auto" w:sz="6" w:space="0"/>
            </w:tcBorders>
            <w:vAlign w:val="center"/>
          </w:tcPr>
          <w:p w14:paraId="3629DD4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tcBorders>
              <w:top w:val="double" w:color="auto" w:sz="6" w:space="0"/>
              <w:bottom w:val="single" w:color="auto" w:sz="6" w:space="0"/>
            </w:tcBorders>
            <w:vAlign w:val="center"/>
          </w:tcPr>
          <w:p w14:paraId="6CE66A4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243" w:type="dxa"/>
            <w:tcBorders>
              <w:top w:val="double" w:color="auto" w:sz="6" w:space="0"/>
              <w:bottom w:val="single" w:color="auto" w:sz="6" w:space="0"/>
            </w:tcBorders>
            <w:vAlign w:val="center"/>
          </w:tcPr>
          <w:p w14:paraId="29D4608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tcBorders>
              <w:top w:val="double" w:color="auto" w:sz="6" w:space="0"/>
              <w:bottom w:val="single" w:color="auto" w:sz="6" w:space="0"/>
            </w:tcBorders>
            <w:vAlign w:val="center"/>
          </w:tcPr>
          <w:p w14:paraId="615A386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4" w:type="dxa"/>
            <w:tcBorders>
              <w:top w:val="double" w:color="auto" w:sz="6" w:space="0"/>
              <w:bottom w:val="single" w:color="auto" w:sz="6" w:space="0"/>
            </w:tcBorders>
            <w:vAlign w:val="center"/>
          </w:tcPr>
          <w:p w14:paraId="2E44C0F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31B559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tcBorders>
              <w:top w:val="nil"/>
            </w:tcBorders>
            <w:vAlign w:val="center"/>
          </w:tcPr>
          <w:p w14:paraId="265417E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67" w:type="dxa"/>
            <w:tcBorders>
              <w:top w:val="nil"/>
            </w:tcBorders>
            <w:vAlign w:val="center"/>
          </w:tcPr>
          <w:p w14:paraId="498E000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tcBorders>
              <w:top w:val="nil"/>
            </w:tcBorders>
            <w:vAlign w:val="center"/>
          </w:tcPr>
          <w:p w14:paraId="71DD6D8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243" w:type="dxa"/>
            <w:tcBorders>
              <w:top w:val="nil"/>
            </w:tcBorders>
            <w:vAlign w:val="center"/>
          </w:tcPr>
          <w:p w14:paraId="49E7F5A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tcBorders>
              <w:top w:val="nil"/>
            </w:tcBorders>
            <w:vAlign w:val="center"/>
          </w:tcPr>
          <w:p w14:paraId="2966F4F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4" w:type="dxa"/>
            <w:tcBorders>
              <w:top w:val="nil"/>
            </w:tcBorders>
            <w:vAlign w:val="center"/>
          </w:tcPr>
          <w:p w14:paraId="1226CF2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7C95BA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center"/>
          </w:tcPr>
          <w:p w14:paraId="025E7A4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67" w:type="dxa"/>
            <w:vAlign w:val="center"/>
          </w:tcPr>
          <w:p w14:paraId="665A3AD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vAlign w:val="center"/>
          </w:tcPr>
          <w:p w14:paraId="5BA3456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243" w:type="dxa"/>
            <w:vAlign w:val="center"/>
          </w:tcPr>
          <w:p w14:paraId="6B0ECB8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vAlign w:val="center"/>
          </w:tcPr>
          <w:p w14:paraId="2049512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4" w:type="dxa"/>
            <w:vAlign w:val="center"/>
          </w:tcPr>
          <w:p w14:paraId="7914614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598F71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center"/>
          </w:tcPr>
          <w:p w14:paraId="563B056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67" w:type="dxa"/>
            <w:vAlign w:val="center"/>
          </w:tcPr>
          <w:p w14:paraId="5F29B75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vAlign w:val="center"/>
          </w:tcPr>
          <w:p w14:paraId="7565A57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243" w:type="dxa"/>
            <w:vAlign w:val="center"/>
          </w:tcPr>
          <w:p w14:paraId="3F857A0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vAlign w:val="center"/>
          </w:tcPr>
          <w:p w14:paraId="4E66E26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4" w:type="dxa"/>
            <w:vAlign w:val="center"/>
          </w:tcPr>
          <w:p w14:paraId="032689A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7F2D51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center"/>
          </w:tcPr>
          <w:p w14:paraId="23D3E07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67" w:type="dxa"/>
            <w:vAlign w:val="center"/>
          </w:tcPr>
          <w:p w14:paraId="5527E61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vAlign w:val="center"/>
          </w:tcPr>
          <w:p w14:paraId="544C79A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243" w:type="dxa"/>
            <w:vAlign w:val="center"/>
          </w:tcPr>
          <w:p w14:paraId="21EC3F7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vAlign w:val="center"/>
          </w:tcPr>
          <w:p w14:paraId="389B160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4" w:type="dxa"/>
            <w:vAlign w:val="center"/>
          </w:tcPr>
          <w:p w14:paraId="2CF56FD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747C44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center"/>
          </w:tcPr>
          <w:p w14:paraId="1191124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67" w:type="dxa"/>
            <w:vAlign w:val="center"/>
          </w:tcPr>
          <w:p w14:paraId="79CBCFB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vAlign w:val="center"/>
          </w:tcPr>
          <w:p w14:paraId="0C24F04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243" w:type="dxa"/>
            <w:vAlign w:val="center"/>
          </w:tcPr>
          <w:p w14:paraId="4FC5221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vAlign w:val="center"/>
          </w:tcPr>
          <w:p w14:paraId="74C9280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4" w:type="dxa"/>
            <w:vAlign w:val="center"/>
          </w:tcPr>
          <w:p w14:paraId="05F5CC3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350B639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center"/>
          </w:tcPr>
          <w:p w14:paraId="61B08A3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67" w:type="dxa"/>
            <w:vAlign w:val="center"/>
          </w:tcPr>
          <w:p w14:paraId="02517BC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vAlign w:val="center"/>
          </w:tcPr>
          <w:p w14:paraId="10C43DC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243" w:type="dxa"/>
            <w:vAlign w:val="center"/>
          </w:tcPr>
          <w:p w14:paraId="2BCA74F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vAlign w:val="center"/>
          </w:tcPr>
          <w:p w14:paraId="73087EA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4" w:type="dxa"/>
            <w:vAlign w:val="center"/>
          </w:tcPr>
          <w:p w14:paraId="46D4F1C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6FA9D3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center"/>
          </w:tcPr>
          <w:p w14:paraId="37ABE0C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67" w:type="dxa"/>
            <w:vAlign w:val="center"/>
          </w:tcPr>
          <w:p w14:paraId="6AAA9B1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vAlign w:val="center"/>
          </w:tcPr>
          <w:p w14:paraId="2C53924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243" w:type="dxa"/>
            <w:vAlign w:val="center"/>
          </w:tcPr>
          <w:p w14:paraId="393044C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vAlign w:val="center"/>
          </w:tcPr>
          <w:p w14:paraId="2CDAFA5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4" w:type="dxa"/>
            <w:vAlign w:val="center"/>
          </w:tcPr>
          <w:p w14:paraId="1A36F87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770BF7B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top"/>
          </w:tcPr>
          <w:p w14:paraId="541BA85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67" w:type="dxa"/>
            <w:vAlign w:val="top"/>
          </w:tcPr>
          <w:p w14:paraId="58150905">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4B59B13E">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243" w:type="dxa"/>
            <w:vAlign w:val="top"/>
          </w:tcPr>
          <w:p w14:paraId="48AC7D1D">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26982C3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564" w:type="dxa"/>
            <w:vAlign w:val="top"/>
          </w:tcPr>
          <w:p w14:paraId="6F3AB77C">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27F408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center"/>
          </w:tcPr>
          <w:p w14:paraId="1D635CB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67" w:type="dxa"/>
            <w:vAlign w:val="center"/>
          </w:tcPr>
          <w:p w14:paraId="64A866B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vAlign w:val="center"/>
          </w:tcPr>
          <w:p w14:paraId="04DF869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243" w:type="dxa"/>
            <w:vAlign w:val="center"/>
          </w:tcPr>
          <w:p w14:paraId="0401227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50" w:type="dxa"/>
            <w:vAlign w:val="center"/>
          </w:tcPr>
          <w:p w14:paraId="184DA81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564" w:type="dxa"/>
            <w:vAlign w:val="center"/>
          </w:tcPr>
          <w:p w14:paraId="6954816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3B2B922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top"/>
          </w:tcPr>
          <w:p w14:paraId="4D34F422">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67" w:type="dxa"/>
            <w:vAlign w:val="top"/>
          </w:tcPr>
          <w:p w14:paraId="223A57BA">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35E62671">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243" w:type="dxa"/>
            <w:vAlign w:val="top"/>
          </w:tcPr>
          <w:p w14:paraId="5942AEF4">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75FA8A4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564" w:type="dxa"/>
            <w:vAlign w:val="top"/>
          </w:tcPr>
          <w:p w14:paraId="2649E25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223104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top"/>
          </w:tcPr>
          <w:p w14:paraId="42387139">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67" w:type="dxa"/>
            <w:vAlign w:val="top"/>
          </w:tcPr>
          <w:p w14:paraId="5C2558D8">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6AD22CF8">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243" w:type="dxa"/>
            <w:vAlign w:val="top"/>
          </w:tcPr>
          <w:p w14:paraId="10CB3B91">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79180A0F">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564" w:type="dxa"/>
            <w:vAlign w:val="top"/>
          </w:tcPr>
          <w:p w14:paraId="2C932A2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1E253A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top"/>
          </w:tcPr>
          <w:p w14:paraId="43089D2D">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67" w:type="dxa"/>
            <w:vAlign w:val="top"/>
          </w:tcPr>
          <w:p w14:paraId="0FB3A2E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6AF11B4C">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243" w:type="dxa"/>
            <w:vAlign w:val="top"/>
          </w:tcPr>
          <w:p w14:paraId="17F929A6">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577BBF2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564" w:type="dxa"/>
            <w:vAlign w:val="top"/>
          </w:tcPr>
          <w:p w14:paraId="10317556">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3273AB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top"/>
          </w:tcPr>
          <w:p w14:paraId="3A2C3366">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67" w:type="dxa"/>
            <w:vAlign w:val="top"/>
          </w:tcPr>
          <w:p w14:paraId="0FBAB6FF">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1B53B4BD">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243" w:type="dxa"/>
            <w:vAlign w:val="top"/>
          </w:tcPr>
          <w:p w14:paraId="21A4420C">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6AB95646">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564" w:type="dxa"/>
            <w:vAlign w:val="top"/>
          </w:tcPr>
          <w:p w14:paraId="16E64504">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53643C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top"/>
          </w:tcPr>
          <w:p w14:paraId="5BD8D0F9">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67" w:type="dxa"/>
            <w:vAlign w:val="top"/>
          </w:tcPr>
          <w:p w14:paraId="7991AE3E">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7002BA38">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243" w:type="dxa"/>
            <w:vAlign w:val="top"/>
          </w:tcPr>
          <w:p w14:paraId="34130928">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647EE91B">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564" w:type="dxa"/>
            <w:vAlign w:val="top"/>
          </w:tcPr>
          <w:p w14:paraId="7CB4ED58">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114F6F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top"/>
          </w:tcPr>
          <w:p w14:paraId="58F964D4">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67" w:type="dxa"/>
            <w:vAlign w:val="top"/>
          </w:tcPr>
          <w:p w14:paraId="7371BB9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2614186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243" w:type="dxa"/>
            <w:vAlign w:val="top"/>
          </w:tcPr>
          <w:p w14:paraId="0709EE55">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3CDE671C">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564" w:type="dxa"/>
            <w:vAlign w:val="top"/>
          </w:tcPr>
          <w:p w14:paraId="2A2C463B">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57BD69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top"/>
          </w:tcPr>
          <w:p w14:paraId="16D4487D">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67" w:type="dxa"/>
            <w:vAlign w:val="top"/>
          </w:tcPr>
          <w:p w14:paraId="1E91C633">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64857655">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243" w:type="dxa"/>
            <w:vAlign w:val="top"/>
          </w:tcPr>
          <w:p w14:paraId="0877ECB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0D8B15CE">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564" w:type="dxa"/>
            <w:vAlign w:val="top"/>
          </w:tcPr>
          <w:p w14:paraId="4571130E">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0A9AD2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top"/>
          </w:tcPr>
          <w:p w14:paraId="40DBD295">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67" w:type="dxa"/>
            <w:vAlign w:val="top"/>
          </w:tcPr>
          <w:p w14:paraId="774CD215">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34264AA2">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243" w:type="dxa"/>
            <w:vAlign w:val="top"/>
          </w:tcPr>
          <w:p w14:paraId="47E23603">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65430358">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564" w:type="dxa"/>
            <w:vAlign w:val="top"/>
          </w:tcPr>
          <w:p w14:paraId="79E07FEA">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16AF552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953" w:type="dxa"/>
            <w:vAlign w:val="top"/>
          </w:tcPr>
          <w:p w14:paraId="5C37A8DD">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67" w:type="dxa"/>
            <w:vAlign w:val="top"/>
          </w:tcPr>
          <w:p w14:paraId="5043C1B1">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39319F36">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243" w:type="dxa"/>
            <w:vAlign w:val="top"/>
          </w:tcPr>
          <w:p w14:paraId="697BACC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50" w:type="dxa"/>
            <w:vAlign w:val="top"/>
          </w:tcPr>
          <w:p w14:paraId="5B9506E2">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564" w:type="dxa"/>
            <w:vAlign w:val="top"/>
          </w:tcPr>
          <w:p w14:paraId="7BEFA398">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bl>
    <w:p w14:paraId="34FA8D54">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br w:type="page"/>
      </w:r>
      <w:r>
        <w:rPr>
          <w:rFonts w:hint="eastAsia" w:ascii="宋体" w:hAnsi="宋体" w:eastAsia="宋体" w:cs="宋体"/>
          <w:color w:val="auto"/>
          <w:sz w:val="21"/>
          <w:szCs w:val="21"/>
          <w:highlight w:val="none"/>
        </w:rPr>
        <w:t>附</w:t>
      </w:r>
      <w:bookmarkStart w:id="780" w:name="_Toc296503227"/>
      <w:bookmarkStart w:id="781" w:name="_Toc296944566"/>
      <w:bookmarkStart w:id="782" w:name="_Toc296346728"/>
      <w:bookmarkStart w:id="783" w:name="_Toc296347226"/>
      <w:bookmarkStart w:id="784" w:name="_Toc296891267"/>
      <w:bookmarkStart w:id="785" w:name="_Toc267261698"/>
      <w:bookmarkStart w:id="786" w:name="_Toc296891055"/>
      <w:r>
        <w:rPr>
          <w:rFonts w:hint="eastAsia" w:ascii="宋体" w:hAnsi="宋体" w:eastAsia="宋体" w:cs="宋体"/>
          <w:color w:val="auto"/>
          <w:sz w:val="21"/>
          <w:szCs w:val="21"/>
          <w:highlight w:val="none"/>
        </w:rPr>
        <w:t>件5：</w:t>
      </w:r>
    </w:p>
    <w:bookmarkEnd w:id="780"/>
    <w:bookmarkEnd w:id="781"/>
    <w:bookmarkEnd w:id="782"/>
    <w:bookmarkEnd w:id="783"/>
    <w:bookmarkEnd w:id="784"/>
    <w:bookmarkEnd w:id="785"/>
    <w:bookmarkEnd w:id="786"/>
    <w:p w14:paraId="26DE92C4">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承包人用于本工程施工的机械设备表</w:t>
      </w:r>
    </w:p>
    <w:tbl>
      <w:tblPr>
        <w:tblStyle w:val="18"/>
        <w:tblW w:w="8509"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629"/>
        <w:gridCol w:w="1418"/>
        <w:gridCol w:w="850"/>
        <w:gridCol w:w="1058"/>
        <w:gridCol w:w="880"/>
        <w:gridCol w:w="806"/>
        <w:gridCol w:w="1310"/>
        <w:gridCol w:w="906"/>
        <w:gridCol w:w="652"/>
      </w:tblGrid>
      <w:tr w14:paraId="28E1E1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629" w:type="dxa"/>
            <w:tcBorders>
              <w:top w:val="single" w:color="auto" w:sz="12" w:space="0"/>
              <w:bottom w:val="double" w:color="auto" w:sz="6" w:space="0"/>
            </w:tcBorders>
            <w:vAlign w:val="center"/>
          </w:tcPr>
          <w:p w14:paraId="6087994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序号</w:t>
            </w:r>
          </w:p>
        </w:tc>
        <w:tc>
          <w:tcPr>
            <w:tcW w:w="1418" w:type="dxa"/>
            <w:tcBorders>
              <w:top w:val="single" w:color="auto" w:sz="12" w:space="0"/>
              <w:bottom w:val="double" w:color="auto" w:sz="6" w:space="0"/>
            </w:tcBorders>
            <w:vAlign w:val="center"/>
          </w:tcPr>
          <w:p w14:paraId="06C10D2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机械或设备名称</w:t>
            </w:r>
          </w:p>
        </w:tc>
        <w:tc>
          <w:tcPr>
            <w:tcW w:w="850" w:type="dxa"/>
            <w:tcBorders>
              <w:top w:val="single" w:color="auto" w:sz="12" w:space="0"/>
              <w:bottom w:val="double" w:color="auto" w:sz="6" w:space="0"/>
            </w:tcBorders>
            <w:vAlign w:val="center"/>
          </w:tcPr>
          <w:p w14:paraId="0934A1C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规格型号</w:t>
            </w:r>
          </w:p>
        </w:tc>
        <w:tc>
          <w:tcPr>
            <w:tcW w:w="1058" w:type="dxa"/>
            <w:tcBorders>
              <w:top w:val="single" w:color="auto" w:sz="12" w:space="0"/>
              <w:bottom w:val="double" w:color="auto" w:sz="6" w:space="0"/>
            </w:tcBorders>
            <w:vAlign w:val="center"/>
          </w:tcPr>
          <w:p w14:paraId="16FA281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数量</w:t>
            </w:r>
          </w:p>
        </w:tc>
        <w:tc>
          <w:tcPr>
            <w:tcW w:w="880" w:type="dxa"/>
            <w:tcBorders>
              <w:top w:val="single" w:color="auto" w:sz="12" w:space="0"/>
              <w:bottom w:val="double" w:color="auto" w:sz="6" w:space="0"/>
            </w:tcBorders>
            <w:vAlign w:val="center"/>
          </w:tcPr>
          <w:p w14:paraId="260A968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产地</w:t>
            </w:r>
          </w:p>
        </w:tc>
        <w:tc>
          <w:tcPr>
            <w:tcW w:w="806" w:type="dxa"/>
            <w:tcBorders>
              <w:top w:val="single" w:color="auto" w:sz="12" w:space="0"/>
              <w:bottom w:val="double" w:color="auto" w:sz="6" w:space="0"/>
            </w:tcBorders>
            <w:vAlign w:val="center"/>
          </w:tcPr>
          <w:p w14:paraId="43FA10D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制造年份</w:t>
            </w:r>
          </w:p>
        </w:tc>
        <w:tc>
          <w:tcPr>
            <w:tcW w:w="1310" w:type="dxa"/>
            <w:tcBorders>
              <w:top w:val="single" w:color="auto" w:sz="12" w:space="0"/>
              <w:bottom w:val="double" w:color="auto" w:sz="6" w:space="0"/>
            </w:tcBorders>
            <w:vAlign w:val="center"/>
          </w:tcPr>
          <w:p w14:paraId="773FD5A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额定功率(kW)</w:t>
            </w:r>
          </w:p>
        </w:tc>
        <w:tc>
          <w:tcPr>
            <w:tcW w:w="906" w:type="dxa"/>
            <w:tcBorders>
              <w:top w:val="single" w:color="auto" w:sz="12" w:space="0"/>
              <w:bottom w:val="double" w:color="auto" w:sz="6" w:space="0"/>
            </w:tcBorders>
            <w:vAlign w:val="center"/>
          </w:tcPr>
          <w:p w14:paraId="4FEA86D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生产能力</w:t>
            </w:r>
          </w:p>
        </w:tc>
        <w:tc>
          <w:tcPr>
            <w:tcW w:w="652" w:type="dxa"/>
            <w:tcBorders>
              <w:top w:val="single" w:color="auto" w:sz="12" w:space="0"/>
              <w:bottom w:val="double" w:color="auto" w:sz="6" w:space="0"/>
            </w:tcBorders>
            <w:vAlign w:val="center"/>
          </w:tcPr>
          <w:p w14:paraId="69242E8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备注</w:t>
            </w:r>
          </w:p>
        </w:tc>
      </w:tr>
      <w:tr w14:paraId="454A1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tcBorders>
              <w:top w:val="double" w:color="auto" w:sz="6" w:space="0"/>
              <w:bottom w:val="single" w:color="auto" w:sz="6" w:space="0"/>
            </w:tcBorders>
            <w:vAlign w:val="center"/>
          </w:tcPr>
          <w:p w14:paraId="3B8762A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8" w:type="dxa"/>
            <w:tcBorders>
              <w:top w:val="double" w:color="auto" w:sz="6" w:space="0"/>
              <w:bottom w:val="single" w:color="auto" w:sz="6" w:space="0"/>
            </w:tcBorders>
            <w:vAlign w:val="center"/>
          </w:tcPr>
          <w:p w14:paraId="04BDE56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tcBorders>
              <w:top w:val="double" w:color="auto" w:sz="6" w:space="0"/>
              <w:bottom w:val="single" w:color="auto" w:sz="6" w:space="0"/>
            </w:tcBorders>
            <w:vAlign w:val="center"/>
          </w:tcPr>
          <w:p w14:paraId="3422D99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58" w:type="dxa"/>
            <w:tcBorders>
              <w:top w:val="double" w:color="auto" w:sz="6" w:space="0"/>
              <w:bottom w:val="single" w:color="auto" w:sz="6" w:space="0"/>
            </w:tcBorders>
            <w:vAlign w:val="center"/>
          </w:tcPr>
          <w:p w14:paraId="650DBC9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80" w:type="dxa"/>
            <w:tcBorders>
              <w:top w:val="double" w:color="auto" w:sz="6" w:space="0"/>
              <w:bottom w:val="single" w:color="auto" w:sz="6" w:space="0"/>
            </w:tcBorders>
            <w:vAlign w:val="center"/>
          </w:tcPr>
          <w:p w14:paraId="58AE439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06" w:type="dxa"/>
            <w:tcBorders>
              <w:top w:val="double" w:color="auto" w:sz="6" w:space="0"/>
              <w:bottom w:val="single" w:color="auto" w:sz="6" w:space="0"/>
            </w:tcBorders>
            <w:vAlign w:val="center"/>
          </w:tcPr>
          <w:p w14:paraId="1BD04E3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310" w:type="dxa"/>
            <w:tcBorders>
              <w:top w:val="double" w:color="auto" w:sz="6" w:space="0"/>
              <w:bottom w:val="single" w:color="auto" w:sz="6" w:space="0"/>
            </w:tcBorders>
            <w:vAlign w:val="center"/>
          </w:tcPr>
          <w:p w14:paraId="74D5DC5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6" w:type="dxa"/>
            <w:tcBorders>
              <w:top w:val="double" w:color="auto" w:sz="6" w:space="0"/>
              <w:bottom w:val="single" w:color="auto" w:sz="6" w:space="0"/>
            </w:tcBorders>
            <w:vAlign w:val="center"/>
          </w:tcPr>
          <w:p w14:paraId="1528413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52" w:type="dxa"/>
            <w:tcBorders>
              <w:top w:val="double" w:color="auto" w:sz="6" w:space="0"/>
              <w:bottom w:val="single" w:color="auto" w:sz="6" w:space="0"/>
            </w:tcBorders>
            <w:vAlign w:val="center"/>
          </w:tcPr>
          <w:p w14:paraId="798C508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471264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tcBorders>
              <w:top w:val="nil"/>
            </w:tcBorders>
            <w:vAlign w:val="center"/>
          </w:tcPr>
          <w:p w14:paraId="49BDA75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8" w:type="dxa"/>
            <w:tcBorders>
              <w:top w:val="nil"/>
            </w:tcBorders>
            <w:vAlign w:val="center"/>
          </w:tcPr>
          <w:p w14:paraId="4169B33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tcBorders>
              <w:top w:val="nil"/>
            </w:tcBorders>
            <w:vAlign w:val="center"/>
          </w:tcPr>
          <w:p w14:paraId="63EFA4D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58" w:type="dxa"/>
            <w:tcBorders>
              <w:top w:val="nil"/>
            </w:tcBorders>
            <w:vAlign w:val="center"/>
          </w:tcPr>
          <w:p w14:paraId="70CA0C6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80" w:type="dxa"/>
            <w:tcBorders>
              <w:top w:val="nil"/>
            </w:tcBorders>
            <w:vAlign w:val="center"/>
          </w:tcPr>
          <w:p w14:paraId="20CB951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06" w:type="dxa"/>
            <w:tcBorders>
              <w:top w:val="nil"/>
            </w:tcBorders>
            <w:vAlign w:val="center"/>
          </w:tcPr>
          <w:p w14:paraId="4E24C8D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310" w:type="dxa"/>
            <w:tcBorders>
              <w:top w:val="nil"/>
            </w:tcBorders>
            <w:vAlign w:val="center"/>
          </w:tcPr>
          <w:p w14:paraId="0F5A9A1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6" w:type="dxa"/>
            <w:tcBorders>
              <w:top w:val="nil"/>
            </w:tcBorders>
            <w:vAlign w:val="center"/>
          </w:tcPr>
          <w:p w14:paraId="180577D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52" w:type="dxa"/>
            <w:tcBorders>
              <w:top w:val="nil"/>
            </w:tcBorders>
            <w:vAlign w:val="center"/>
          </w:tcPr>
          <w:p w14:paraId="40F8537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652DB4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center"/>
          </w:tcPr>
          <w:p w14:paraId="66FA5E3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8" w:type="dxa"/>
            <w:vAlign w:val="center"/>
          </w:tcPr>
          <w:p w14:paraId="37B5D07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vAlign w:val="center"/>
          </w:tcPr>
          <w:p w14:paraId="221ED24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58" w:type="dxa"/>
            <w:vAlign w:val="center"/>
          </w:tcPr>
          <w:p w14:paraId="746AB3A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80" w:type="dxa"/>
            <w:vAlign w:val="center"/>
          </w:tcPr>
          <w:p w14:paraId="1AAEAB6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06" w:type="dxa"/>
            <w:vAlign w:val="center"/>
          </w:tcPr>
          <w:p w14:paraId="2A9BC6D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310" w:type="dxa"/>
            <w:vAlign w:val="center"/>
          </w:tcPr>
          <w:p w14:paraId="083BD78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6" w:type="dxa"/>
            <w:vAlign w:val="center"/>
          </w:tcPr>
          <w:p w14:paraId="7F5A9B4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52" w:type="dxa"/>
            <w:vAlign w:val="center"/>
          </w:tcPr>
          <w:p w14:paraId="48A17E9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63E5D6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center"/>
          </w:tcPr>
          <w:p w14:paraId="7D1E64C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8" w:type="dxa"/>
            <w:vAlign w:val="center"/>
          </w:tcPr>
          <w:p w14:paraId="29ACBB1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vAlign w:val="center"/>
          </w:tcPr>
          <w:p w14:paraId="1B3C971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58" w:type="dxa"/>
            <w:vAlign w:val="center"/>
          </w:tcPr>
          <w:p w14:paraId="6029C6C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80" w:type="dxa"/>
            <w:vAlign w:val="center"/>
          </w:tcPr>
          <w:p w14:paraId="661B593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06" w:type="dxa"/>
            <w:vAlign w:val="center"/>
          </w:tcPr>
          <w:p w14:paraId="3D26448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310" w:type="dxa"/>
            <w:vAlign w:val="center"/>
          </w:tcPr>
          <w:p w14:paraId="146E82A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6" w:type="dxa"/>
            <w:vAlign w:val="center"/>
          </w:tcPr>
          <w:p w14:paraId="0CC52C0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52" w:type="dxa"/>
            <w:vAlign w:val="center"/>
          </w:tcPr>
          <w:p w14:paraId="1FD05E0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077EB0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center"/>
          </w:tcPr>
          <w:p w14:paraId="5DCAF64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8" w:type="dxa"/>
            <w:vAlign w:val="center"/>
          </w:tcPr>
          <w:p w14:paraId="0DF846A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vAlign w:val="center"/>
          </w:tcPr>
          <w:p w14:paraId="0844C00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58" w:type="dxa"/>
            <w:vAlign w:val="center"/>
          </w:tcPr>
          <w:p w14:paraId="711E8C4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80" w:type="dxa"/>
            <w:vAlign w:val="center"/>
          </w:tcPr>
          <w:p w14:paraId="763ECCF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06" w:type="dxa"/>
            <w:vAlign w:val="center"/>
          </w:tcPr>
          <w:p w14:paraId="465AB91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310" w:type="dxa"/>
            <w:vAlign w:val="center"/>
          </w:tcPr>
          <w:p w14:paraId="1A92AA8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6" w:type="dxa"/>
            <w:vAlign w:val="center"/>
          </w:tcPr>
          <w:p w14:paraId="4A58E2D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52" w:type="dxa"/>
            <w:vAlign w:val="center"/>
          </w:tcPr>
          <w:p w14:paraId="777B06E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3DD0D3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center"/>
          </w:tcPr>
          <w:p w14:paraId="47B5291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8" w:type="dxa"/>
            <w:vAlign w:val="center"/>
          </w:tcPr>
          <w:p w14:paraId="7B48CCE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vAlign w:val="center"/>
          </w:tcPr>
          <w:p w14:paraId="0C9C0A6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58" w:type="dxa"/>
            <w:vAlign w:val="center"/>
          </w:tcPr>
          <w:p w14:paraId="5A6964B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80" w:type="dxa"/>
            <w:vAlign w:val="center"/>
          </w:tcPr>
          <w:p w14:paraId="3257E20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06" w:type="dxa"/>
            <w:vAlign w:val="center"/>
          </w:tcPr>
          <w:p w14:paraId="416FD29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310" w:type="dxa"/>
            <w:vAlign w:val="center"/>
          </w:tcPr>
          <w:p w14:paraId="074A637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6" w:type="dxa"/>
            <w:vAlign w:val="center"/>
          </w:tcPr>
          <w:p w14:paraId="5EFE86E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52" w:type="dxa"/>
            <w:vAlign w:val="center"/>
          </w:tcPr>
          <w:p w14:paraId="2E66405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1BBA74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center"/>
          </w:tcPr>
          <w:p w14:paraId="71B5687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8" w:type="dxa"/>
            <w:vAlign w:val="center"/>
          </w:tcPr>
          <w:p w14:paraId="7B7335B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vAlign w:val="center"/>
          </w:tcPr>
          <w:p w14:paraId="6CB0F3F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58" w:type="dxa"/>
            <w:vAlign w:val="center"/>
          </w:tcPr>
          <w:p w14:paraId="130B7A3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80" w:type="dxa"/>
            <w:vAlign w:val="center"/>
          </w:tcPr>
          <w:p w14:paraId="5857D6C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06" w:type="dxa"/>
            <w:vAlign w:val="center"/>
          </w:tcPr>
          <w:p w14:paraId="78B1E24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310" w:type="dxa"/>
            <w:vAlign w:val="center"/>
          </w:tcPr>
          <w:p w14:paraId="3813D83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6" w:type="dxa"/>
            <w:vAlign w:val="center"/>
          </w:tcPr>
          <w:p w14:paraId="1D9B8EC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52" w:type="dxa"/>
            <w:vAlign w:val="center"/>
          </w:tcPr>
          <w:p w14:paraId="1AFE2C3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411CED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center"/>
          </w:tcPr>
          <w:p w14:paraId="4A3A9D0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8" w:type="dxa"/>
            <w:vAlign w:val="center"/>
          </w:tcPr>
          <w:p w14:paraId="2E667CE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vAlign w:val="center"/>
          </w:tcPr>
          <w:p w14:paraId="0B6308C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58" w:type="dxa"/>
            <w:vAlign w:val="center"/>
          </w:tcPr>
          <w:p w14:paraId="66AAA40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80" w:type="dxa"/>
            <w:vAlign w:val="center"/>
          </w:tcPr>
          <w:p w14:paraId="162CB2B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06" w:type="dxa"/>
            <w:vAlign w:val="center"/>
          </w:tcPr>
          <w:p w14:paraId="19AD664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310" w:type="dxa"/>
            <w:vAlign w:val="center"/>
          </w:tcPr>
          <w:p w14:paraId="408BAF7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6" w:type="dxa"/>
            <w:vAlign w:val="center"/>
          </w:tcPr>
          <w:p w14:paraId="08B20A0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52" w:type="dxa"/>
            <w:vAlign w:val="center"/>
          </w:tcPr>
          <w:p w14:paraId="277DC85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0B11E3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top"/>
          </w:tcPr>
          <w:p w14:paraId="3DFB1A1B">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18" w:type="dxa"/>
            <w:vAlign w:val="top"/>
          </w:tcPr>
          <w:p w14:paraId="2DED695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50" w:type="dxa"/>
            <w:vAlign w:val="top"/>
          </w:tcPr>
          <w:p w14:paraId="1D1400E4">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58" w:type="dxa"/>
            <w:vAlign w:val="top"/>
          </w:tcPr>
          <w:p w14:paraId="0D358EB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80" w:type="dxa"/>
            <w:vAlign w:val="top"/>
          </w:tcPr>
          <w:p w14:paraId="15F90D5E">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06" w:type="dxa"/>
            <w:vAlign w:val="top"/>
          </w:tcPr>
          <w:p w14:paraId="7515F485">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310" w:type="dxa"/>
            <w:vAlign w:val="top"/>
          </w:tcPr>
          <w:p w14:paraId="21837FAA">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906" w:type="dxa"/>
            <w:vAlign w:val="top"/>
          </w:tcPr>
          <w:p w14:paraId="38CBCAA1">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652" w:type="dxa"/>
            <w:vAlign w:val="top"/>
          </w:tcPr>
          <w:p w14:paraId="058AF1B1">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38AC1B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center"/>
          </w:tcPr>
          <w:p w14:paraId="44500B4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8" w:type="dxa"/>
            <w:vAlign w:val="center"/>
          </w:tcPr>
          <w:p w14:paraId="30DE138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50" w:type="dxa"/>
            <w:vAlign w:val="center"/>
          </w:tcPr>
          <w:p w14:paraId="5E6FE50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058" w:type="dxa"/>
            <w:vAlign w:val="center"/>
          </w:tcPr>
          <w:p w14:paraId="1160D27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80" w:type="dxa"/>
            <w:vAlign w:val="center"/>
          </w:tcPr>
          <w:p w14:paraId="7B30D12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806" w:type="dxa"/>
            <w:vAlign w:val="center"/>
          </w:tcPr>
          <w:p w14:paraId="0D6F589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310" w:type="dxa"/>
            <w:vAlign w:val="center"/>
          </w:tcPr>
          <w:p w14:paraId="0E62E6C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6" w:type="dxa"/>
            <w:vAlign w:val="center"/>
          </w:tcPr>
          <w:p w14:paraId="548C349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652" w:type="dxa"/>
            <w:vAlign w:val="center"/>
          </w:tcPr>
          <w:p w14:paraId="4C240EA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00EDDD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top"/>
          </w:tcPr>
          <w:p w14:paraId="56F793C1">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18" w:type="dxa"/>
            <w:vAlign w:val="top"/>
          </w:tcPr>
          <w:p w14:paraId="377A7CBC">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50" w:type="dxa"/>
            <w:vAlign w:val="top"/>
          </w:tcPr>
          <w:p w14:paraId="26E1453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58" w:type="dxa"/>
            <w:vAlign w:val="top"/>
          </w:tcPr>
          <w:p w14:paraId="13E59984">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80" w:type="dxa"/>
            <w:vAlign w:val="top"/>
          </w:tcPr>
          <w:p w14:paraId="7C2BD51A">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06" w:type="dxa"/>
            <w:vAlign w:val="top"/>
          </w:tcPr>
          <w:p w14:paraId="5E166CD9">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310" w:type="dxa"/>
            <w:vAlign w:val="top"/>
          </w:tcPr>
          <w:p w14:paraId="105D31A2">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906" w:type="dxa"/>
            <w:vAlign w:val="top"/>
          </w:tcPr>
          <w:p w14:paraId="75296B21">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652" w:type="dxa"/>
            <w:vAlign w:val="top"/>
          </w:tcPr>
          <w:p w14:paraId="5090AAA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4139E76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top"/>
          </w:tcPr>
          <w:p w14:paraId="5C1F1FF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18" w:type="dxa"/>
            <w:vAlign w:val="top"/>
          </w:tcPr>
          <w:p w14:paraId="2140071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50" w:type="dxa"/>
            <w:vAlign w:val="top"/>
          </w:tcPr>
          <w:p w14:paraId="348AEB0F">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58" w:type="dxa"/>
            <w:vAlign w:val="top"/>
          </w:tcPr>
          <w:p w14:paraId="6EA982D4">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80" w:type="dxa"/>
            <w:vAlign w:val="top"/>
          </w:tcPr>
          <w:p w14:paraId="3520435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06" w:type="dxa"/>
            <w:vAlign w:val="top"/>
          </w:tcPr>
          <w:p w14:paraId="19037088">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310" w:type="dxa"/>
            <w:vAlign w:val="top"/>
          </w:tcPr>
          <w:p w14:paraId="2D3EB482">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906" w:type="dxa"/>
            <w:vAlign w:val="top"/>
          </w:tcPr>
          <w:p w14:paraId="3E4BCEAB">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652" w:type="dxa"/>
            <w:vAlign w:val="top"/>
          </w:tcPr>
          <w:p w14:paraId="3D875E51">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5117F53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top"/>
          </w:tcPr>
          <w:p w14:paraId="1BB618A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18" w:type="dxa"/>
            <w:vAlign w:val="top"/>
          </w:tcPr>
          <w:p w14:paraId="003AF3F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50" w:type="dxa"/>
            <w:vAlign w:val="top"/>
          </w:tcPr>
          <w:p w14:paraId="69EC2299">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58" w:type="dxa"/>
            <w:vAlign w:val="top"/>
          </w:tcPr>
          <w:p w14:paraId="00862D8D">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80" w:type="dxa"/>
            <w:vAlign w:val="top"/>
          </w:tcPr>
          <w:p w14:paraId="5466D85A">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06" w:type="dxa"/>
            <w:vAlign w:val="top"/>
          </w:tcPr>
          <w:p w14:paraId="5296C1BD">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310" w:type="dxa"/>
            <w:vAlign w:val="top"/>
          </w:tcPr>
          <w:p w14:paraId="3EC4C605">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906" w:type="dxa"/>
            <w:vAlign w:val="top"/>
          </w:tcPr>
          <w:p w14:paraId="56CC191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652" w:type="dxa"/>
            <w:vAlign w:val="top"/>
          </w:tcPr>
          <w:p w14:paraId="6ACC0F1D">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29DBA0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top"/>
          </w:tcPr>
          <w:p w14:paraId="3D7606DA">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18" w:type="dxa"/>
            <w:vAlign w:val="top"/>
          </w:tcPr>
          <w:p w14:paraId="6E52795F">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50" w:type="dxa"/>
            <w:vAlign w:val="top"/>
          </w:tcPr>
          <w:p w14:paraId="48660DF5">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58" w:type="dxa"/>
            <w:vAlign w:val="top"/>
          </w:tcPr>
          <w:p w14:paraId="4675ECD9">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80" w:type="dxa"/>
            <w:vAlign w:val="top"/>
          </w:tcPr>
          <w:p w14:paraId="12289B9A">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06" w:type="dxa"/>
            <w:vAlign w:val="top"/>
          </w:tcPr>
          <w:p w14:paraId="1E050B6A">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310" w:type="dxa"/>
            <w:vAlign w:val="top"/>
          </w:tcPr>
          <w:p w14:paraId="3673107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906" w:type="dxa"/>
            <w:vAlign w:val="top"/>
          </w:tcPr>
          <w:p w14:paraId="25945E33">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652" w:type="dxa"/>
            <w:vAlign w:val="top"/>
          </w:tcPr>
          <w:p w14:paraId="0CB2E45B">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346963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top"/>
          </w:tcPr>
          <w:p w14:paraId="76BC4F03">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18" w:type="dxa"/>
            <w:vAlign w:val="top"/>
          </w:tcPr>
          <w:p w14:paraId="04A26B7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50" w:type="dxa"/>
            <w:vAlign w:val="top"/>
          </w:tcPr>
          <w:p w14:paraId="203658AA">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58" w:type="dxa"/>
            <w:vAlign w:val="top"/>
          </w:tcPr>
          <w:p w14:paraId="4E2DA334">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80" w:type="dxa"/>
            <w:vAlign w:val="top"/>
          </w:tcPr>
          <w:p w14:paraId="1275C8E5">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06" w:type="dxa"/>
            <w:vAlign w:val="top"/>
          </w:tcPr>
          <w:p w14:paraId="2A0548F9">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310" w:type="dxa"/>
            <w:vAlign w:val="top"/>
          </w:tcPr>
          <w:p w14:paraId="2F352983">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906" w:type="dxa"/>
            <w:vAlign w:val="top"/>
          </w:tcPr>
          <w:p w14:paraId="2DE6F9CC">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652" w:type="dxa"/>
            <w:vAlign w:val="top"/>
          </w:tcPr>
          <w:p w14:paraId="1C59359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63AC6DA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top"/>
          </w:tcPr>
          <w:p w14:paraId="5EE2EF3E">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18" w:type="dxa"/>
            <w:vAlign w:val="top"/>
          </w:tcPr>
          <w:p w14:paraId="32D9D8C1">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50" w:type="dxa"/>
            <w:vAlign w:val="top"/>
          </w:tcPr>
          <w:p w14:paraId="7CDF816B">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58" w:type="dxa"/>
            <w:vAlign w:val="top"/>
          </w:tcPr>
          <w:p w14:paraId="489B28A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80" w:type="dxa"/>
            <w:vAlign w:val="top"/>
          </w:tcPr>
          <w:p w14:paraId="77B9C669">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06" w:type="dxa"/>
            <w:vAlign w:val="top"/>
          </w:tcPr>
          <w:p w14:paraId="7E4CA0E6">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310" w:type="dxa"/>
            <w:vAlign w:val="top"/>
          </w:tcPr>
          <w:p w14:paraId="4E0DD965">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906" w:type="dxa"/>
            <w:vAlign w:val="top"/>
          </w:tcPr>
          <w:p w14:paraId="3E4CB6CC">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652" w:type="dxa"/>
            <w:vAlign w:val="top"/>
          </w:tcPr>
          <w:p w14:paraId="38B218B8">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6D2EF56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top"/>
          </w:tcPr>
          <w:p w14:paraId="6E13F5C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18" w:type="dxa"/>
            <w:vAlign w:val="top"/>
          </w:tcPr>
          <w:p w14:paraId="2881C28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50" w:type="dxa"/>
            <w:vAlign w:val="top"/>
          </w:tcPr>
          <w:p w14:paraId="3321EE8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58" w:type="dxa"/>
            <w:vAlign w:val="top"/>
          </w:tcPr>
          <w:p w14:paraId="0BFBFFD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80" w:type="dxa"/>
            <w:vAlign w:val="top"/>
          </w:tcPr>
          <w:p w14:paraId="186560C3">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06" w:type="dxa"/>
            <w:vAlign w:val="top"/>
          </w:tcPr>
          <w:p w14:paraId="0853466F">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310" w:type="dxa"/>
            <w:vAlign w:val="top"/>
          </w:tcPr>
          <w:p w14:paraId="6AC6A915">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906" w:type="dxa"/>
            <w:vAlign w:val="top"/>
          </w:tcPr>
          <w:p w14:paraId="426AD204">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652" w:type="dxa"/>
            <w:vAlign w:val="top"/>
          </w:tcPr>
          <w:p w14:paraId="3745615B">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01AC90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top"/>
          </w:tcPr>
          <w:p w14:paraId="10DCF6DA">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18" w:type="dxa"/>
            <w:vAlign w:val="top"/>
          </w:tcPr>
          <w:p w14:paraId="4E7C348D">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50" w:type="dxa"/>
            <w:vAlign w:val="top"/>
          </w:tcPr>
          <w:p w14:paraId="6013A806">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58" w:type="dxa"/>
            <w:vAlign w:val="top"/>
          </w:tcPr>
          <w:p w14:paraId="1A4D53D9">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80" w:type="dxa"/>
            <w:vAlign w:val="top"/>
          </w:tcPr>
          <w:p w14:paraId="4998B75B">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06" w:type="dxa"/>
            <w:vAlign w:val="top"/>
          </w:tcPr>
          <w:p w14:paraId="6CD56EC5">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310" w:type="dxa"/>
            <w:vAlign w:val="top"/>
          </w:tcPr>
          <w:p w14:paraId="2A8D0F9A">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906" w:type="dxa"/>
            <w:vAlign w:val="top"/>
          </w:tcPr>
          <w:p w14:paraId="7B68AF56">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652" w:type="dxa"/>
            <w:vAlign w:val="top"/>
          </w:tcPr>
          <w:p w14:paraId="3EF1BC56">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r w14:paraId="692ACE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629" w:type="dxa"/>
            <w:vAlign w:val="top"/>
          </w:tcPr>
          <w:p w14:paraId="74C7320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418" w:type="dxa"/>
            <w:vAlign w:val="top"/>
          </w:tcPr>
          <w:p w14:paraId="0C300355">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50" w:type="dxa"/>
            <w:vAlign w:val="top"/>
          </w:tcPr>
          <w:p w14:paraId="10899DEA">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058" w:type="dxa"/>
            <w:vAlign w:val="top"/>
          </w:tcPr>
          <w:p w14:paraId="79168FC8">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80" w:type="dxa"/>
            <w:vAlign w:val="top"/>
          </w:tcPr>
          <w:p w14:paraId="45EBFE92">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806" w:type="dxa"/>
            <w:vAlign w:val="top"/>
          </w:tcPr>
          <w:p w14:paraId="3D3D7D14">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1310" w:type="dxa"/>
            <w:vAlign w:val="top"/>
          </w:tcPr>
          <w:p w14:paraId="7E964890">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906" w:type="dxa"/>
            <w:vAlign w:val="top"/>
          </w:tcPr>
          <w:p w14:paraId="35759D3E">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c>
          <w:tcPr>
            <w:tcW w:w="652" w:type="dxa"/>
            <w:vAlign w:val="top"/>
          </w:tcPr>
          <w:p w14:paraId="4C87179B">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tc>
      </w:tr>
    </w:tbl>
    <w:p w14:paraId="7C4C7689">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p w14:paraId="4EF8E03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p w14:paraId="7E31699C">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p w14:paraId="5F286C3E">
      <w:pPr>
        <w:pStyle w:val="8"/>
        <w:rPr>
          <w:rFonts w:hint="eastAsia" w:ascii="宋体" w:hAnsi="宋体" w:eastAsia="宋体" w:cs="宋体"/>
          <w:color w:val="auto"/>
          <w:sz w:val="21"/>
          <w:szCs w:val="21"/>
          <w:highlight w:val="none"/>
        </w:rPr>
      </w:pPr>
    </w:p>
    <w:p w14:paraId="7988C94D">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附件6：</w:t>
      </w:r>
    </w:p>
    <w:p w14:paraId="2C067ECE">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承包人主要施工管理人员表</w:t>
      </w:r>
    </w:p>
    <w:tbl>
      <w:tblPr>
        <w:tblStyle w:val="18"/>
        <w:tblW w:w="8754"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148"/>
        <w:gridCol w:w="941"/>
        <w:gridCol w:w="1134"/>
        <w:gridCol w:w="3660"/>
      </w:tblGrid>
      <w:tr w14:paraId="7EB84C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41A3149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名    称</w:t>
            </w:r>
          </w:p>
        </w:tc>
        <w:tc>
          <w:tcPr>
            <w:tcW w:w="1148" w:type="dxa"/>
            <w:tcBorders>
              <w:top w:val="single" w:color="auto" w:sz="12" w:space="0"/>
              <w:bottom w:val="double" w:color="auto" w:sz="6" w:space="0"/>
            </w:tcBorders>
            <w:vAlign w:val="center"/>
          </w:tcPr>
          <w:p w14:paraId="14A3742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姓名</w:t>
            </w:r>
          </w:p>
        </w:tc>
        <w:tc>
          <w:tcPr>
            <w:tcW w:w="941" w:type="dxa"/>
            <w:tcBorders>
              <w:top w:val="single" w:color="auto" w:sz="12" w:space="0"/>
              <w:bottom w:val="double" w:color="auto" w:sz="6" w:space="0"/>
            </w:tcBorders>
            <w:vAlign w:val="center"/>
          </w:tcPr>
          <w:p w14:paraId="694DAA7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职务</w:t>
            </w:r>
          </w:p>
        </w:tc>
        <w:tc>
          <w:tcPr>
            <w:tcW w:w="1134" w:type="dxa"/>
            <w:tcBorders>
              <w:top w:val="single" w:color="auto" w:sz="12" w:space="0"/>
              <w:bottom w:val="double" w:color="auto" w:sz="6" w:space="0"/>
            </w:tcBorders>
            <w:vAlign w:val="center"/>
          </w:tcPr>
          <w:p w14:paraId="492AD20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职称</w:t>
            </w:r>
          </w:p>
        </w:tc>
        <w:tc>
          <w:tcPr>
            <w:tcW w:w="3660" w:type="dxa"/>
            <w:tcBorders>
              <w:top w:val="single" w:color="auto" w:sz="12" w:space="0"/>
              <w:bottom w:val="double" w:color="auto" w:sz="6" w:space="0"/>
            </w:tcBorders>
            <w:vAlign w:val="center"/>
          </w:tcPr>
          <w:p w14:paraId="540311D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主要资历、经验及承担过的项目</w:t>
            </w:r>
          </w:p>
        </w:tc>
      </w:tr>
      <w:tr w14:paraId="62622C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54" w:type="dxa"/>
            <w:gridSpan w:val="5"/>
            <w:tcBorders>
              <w:top w:val="double" w:color="auto" w:sz="6" w:space="0"/>
              <w:bottom w:val="single" w:color="auto" w:sz="6" w:space="0"/>
            </w:tcBorders>
            <w:vAlign w:val="center"/>
          </w:tcPr>
          <w:p w14:paraId="7F777F2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一、总部人员</w:t>
            </w:r>
          </w:p>
        </w:tc>
      </w:tr>
      <w:tr w14:paraId="7B0DDFC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3203D97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项目主管</w:t>
            </w:r>
          </w:p>
        </w:tc>
        <w:tc>
          <w:tcPr>
            <w:tcW w:w="1148" w:type="dxa"/>
            <w:tcBorders>
              <w:top w:val="nil"/>
            </w:tcBorders>
            <w:vAlign w:val="center"/>
          </w:tcPr>
          <w:p w14:paraId="2209E37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tcBorders>
              <w:top w:val="nil"/>
            </w:tcBorders>
            <w:vAlign w:val="center"/>
          </w:tcPr>
          <w:p w14:paraId="02F86D3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tcBorders>
              <w:top w:val="nil"/>
            </w:tcBorders>
            <w:vAlign w:val="center"/>
          </w:tcPr>
          <w:p w14:paraId="463DA8D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tcBorders>
              <w:top w:val="nil"/>
            </w:tcBorders>
            <w:vAlign w:val="center"/>
          </w:tcPr>
          <w:p w14:paraId="6CBE6A6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3C022D6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561E0B7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48" w:type="dxa"/>
            <w:vAlign w:val="center"/>
          </w:tcPr>
          <w:p w14:paraId="5FF8074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vAlign w:val="center"/>
          </w:tcPr>
          <w:p w14:paraId="088DB89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3AB7DBC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vAlign w:val="center"/>
          </w:tcPr>
          <w:p w14:paraId="32E0B5D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443759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379E85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其他人员</w:t>
            </w:r>
          </w:p>
        </w:tc>
        <w:tc>
          <w:tcPr>
            <w:tcW w:w="1148" w:type="dxa"/>
            <w:vAlign w:val="center"/>
          </w:tcPr>
          <w:p w14:paraId="6C76544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vAlign w:val="center"/>
          </w:tcPr>
          <w:p w14:paraId="0BE0849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08039FF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vAlign w:val="center"/>
          </w:tcPr>
          <w:p w14:paraId="7A4588E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13ED53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57942C0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48" w:type="dxa"/>
            <w:vAlign w:val="center"/>
          </w:tcPr>
          <w:p w14:paraId="36A19F0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vAlign w:val="center"/>
          </w:tcPr>
          <w:p w14:paraId="1D480EA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669E554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vAlign w:val="center"/>
          </w:tcPr>
          <w:p w14:paraId="196D6E0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0D2A8E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54" w:type="dxa"/>
            <w:gridSpan w:val="5"/>
            <w:tcBorders>
              <w:top w:val="single" w:color="auto" w:sz="6" w:space="0"/>
              <w:bottom w:val="single" w:color="auto" w:sz="6" w:space="0"/>
            </w:tcBorders>
            <w:vAlign w:val="center"/>
          </w:tcPr>
          <w:p w14:paraId="278FDCB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二、现场人员</w:t>
            </w:r>
          </w:p>
        </w:tc>
      </w:tr>
      <w:tr w14:paraId="0765DB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21221F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项目经理</w:t>
            </w:r>
          </w:p>
        </w:tc>
        <w:tc>
          <w:tcPr>
            <w:tcW w:w="1148" w:type="dxa"/>
            <w:vAlign w:val="center"/>
          </w:tcPr>
          <w:p w14:paraId="5E6D1F0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vAlign w:val="center"/>
          </w:tcPr>
          <w:p w14:paraId="6457826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790F396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vAlign w:val="center"/>
          </w:tcPr>
          <w:p w14:paraId="63814E4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0EF879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891AF3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项目副经理</w:t>
            </w:r>
          </w:p>
        </w:tc>
        <w:tc>
          <w:tcPr>
            <w:tcW w:w="1148" w:type="dxa"/>
            <w:vAlign w:val="center"/>
          </w:tcPr>
          <w:p w14:paraId="72387A7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vAlign w:val="center"/>
          </w:tcPr>
          <w:p w14:paraId="2AA6878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26FC7DA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vAlign w:val="center"/>
          </w:tcPr>
          <w:p w14:paraId="173DE4B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33F060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5CD369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技术负责人</w:t>
            </w:r>
          </w:p>
        </w:tc>
        <w:tc>
          <w:tcPr>
            <w:tcW w:w="1148" w:type="dxa"/>
            <w:vAlign w:val="center"/>
          </w:tcPr>
          <w:p w14:paraId="67EFEBD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vAlign w:val="center"/>
          </w:tcPr>
          <w:p w14:paraId="40B8B72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01C9C84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vAlign w:val="center"/>
          </w:tcPr>
          <w:p w14:paraId="003E259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68053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3B791E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造价管理</w:t>
            </w:r>
          </w:p>
        </w:tc>
        <w:tc>
          <w:tcPr>
            <w:tcW w:w="1148" w:type="dxa"/>
            <w:vAlign w:val="center"/>
          </w:tcPr>
          <w:p w14:paraId="507DF54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vAlign w:val="center"/>
          </w:tcPr>
          <w:p w14:paraId="34DEC2B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59C9BBB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vAlign w:val="center"/>
          </w:tcPr>
          <w:p w14:paraId="6F42776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4AAE21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2B0BA5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质量管理</w:t>
            </w:r>
          </w:p>
        </w:tc>
        <w:tc>
          <w:tcPr>
            <w:tcW w:w="1148" w:type="dxa"/>
            <w:vAlign w:val="center"/>
          </w:tcPr>
          <w:p w14:paraId="430EABB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vAlign w:val="center"/>
          </w:tcPr>
          <w:p w14:paraId="0A6AE4B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1700A22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vAlign w:val="center"/>
          </w:tcPr>
          <w:p w14:paraId="3655618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06B85C1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CDC65A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材料管理</w:t>
            </w:r>
          </w:p>
        </w:tc>
        <w:tc>
          <w:tcPr>
            <w:tcW w:w="1148" w:type="dxa"/>
            <w:vAlign w:val="center"/>
          </w:tcPr>
          <w:p w14:paraId="241A586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vAlign w:val="center"/>
          </w:tcPr>
          <w:p w14:paraId="4643251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171A4C7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vAlign w:val="center"/>
          </w:tcPr>
          <w:p w14:paraId="10067B5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7AA14DB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DA52E2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计划管理</w:t>
            </w:r>
          </w:p>
        </w:tc>
        <w:tc>
          <w:tcPr>
            <w:tcW w:w="1148" w:type="dxa"/>
            <w:vAlign w:val="center"/>
          </w:tcPr>
          <w:p w14:paraId="6991265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vAlign w:val="center"/>
          </w:tcPr>
          <w:p w14:paraId="7BEAB55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6EB7881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vAlign w:val="center"/>
          </w:tcPr>
          <w:p w14:paraId="14FFAF4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3F49D5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B14A54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安全管理</w:t>
            </w:r>
          </w:p>
        </w:tc>
        <w:tc>
          <w:tcPr>
            <w:tcW w:w="1148" w:type="dxa"/>
            <w:vAlign w:val="center"/>
          </w:tcPr>
          <w:p w14:paraId="28E3988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vAlign w:val="center"/>
          </w:tcPr>
          <w:p w14:paraId="345198D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06EA968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vAlign w:val="center"/>
          </w:tcPr>
          <w:p w14:paraId="2E4F1E7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26B504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0453D88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其他人员</w:t>
            </w:r>
          </w:p>
        </w:tc>
        <w:tc>
          <w:tcPr>
            <w:tcW w:w="1148" w:type="dxa"/>
            <w:vAlign w:val="center"/>
          </w:tcPr>
          <w:p w14:paraId="779257F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vAlign w:val="center"/>
          </w:tcPr>
          <w:p w14:paraId="643FD0B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72473F3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vAlign w:val="center"/>
          </w:tcPr>
          <w:p w14:paraId="33A8386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6904C25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C73CB8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48" w:type="dxa"/>
            <w:tcBorders>
              <w:bottom w:val="nil"/>
            </w:tcBorders>
            <w:vAlign w:val="center"/>
          </w:tcPr>
          <w:p w14:paraId="2F94F9C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tcBorders>
              <w:bottom w:val="nil"/>
            </w:tcBorders>
            <w:vAlign w:val="center"/>
          </w:tcPr>
          <w:p w14:paraId="60F21B3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tcBorders>
              <w:bottom w:val="nil"/>
            </w:tcBorders>
            <w:vAlign w:val="center"/>
          </w:tcPr>
          <w:p w14:paraId="6477773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tcBorders>
              <w:bottom w:val="nil"/>
            </w:tcBorders>
            <w:vAlign w:val="center"/>
          </w:tcPr>
          <w:p w14:paraId="5291899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2972D3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8F5601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48" w:type="dxa"/>
            <w:vAlign w:val="center"/>
          </w:tcPr>
          <w:p w14:paraId="199790D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vAlign w:val="center"/>
          </w:tcPr>
          <w:p w14:paraId="4D37D8D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3233907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vAlign w:val="center"/>
          </w:tcPr>
          <w:p w14:paraId="5D5ED12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22994A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F28008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48" w:type="dxa"/>
            <w:vAlign w:val="center"/>
          </w:tcPr>
          <w:p w14:paraId="2381D56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vAlign w:val="center"/>
          </w:tcPr>
          <w:p w14:paraId="38773C5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7598218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vAlign w:val="center"/>
          </w:tcPr>
          <w:p w14:paraId="0A48284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1A0F34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866BFE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48" w:type="dxa"/>
            <w:vAlign w:val="center"/>
          </w:tcPr>
          <w:p w14:paraId="6D6062D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vAlign w:val="center"/>
          </w:tcPr>
          <w:p w14:paraId="2C1E5EC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vAlign w:val="center"/>
          </w:tcPr>
          <w:p w14:paraId="273F79B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vAlign w:val="center"/>
          </w:tcPr>
          <w:p w14:paraId="17EB683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2A0F70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39CBF2F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48" w:type="dxa"/>
            <w:tcBorders>
              <w:bottom w:val="single" w:color="auto" w:sz="12" w:space="0"/>
            </w:tcBorders>
            <w:vAlign w:val="center"/>
          </w:tcPr>
          <w:p w14:paraId="71FBCB5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41" w:type="dxa"/>
            <w:tcBorders>
              <w:bottom w:val="single" w:color="auto" w:sz="12" w:space="0"/>
            </w:tcBorders>
            <w:vAlign w:val="center"/>
          </w:tcPr>
          <w:p w14:paraId="4EC1588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134" w:type="dxa"/>
            <w:tcBorders>
              <w:bottom w:val="single" w:color="auto" w:sz="12" w:space="0"/>
            </w:tcBorders>
            <w:vAlign w:val="center"/>
          </w:tcPr>
          <w:p w14:paraId="70F9E9D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660" w:type="dxa"/>
            <w:tcBorders>
              <w:bottom w:val="single" w:color="auto" w:sz="12" w:space="0"/>
            </w:tcBorders>
            <w:vAlign w:val="center"/>
          </w:tcPr>
          <w:p w14:paraId="27615FC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bl>
    <w:p w14:paraId="12EC2424">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br w:type="page"/>
      </w:r>
      <w:r>
        <w:rPr>
          <w:rFonts w:hint="eastAsia" w:ascii="宋体" w:hAnsi="宋体" w:eastAsia="宋体" w:cs="宋体"/>
          <w:color w:val="auto"/>
          <w:sz w:val="21"/>
          <w:szCs w:val="21"/>
          <w:highlight w:val="none"/>
        </w:rPr>
        <w:t>附件7：</w:t>
      </w:r>
    </w:p>
    <w:p w14:paraId="4B6652C7">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分包人主要施工管理人员表</w:t>
      </w:r>
    </w:p>
    <w:tbl>
      <w:tblPr>
        <w:tblStyle w:val="18"/>
        <w:tblW w:w="862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563"/>
        <w:gridCol w:w="1418"/>
        <w:gridCol w:w="928"/>
        <w:gridCol w:w="902"/>
        <w:gridCol w:w="3814"/>
      </w:tblGrid>
      <w:tr w14:paraId="4E7FAC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tcBorders>
              <w:top w:val="single" w:color="auto" w:sz="12" w:space="0"/>
              <w:bottom w:val="double" w:color="auto" w:sz="6" w:space="0"/>
            </w:tcBorders>
            <w:vAlign w:val="center"/>
          </w:tcPr>
          <w:p w14:paraId="13AA8B2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名    称</w:t>
            </w:r>
          </w:p>
        </w:tc>
        <w:tc>
          <w:tcPr>
            <w:tcW w:w="1418" w:type="dxa"/>
            <w:tcBorders>
              <w:top w:val="single" w:color="auto" w:sz="12" w:space="0"/>
              <w:bottom w:val="double" w:color="auto" w:sz="6" w:space="0"/>
            </w:tcBorders>
            <w:vAlign w:val="center"/>
          </w:tcPr>
          <w:p w14:paraId="002C336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姓名</w:t>
            </w:r>
          </w:p>
        </w:tc>
        <w:tc>
          <w:tcPr>
            <w:tcW w:w="928" w:type="dxa"/>
            <w:tcBorders>
              <w:top w:val="single" w:color="auto" w:sz="12" w:space="0"/>
              <w:bottom w:val="double" w:color="auto" w:sz="6" w:space="0"/>
            </w:tcBorders>
            <w:vAlign w:val="center"/>
          </w:tcPr>
          <w:p w14:paraId="44FC392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职务</w:t>
            </w:r>
          </w:p>
        </w:tc>
        <w:tc>
          <w:tcPr>
            <w:tcW w:w="902" w:type="dxa"/>
            <w:tcBorders>
              <w:top w:val="single" w:color="auto" w:sz="12" w:space="0"/>
              <w:bottom w:val="double" w:color="auto" w:sz="6" w:space="0"/>
            </w:tcBorders>
            <w:vAlign w:val="center"/>
          </w:tcPr>
          <w:p w14:paraId="7E765F0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职称</w:t>
            </w:r>
          </w:p>
        </w:tc>
        <w:tc>
          <w:tcPr>
            <w:tcW w:w="3814" w:type="dxa"/>
            <w:tcBorders>
              <w:top w:val="single" w:color="auto" w:sz="12" w:space="0"/>
              <w:bottom w:val="double" w:color="auto" w:sz="6" w:space="0"/>
            </w:tcBorders>
            <w:vAlign w:val="center"/>
          </w:tcPr>
          <w:p w14:paraId="11E59AB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主要资历、经验及承担过的项目</w:t>
            </w:r>
          </w:p>
        </w:tc>
      </w:tr>
      <w:tr w14:paraId="3588CC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625" w:type="dxa"/>
            <w:gridSpan w:val="5"/>
            <w:tcBorders>
              <w:top w:val="double" w:color="auto" w:sz="6" w:space="0"/>
              <w:bottom w:val="single" w:color="auto" w:sz="6" w:space="0"/>
            </w:tcBorders>
            <w:vAlign w:val="center"/>
          </w:tcPr>
          <w:p w14:paraId="4871356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一、总部人员</w:t>
            </w:r>
          </w:p>
        </w:tc>
      </w:tr>
      <w:tr w14:paraId="3CE237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tcBorders>
              <w:top w:val="nil"/>
              <w:bottom w:val="nil"/>
            </w:tcBorders>
            <w:vAlign w:val="center"/>
          </w:tcPr>
          <w:p w14:paraId="181B715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项目主管</w:t>
            </w:r>
          </w:p>
        </w:tc>
        <w:tc>
          <w:tcPr>
            <w:tcW w:w="1418" w:type="dxa"/>
            <w:tcBorders>
              <w:top w:val="nil"/>
            </w:tcBorders>
            <w:vAlign w:val="center"/>
          </w:tcPr>
          <w:p w14:paraId="7B22AB9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tcBorders>
              <w:top w:val="nil"/>
            </w:tcBorders>
            <w:vAlign w:val="center"/>
          </w:tcPr>
          <w:p w14:paraId="547F698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tcBorders>
              <w:top w:val="nil"/>
            </w:tcBorders>
            <w:vAlign w:val="center"/>
          </w:tcPr>
          <w:p w14:paraId="44794E2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tcBorders>
              <w:top w:val="nil"/>
            </w:tcBorders>
            <w:vAlign w:val="center"/>
          </w:tcPr>
          <w:p w14:paraId="140BB23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414DC3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tcBorders>
              <w:top w:val="single" w:color="auto" w:sz="6" w:space="0"/>
              <w:bottom w:val="nil"/>
            </w:tcBorders>
            <w:vAlign w:val="center"/>
          </w:tcPr>
          <w:p w14:paraId="338D35A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8" w:type="dxa"/>
            <w:vAlign w:val="center"/>
          </w:tcPr>
          <w:p w14:paraId="5FCF6C9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vAlign w:val="center"/>
          </w:tcPr>
          <w:p w14:paraId="59B8D12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vAlign w:val="center"/>
          </w:tcPr>
          <w:p w14:paraId="5B1DB89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vAlign w:val="center"/>
          </w:tcPr>
          <w:p w14:paraId="41EC4BB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2241B0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tcBorders>
              <w:top w:val="nil"/>
              <w:bottom w:val="nil"/>
            </w:tcBorders>
            <w:vAlign w:val="center"/>
          </w:tcPr>
          <w:p w14:paraId="3BFD61E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其他人员</w:t>
            </w:r>
          </w:p>
        </w:tc>
        <w:tc>
          <w:tcPr>
            <w:tcW w:w="1418" w:type="dxa"/>
            <w:vAlign w:val="center"/>
          </w:tcPr>
          <w:p w14:paraId="7EDBF4F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vAlign w:val="center"/>
          </w:tcPr>
          <w:p w14:paraId="1ED488C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vAlign w:val="center"/>
          </w:tcPr>
          <w:p w14:paraId="0B9E495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vAlign w:val="center"/>
          </w:tcPr>
          <w:p w14:paraId="6C29526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5B244E7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tcBorders>
              <w:top w:val="nil"/>
              <w:bottom w:val="nil"/>
            </w:tcBorders>
            <w:vAlign w:val="center"/>
          </w:tcPr>
          <w:p w14:paraId="68A36BB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8" w:type="dxa"/>
            <w:vAlign w:val="center"/>
          </w:tcPr>
          <w:p w14:paraId="3E888F6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vAlign w:val="center"/>
          </w:tcPr>
          <w:p w14:paraId="3B6A9D0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vAlign w:val="center"/>
          </w:tcPr>
          <w:p w14:paraId="0806025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vAlign w:val="center"/>
          </w:tcPr>
          <w:p w14:paraId="31C2154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1ECEB9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625" w:type="dxa"/>
            <w:gridSpan w:val="5"/>
            <w:tcBorders>
              <w:top w:val="single" w:color="auto" w:sz="6" w:space="0"/>
              <w:bottom w:val="single" w:color="auto" w:sz="6" w:space="0"/>
            </w:tcBorders>
            <w:vAlign w:val="center"/>
          </w:tcPr>
          <w:p w14:paraId="7503D43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二、现场人员</w:t>
            </w:r>
          </w:p>
        </w:tc>
      </w:tr>
      <w:tr w14:paraId="5EF5FC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tcBorders>
              <w:top w:val="single" w:color="auto" w:sz="6" w:space="0"/>
              <w:bottom w:val="single" w:color="auto" w:sz="6" w:space="0"/>
            </w:tcBorders>
            <w:vAlign w:val="center"/>
          </w:tcPr>
          <w:p w14:paraId="38FF3AF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项目经理</w:t>
            </w:r>
          </w:p>
        </w:tc>
        <w:tc>
          <w:tcPr>
            <w:tcW w:w="1418" w:type="dxa"/>
            <w:vAlign w:val="center"/>
          </w:tcPr>
          <w:p w14:paraId="60E5209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vAlign w:val="center"/>
          </w:tcPr>
          <w:p w14:paraId="13E4ADF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vAlign w:val="center"/>
          </w:tcPr>
          <w:p w14:paraId="0205FAA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vAlign w:val="center"/>
          </w:tcPr>
          <w:p w14:paraId="594E1BA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28DE77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tcBorders>
              <w:top w:val="single" w:color="auto" w:sz="6" w:space="0"/>
              <w:bottom w:val="single" w:color="auto" w:sz="6" w:space="0"/>
            </w:tcBorders>
            <w:vAlign w:val="center"/>
          </w:tcPr>
          <w:p w14:paraId="43FEB3B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项目副经理</w:t>
            </w:r>
          </w:p>
        </w:tc>
        <w:tc>
          <w:tcPr>
            <w:tcW w:w="1418" w:type="dxa"/>
            <w:vAlign w:val="center"/>
          </w:tcPr>
          <w:p w14:paraId="40C9F69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vAlign w:val="center"/>
          </w:tcPr>
          <w:p w14:paraId="2705DB8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vAlign w:val="center"/>
          </w:tcPr>
          <w:p w14:paraId="3F8C12A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vAlign w:val="center"/>
          </w:tcPr>
          <w:p w14:paraId="0ED9BF9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70C8EF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tcBorders>
              <w:top w:val="single" w:color="auto" w:sz="6" w:space="0"/>
              <w:bottom w:val="single" w:color="auto" w:sz="6" w:space="0"/>
            </w:tcBorders>
            <w:vAlign w:val="center"/>
          </w:tcPr>
          <w:p w14:paraId="220296D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技术负责人</w:t>
            </w:r>
          </w:p>
        </w:tc>
        <w:tc>
          <w:tcPr>
            <w:tcW w:w="1418" w:type="dxa"/>
            <w:vAlign w:val="center"/>
          </w:tcPr>
          <w:p w14:paraId="599EFC4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vAlign w:val="center"/>
          </w:tcPr>
          <w:p w14:paraId="10AE2AB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vAlign w:val="center"/>
          </w:tcPr>
          <w:p w14:paraId="484048F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vAlign w:val="center"/>
          </w:tcPr>
          <w:p w14:paraId="3A4C11D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23699DA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tcBorders>
              <w:top w:val="single" w:color="auto" w:sz="6" w:space="0"/>
              <w:bottom w:val="single" w:color="auto" w:sz="6" w:space="0"/>
            </w:tcBorders>
            <w:vAlign w:val="center"/>
          </w:tcPr>
          <w:p w14:paraId="3F6AEED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造价管理</w:t>
            </w:r>
          </w:p>
        </w:tc>
        <w:tc>
          <w:tcPr>
            <w:tcW w:w="1418" w:type="dxa"/>
            <w:vAlign w:val="center"/>
          </w:tcPr>
          <w:p w14:paraId="4AC7D5E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vAlign w:val="center"/>
          </w:tcPr>
          <w:p w14:paraId="36F9A9F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vAlign w:val="center"/>
          </w:tcPr>
          <w:p w14:paraId="6C26BDA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vAlign w:val="center"/>
          </w:tcPr>
          <w:p w14:paraId="4594CD2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778F7F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tcBorders>
              <w:top w:val="single" w:color="auto" w:sz="6" w:space="0"/>
              <w:bottom w:val="single" w:color="auto" w:sz="6" w:space="0"/>
            </w:tcBorders>
            <w:vAlign w:val="center"/>
          </w:tcPr>
          <w:p w14:paraId="76E6D64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质量管理</w:t>
            </w:r>
          </w:p>
        </w:tc>
        <w:tc>
          <w:tcPr>
            <w:tcW w:w="1418" w:type="dxa"/>
            <w:vAlign w:val="center"/>
          </w:tcPr>
          <w:p w14:paraId="3E23DA4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vAlign w:val="center"/>
          </w:tcPr>
          <w:p w14:paraId="508FC8D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vAlign w:val="center"/>
          </w:tcPr>
          <w:p w14:paraId="7F60FA5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vAlign w:val="center"/>
          </w:tcPr>
          <w:p w14:paraId="36303A1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1EE421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tcBorders>
              <w:top w:val="single" w:color="auto" w:sz="6" w:space="0"/>
              <w:bottom w:val="single" w:color="auto" w:sz="6" w:space="0"/>
            </w:tcBorders>
            <w:vAlign w:val="center"/>
          </w:tcPr>
          <w:p w14:paraId="12E27CA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材料管理</w:t>
            </w:r>
          </w:p>
        </w:tc>
        <w:tc>
          <w:tcPr>
            <w:tcW w:w="1418" w:type="dxa"/>
            <w:vAlign w:val="center"/>
          </w:tcPr>
          <w:p w14:paraId="1A71598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vAlign w:val="center"/>
          </w:tcPr>
          <w:p w14:paraId="5957D34C">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vAlign w:val="center"/>
          </w:tcPr>
          <w:p w14:paraId="13FD7F0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vAlign w:val="center"/>
          </w:tcPr>
          <w:p w14:paraId="41666AA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37F225B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tcBorders>
              <w:top w:val="single" w:color="auto" w:sz="6" w:space="0"/>
              <w:bottom w:val="single" w:color="auto" w:sz="6" w:space="0"/>
            </w:tcBorders>
            <w:vAlign w:val="center"/>
          </w:tcPr>
          <w:p w14:paraId="732F820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计划管理</w:t>
            </w:r>
          </w:p>
        </w:tc>
        <w:tc>
          <w:tcPr>
            <w:tcW w:w="1418" w:type="dxa"/>
            <w:vAlign w:val="center"/>
          </w:tcPr>
          <w:p w14:paraId="706112C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vAlign w:val="center"/>
          </w:tcPr>
          <w:p w14:paraId="2400FF0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vAlign w:val="center"/>
          </w:tcPr>
          <w:p w14:paraId="4FB6DA50">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vAlign w:val="center"/>
          </w:tcPr>
          <w:p w14:paraId="0FC1410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12B3648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tcBorders>
              <w:top w:val="single" w:color="auto" w:sz="6" w:space="0"/>
              <w:bottom w:val="single" w:color="auto" w:sz="6" w:space="0"/>
            </w:tcBorders>
            <w:vAlign w:val="center"/>
          </w:tcPr>
          <w:p w14:paraId="16382D3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安全管理</w:t>
            </w:r>
          </w:p>
        </w:tc>
        <w:tc>
          <w:tcPr>
            <w:tcW w:w="1418" w:type="dxa"/>
            <w:vAlign w:val="center"/>
          </w:tcPr>
          <w:p w14:paraId="7F16AAC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vAlign w:val="center"/>
          </w:tcPr>
          <w:p w14:paraId="3BD775C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vAlign w:val="center"/>
          </w:tcPr>
          <w:p w14:paraId="2B55117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vAlign w:val="center"/>
          </w:tcPr>
          <w:p w14:paraId="15E32F0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645415C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vMerge w:val="restart"/>
            <w:tcBorders>
              <w:top w:val="single" w:color="auto" w:sz="6" w:space="0"/>
            </w:tcBorders>
            <w:vAlign w:val="center"/>
          </w:tcPr>
          <w:p w14:paraId="0154A6D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其他人员</w:t>
            </w:r>
          </w:p>
        </w:tc>
        <w:tc>
          <w:tcPr>
            <w:tcW w:w="1418" w:type="dxa"/>
            <w:vAlign w:val="center"/>
          </w:tcPr>
          <w:p w14:paraId="7DF5B00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vAlign w:val="center"/>
          </w:tcPr>
          <w:p w14:paraId="3C312F7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vAlign w:val="center"/>
          </w:tcPr>
          <w:p w14:paraId="24CB519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vAlign w:val="center"/>
          </w:tcPr>
          <w:p w14:paraId="60490B4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7E105D3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vMerge w:val="continue"/>
            <w:vAlign w:val="center"/>
          </w:tcPr>
          <w:p w14:paraId="77B90B9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8" w:type="dxa"/>
            <w:tcBorders>
              <w:bottom w:val="nil"/>
            </w:tcBorders>
            <w:vAlign w:val="center"/>
          </w:tcPr>
          <w:p w14:paraId="6A0DAE0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tcBorders>
              <w:bottom w:val="nil"/>
            </w:tcBorders>
            <w:vAlign w:val="center"/>
          </w:tcPr>
          <w:p w14:paraId="5DAEFEB4">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tcBorders>
              <w:bottom w:val="nil"/>
            </w:tcBorders>
            <w:vAlign w:val="center"/>
          </w:tcPr>
          <w:p w14:paraId="68F1D2F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tcBorders>
              <w:bottom w:val="nil"/>
            </w:tcBorders>
            <w:vAlign w:val="center"/>
          </w:tcPr>
          <w:p w14:paraId="7B67D20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028686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vMerge w:val="continue"/>
            <w:vAlign w:val="center"/>
          </w:tcPr>
          <w:p w14:paraId="7A5F1A01">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8" w:type="dxa"/>
            <w:vAlign w:val="center"/>
          </w:tcPr>
          <w:p w14:paraId="34F54A5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vAlign w:val="center"/>
          </w:tcPr>
          <w:p w14:paraId="2282FA3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vAlign w:val="center"/>
          </w:tcPr>
          <w:p w14:paraId="62A0554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vAlign w:val="center"/>
          </w:tcPr>
          <w:p w14:paraId="4DB54D65">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60BB78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vMerge w:val="continue"/>
            <w:vAlign w:val="center"/>
          </w:tcPr>
          <w:p w14:paraId="05E26D5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8" w:type="dxa"/>
            <w:vAlign w:val="center"/>
          </w:tcPr>
          <w:p w14:paraId="0DCE6C9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vAlign w:val="center"/>
          </w:tcPr>
          <w:p w14:paraId="67DCE3A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vAlign w:val="center"/>
          </w:tcPr>
          <w:p w14:paraId="5D2547E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vAlign w:val="center"/>
          </w:tcPr>
          <w:p w14:paraId="0845075E">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3925F0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vMerge w:val="continue"/>
            <w:vAlign w:val="center"/>
          </w:tcPr>
          <w:p w14:paraId="1EC1F237">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8" w:type="dxa"/>
            <w:vAlign w:val="center"/>
          </w:tcPr>
          <w:p w14:paraId="114CF663">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vAlign w:val="center"/>
          </w:tcPr>
          <w:p w14:paraId="44037388">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vAlign w:val="center"/>
          </w:tcPr>
          <w:p w14:paraId="63CE67FD">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vAlign w:val="center"/>
          </w:tcPr>
          <w:p w14:paraId="7FDBD83F">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r w14:paraId="799A4E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563" w:type="dxa"/>
            <w:vMerge w:val="continue"/>
            <w:tcBorders>
              <w:bottom w:val="single" w:color="auto" w:sz="12" w:space="0"/>
            </w:tcBorders>
            <w:vAlign w:val="center"/>
          </w:tcPr>
          <w:p w14:paraId="7A86B322">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1418" w:type="dxa"/>
            <w:tcBorders>
              <w:bottom w:val="single" w:color="auto" w:sz="12" w:space="0"/>
            </w:tcBorders>
            <w:vAlign w:val="center"/>
          </w:tcPr>
          <w:p w14:paraId="05BF155B">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28" w:type="dxa"/>
            <w:tcBorders>
              <w:bottom w:val="single" w:color="auto" w:sz="12" w:space="0"/>
            </w:tcBorders>
            <w:vAlign w:val="center"/>
          </w:tcPr>
          <w:p w14:paraId="7545D1F9">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902" w:type="dxa"/>
            <w:tcBorders>
              <w:bottom w:val="single" w:color="auto" w:sz="12" w:space="0"/>
            </w:tcBorders>
            <w:vAlign w:val="center"/>
          </w:tcPr>
          <w:p w14:paraId="47492776">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c>
          <w:tcPr>
            <w:tcW w:w="3814" w:type="dxa"/>
            <w:tcBorders>
              <w:bottom w:val="single" w:color="auto" w:sz="12" w:space="0"/>
            </w:tcBorders>
            <w:vAlign w:val="center"/>
          </w:tcPr>
          <w:p w14:paraId="28DC281A">
            <w:pPr>
              <w:pStyle w:val="8"/>
              <w:keepNext/>
              <w:pageBreakBefore w:val="0"/>
              <w:widowControl w:val="0"/>
              <w:kinsoku/>
              <w:wordWrap/>
              <w:overflowPunct/>
              <w:topLinePunct w:val="0"/>
              <w:bidi w:val="0"/>
              <w:snapToGrid/>
              <w:spacing w:after="0" w:line="360" w:lineRule="exact"/>
              <w:ind w:left="0" w:leftChars="0" w:right="0" w:rightChars="0"/>
              <w:rPr>
                <w:rFonts w:hint="eastAsia" w:ascii="宋体" w:hAnsi="宋体" w:eastAsia="宋体" w:cs="宋体"/>
                <w:color w:val="auto"/>
                <w:kern w:val="2"/>
                <w:sz w:val="21"/>
                <w:szCs w:val="21"/>
                <w:highlight w:val="none"/>
                <w:lang w:val="en-US" w:eastAsia="zh-CN"/>
              </w:rPr>
            </w:pPr>
          </w:p>
        </w:tc>
      </w:tr>
    </w:tbl>
    <w:p w14:paraId="440162CE">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br w:type="page"/>
      </w:r>
      <w:r>
        <w:rPr>
          <w:rFonts w:hint="eastAsia" w:ascii="宋体" w:hAnsi="宋体" w:eastAsia="宋体" w:cs="宋体"/>
          <w:color w:val="auto"/>
          <w:sz w:val="21"/>
          <w:szCs w:val="21"/>
          <w:highlight w:val="none"/>
        </w:rPr>
        <w:t>附件8：</w:t>
      </w:r>
    </w:p>
    <w:p w14:paraId="01462233">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履约担保</w:t>
      </w:r>
    </w:p>
    <w:p w14:paraId="7E0248D3">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rPr>
        <w:t>（发包人名称）：</w:t>
      </w:r>
    </w:p>
    <w:p w14:paraId="50623A8A">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p w14:paraId="31F86779">
      <w:pPr>
        <w:pageBreakBefore w:val="0"/>
        <w:widowControl w:val="0"/>
        <w:kinsoku/>
        <w:wordWrap/>
        <w:overflowPunct/>
        <w:topLinePunct w:val="0"/>
        <w:bidi w:val="0"/>
        <w:snapToGrid/>
        <w:spacing w:line="360" w:lineRule="exact"/>
        <w:ind w:left="0" w:leftChars="0" w:right="0" w:rightChars="0"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鉴于</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（发包人名称，以下简称“发包人”）与</w:t>
      </w:r>
    </w:p>
    <w:p w14:paraId="15CC22FE">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（承包人名称）（以下称“承包人”）于</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年</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月</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日就</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 xml:space="preserve">（工程名称）施工及有关事项协商一致共同签订《建设工程施工合同》。我方愿意无条件地、不可撤销地就承包人履行与你方签订的合同，向你方提供连带责任担保。 </w:t>
      </w:r>
    </w:p>
    <w:p w14:paraId="3C69410D">
      <w:pPr>
        <w:pageBreakBefore w:val="0"/>
        <w:widowControl w:val="0"/>
        <w:kinsoku/>
        <w:wordWrap/>
        <w:overflowPunct/>
        <w:topLinePunct w:val="0"/>
        <w:bidi w:val="0"/>
        <w:snapToGrid/>
        <w:spacing w:line="360" w:lineRule="exact"/>
        <w:ind w:left="0" w:leftChars="0" w:right="0" w:rightChars="0"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 担保金额人民币（大写）</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元（¥</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0035838C">
      <w:pPr>
        <w:pageBreakBefore w:val="0"/>
        <w:widowControl w:val="0"/>
        <w:kinsoku/>
        <w:wordWrap/>
        <w:overflowPunct/>
        <w:topLinePunct w:val="0"/>
        <w:bidi w:val="0"/>
        <w:snapToGrid/>
        <w:spacing w:line="360" w:lineRule="exact"/>
        <w:ind w:left="0" w:leftChars="0" w:right="0" w:rightChars="0"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 担保有效期自你方与承包人签订的合同生效之日起至你方签发或应签发工程接收证书之日止。</w:t>
      </w:r>
    </w:p>
    <w:p w14:paraId="78EC06CC">
      <w:pPr>
        <w:pageBreakBefore w:val="0"/>
        <w:widowControl w:val="0"/>
        <w:kinsoku/>
        <w:wordWrap/>
        <w:overflowPunct/>
        <w:topLinePunct w:val="0"/>
        <w:bidi w:val="0"/>
        <w:snapToGrid/>
        <w:spacing w:line="360" w:lineRule="exact"/>
        <w:ind w:left="0" w:leftChars="0" w:right="0" w:rightChars="0"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 在本担保有效期内，因承包人违反合同约定的义务给你方造成经济损失时，我方在收到你方以书面形式提出的在担保金额内的赔偿要求后，在7天内无条件支付。</w:t>
      </w:r>
    </w:p>
    <w:p w14:paraId="053120C1">
      <w:pPr>
        <w:pageBreakBefore w:val="0"/>
        <w:widowControl w:val="0"/>
        <w:kinsoku/>
        <w:wordWrap/>
        <w:overflowPunct/>
        <w:topLinePunct w:val="0"/>
        <w:bidi w:val="0"/>
        <w:snapToGrid/>
        <w:spacing w:line="360" w:lineRule="exact"/>
        <w:ind w:left="0" w:leftChars="0" w:right="0" w:rightChars="0"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 你方和承包人按合同约定变更合同时，我方承担本担保规定的义务不变。</w:t>
      </w:r>
    </w:p>
    <w:p w14:paraId="0BC05E36">
      <w:pPr>
        <w:pageBreakBefore w:val="0"/>
        <w:widowControl w:val="0"/>
        <w:kinsoku/>
        <w:wordWrap/>
        <w:overflowPunct/>
        <w:topLinePunct w:val="0"/>
        <w:bidi w:val="0"/>
        <w:snapToGrid/>
        <w:spacing w:line="360" w:lineRule="exact"/>
        <w:ind w:left="0" w:leftChars="0" w:right="0" w:rightChars="0"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 因本保函发生的纠纷，可由双方协商解决，协商不成的，任何一方均可提请</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仲裁委员会仲裁。</w:t>
      </w:r>
    </w:p>
    <w:p w14:paraId="2FB6BBD5">
      <w:pPr>
        <w:pageBreakBefore w:val="0"/>
        <w:widowControl w:val="0"/>
        <w:kinsoku/>
        <w:wordWrap/>
        <w:overflowPunct/>
        <w:topLinePunct w:val="0"/>
        <w:bidi w:val="0"/>
        <w:snapToGrid/>
        <w:spacing w:line="360" w:lineRule="exact"/>
        <w:ind w:left="0" w:leftChars="0" w:right="0" w:rightChars="0"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6. 本保函自我方法定代表人（或其授权代理人）签字并加盖公章之日起生效。</w:t>
      </w:r>
    </w:p>
    <w:p w14:paraId="50AE2F29">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p w14:paraId="08E75E3C">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担 保 人：</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（盖单位章）</w:t>
      </w:r>
    </w:p>
    <w:p w14:paraId="39E360F3">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法定代表人或其委托代理人：</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（签字）</w:t>
      </w:r>
    </w:p>
    <w:p w14:paraId="13858BCA">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地    址：</w:t>
      </w:r>
      <w:r>
        <w:rPr>
          <w:rFonts w:hint="eastAsia" w:ascii="宋体" w:hAnsi="宋体" w:eastAsia="宋体" w:cs="宋体"/>
          <w:color w:val="auto"/>
          <w:sz w:val="21"/>
          <w:szCs w:val="21"/>
          <w:highlight w:val="none"/>
          <w:u w:val="single"/>
        </w:rPr>
        <w:t xml:space="preserve">                                      </w:t>
      </w:r>
    </w:p>
    <w:p w14:paraId="1847D88C">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邮政编码：</w:t>
      </w:r>
      <w:r>
        <w:rPr>
          <w:rFonts w:hint="eastAsia" w:ascii="宋体" w:hAnsi="宋体" w:eastAsia="宋体" w:cs="宋体"/>
          <w:color w:val="auto"/>
          <w:sz w:val="21"/>
          <w:szCs w:val="21"/>
          <w:highlight w:val="none"/>
          <w:u w:val="single"/>
        </w:rPr>
        <w:t xml:space="preserve">                                      </w:t>
      </w:r>
    </w:p>
    <w:p w14:paraId="2F833C3B">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电    话：</w:t>
      </w:r>
      <w:r>
        <w:rPr>
          <w:rFonts w:hint="eastAsia" w:ascii="宋体" w:hAnsi="宋体" w:eastAsia="宋体" w:cs="宋体"/>
          <w:color w:val="auto"/>
          <w:sz w:val="21"/>
          <w:szCs w:val="21"/>
          <w:highlight w:val="none"/>
          <w:u w:val="single"/>
        </w:rPr>
        <w:t xml:space="preserve">                                      </w:t>
      </w:r>
    </w:p>
    <w:p w14:paraId="74B9F4D8">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传    真：</w:t>
      </w:r>
      <w:r>
        <w:rPr>
          <w:rFonts w:hint="eastAsia" w:ascii="宋体" w:hAnsi="宋体" w:eastAsia="宋体" w:cs="宋体"/>
          <w:color w:val="auto"/>
          <w:sz w:val="21"/>
          <w:szCs w:val="21"/>
          <w:highlight w:val="none"/>
          <w:u w:val="single"/>
        </w:rPr>
        <w:t xml:space="preserve">                                      </w:t>
      </w:r>
    </w:p>
    <w:p w14:paraId="0B528761">
      <w:pPr>
        <w:pageBreakBefore w:val="0"/>
        <w:widowControl w:val="0"/>
        <w:kinsoku/>
        <w:wordWrap/>
        <w:overflowPunct/>
        <w:topLinePunct w:val="0"/>
        <w:bidi w:val="0"/>
        <w:snapToGrid/>
        <w:spacing w:line="360" w:lineRule="exact"/>
        <w:ind w:left="0" w:leftChars="0" w:right="0" w:rightChars="0"/>
        <w:jc w:val="left"/>
        <w:rPr>
          <w:rFonts w:hint="eastAsia" w:ascii="宋体" w:hAnsi="宋体" w:eastAsia="宋体" w:cs="宋体"/>
          <w:color w:val="auto"/>
          <w:sz w:val="21"/>
          <w:szCs w:val="21"/>
          <w:highlight w:val="none"/>
          <w:u w:val="single"/>
        </w:rPr>
      </w:pPr>
    </w:p>
    <w:p w14:paraId="4EB56ABF">
      <w:pPr>
        <w:pageBreakBefore w:val="0"/>
        <w:widowControl w:val="0"/>
        <w:kinsoku/>
        <w:wordWrap/>
        <w:overflowPunct/>
        <w:topLinePunct w:val="0"/>
        <w:bidi w:val="0"/>
        <w:snapToGrid/>
        <w:spacing w:line="360" w:lineRule="exact"/>
        <w:ind w:left="1329" w:leftChars="0" w:right="0" w:rightChars="0" w:hanging="1329" w:hangingChars="633"/>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年</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月</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日</w:t>
      </w:r>
    </w:p>
    <w:p w14:paraId="371ACD9D">
      <w:pPr>
        <w:pageBreakBefore w:val="0"/>
        <w:widowControl w:val="0"/>
        <w:kinsoku/>
        <w:wordWrap/>
        <w:overflowPunct/>
        <w:topLinePunct w:val="0"/>
        <w:bidi w:val="0"/>
        <w:snapToGrid/>
        <w:spacing w:line="360" w:lineRule="exact"/>
        <w:ind w:left="1329" w:leftChars="0" w:right="0" w:rightChars="0" w:hanging="1329" w:hangingChars="633"/>
        <w:rPr>
          <w:rFonts w:hint="eastAsia" w:ascii="宋体" w:hAnsi="宋体" w:eastAsia="宋体" w:cs="宋体"/>
          <w:color w:val="auto"/>
          <w:sz w:val="21"/>
          <w:szCs w:val="21"/>
          <w:highlight w:val="none"/>
        </w:rPr>
      </w:pPr>
    </w:p>
    <w:p w14:paraId="59D04BD7">
      <w:pPr>
        <w:pageBreakBefore w:val="0"/>
        <w:widowControl w:val="0"/>
        <w:kinsoku/>
        <w:wordWrap/>
        <w:overflowPunct/>
        <w:topLinePunct w:val="0"/>
        <w:bidi w:val="0"/>
        <w:snapToGrid/>
        <w:spacing w:line="360" w:lineRule="exact"/>
        <w:ind w:left="1329" w:leftChars="0" w:right="0" w:rightChars="0" w:hanging="1329" w:hangingChars="633"/>
        <w:rPr>
          <w:rFonts w:hint="eastAsia" w:ascii="宋体" w:hAnsi="宋体" w:eastAsia="宋体" w:cs="宋体"/>
          <w:color w:val="auto"/>
          <w:sz w:val="21"/>
          <w:szCs w:val="21"/>
          <w:highlight w:val="none"/>
        </w:rPr>
      </w:pPr>
    </w:p>
    <w:p w14:paraId="77F110A2">
      <w:pPr>
        <w:pageBreakBefore w:val="0"/>
        <w:widowControl w:val="0"/>
        <w:kinsoku/>
        <w:wordWrap/>
        <w:overflowPunct/>
        <w:topLinePunct w:val="0"/>
        <w:bidi w:val="0"/>
        <w:snapToGrid/>
        <w:spacing w:line="360" w:lineRule="exact"/>
        <w:ind w:left="1329" w:leftChars="0" w:right="0" w:rightChars="0" w:hanging="1329" w:hangingChars="633"/>
        <w:rPr>
          <w:rFonts w:hint="eastAsia" w:ascii="宋体" w:hAnsi="宋体" w:eastAsia="宋体" w:cs="宋体"/>
          <w:color w:val="auto"/>
          <w:sz w:val="21"/>
          <w:szCs w:val="21"/>
          <w:highlight w:val="none"/>
        </w:rPr>
      </w:pPr>
    </w:p>
    <w:p w14:paraId="6448383E">
      <w:pPr>
        <w:pageBreakBefore w:val="0"/>
        <w:widowControl w:val="0"/>
        <w:kinsoku/>
        <w:wordWrap/>
        <w:overflowPunct/>
        <w:topLinePunct w:val="0"/>
        <w:bidi w:val="0"/>
        <w:snapToGrid/>
        <w:spacing w:line="360" w:lineRule="exact"/>
        <w:ind w:left="1329" w:leftChars="0" w:right="0" w:rightChars="0" w:hanging="1329" w:hangingChars="633"/>
        <w:rPr>
          <w:rFonts w:hint="eastAsia" w:ascii="宋体" w:hAnsi="宋体" w:eastAsia="宋体" w:cs="宋体"/>
          <w:color w:val="auto"/>
          <w:sz w:val="21"/>
          <w:szCs w:val="21"/>
          <w:highlight w:val="none"/>
        </w:rPr>
      </w:pPr>
    </w:p>
    <w:p w14:paraId="17561074">
      <w:pPr>
        <w:pageBreakBefore w:val="0"/>
        <w:widowControl w:val="0"/>
        <w:kinsoku/>
        <w:wordWrap/>
        <w:overflowPunct/>
        <w:topLinePunct w:val="0"/>
        <w:bidi w:val="0"/>
        <w:snapToGrid/>
        <w:spacing w:line="360" w:lineRule="exact"/>
        <w:ind w:left="1329" w:leftChars="0" w:right="0" w:rightChars="0" w:hanging="1329" w:hangingChars="633"/>
        <w:rPr>
          <w:rFonts w:hint="eastAsia" w:ascii="宋体" w:hAnsi="宋体" w:eastAsia="宋体" w:cs="宋体"/>
          <w:color w:val="auto"/>
          <w:sz w:val="21"/>
          <w:szCs w:val="21"/>
          <w:highlight w:val="none"/>
        </w:rPr>
      </w:pPr>
    </w:p>
    <w:p w14:paraId="5BCFCD8A">
      <w:pPr>
        <w:pageBreakBefore w:val="0"/>
        <w:widowControl w:val="0"/>
        <w:kinsoku/>
        <w:wordWrap/>
        <w:overflowPunct/>
        <w:topLinePunct w:val="0"/>
        <w:bidi w:val="0"/>
        <w:snapToGrid/>
        <w:spacing w:line="360" w:lineRule="exact"/>
        <w:ind w:left="1329" w:leftChars="0" w:right="0" w:rightChars="0" w:hanging="1329" w:hangingChars="633"/>
        <w:rPr>
          <w:rFonts w:hint="eastAsia" w:ascii="宋体" w:hAnsi="宋体" w:eastAsia="宋体" w:cs="宋体"/>
          <w:color w:val="auto"/>
          <w:sz w:val="21"/>
          <w:szCs w:val="21"/>
          <w:highlight w:val="none"/>
        </w:rPr>
      </w:pPr>
    </w:p>
    <w:p w14:paraId="128C1F1A">
      <w:pPr>
        <w:pageBreakBefore w:val="0"/>
        <w:widowControl w:val="0"/>
        <w:kinsoku/>
        <w:wordWrap/>
        <w:overflowPunct/>
        <w:topLinePunct w:val="0"/>
        <w:bidi w:val="0"/>
        <w:snapToGrid/>
        <w:spacing w:line="360" w:lineRule="exact"/>
        <w:ind w:left="1329" w:leftChars="0" w:right="0" w:rightChars="0" w:hanging="1329" w:hangingChars="633"/>
        <w:rPr>
          <w:rFonts w:hint="eastAsia" w:ascii="宋体" w:hAnsi="宋体" w:eastAsia="宋体" w:cs="宋体"/>
          <w:color w:val="auto"/>
          <w:sz w:val="21"/>
          <w:szCs w:val="21"/>
          <w:highlight w:val="none"/>
        </w:rPr>
      </w:pPr>
    </w:p>
    <w:p w14:paraId="58B1F471">
      <w:pPr>
        <w:pageBreakBefore w:val="0"/>
        <w:widowControl w:val="0"/>
        <w:kinsoku/>
        <w:wordWrap/>
        <w:overflowPunct/>
        <w:topLinePunct w:val="0"/>
        <w:bidi w:val="0"/>
        <w:snapToGrid/>
        <w:spacing w:line="360" w:lineRule="exact"/>
        <w:ind w:left="1329" w:leftChars="0" w:right="0" w:rightChars="0" w:hanging="1329" w:hangingChars="633"/>
        <w:rPr>
          <w:rFonts w:hint="eastAsia" w:ascii="宋体" w:hAnsi="宋体" w:eastAsia="宋体" w:cs="宋体"/>
          <w:color w:val="auto"/>
          <w:sz w:val="21"/>
          <w:szCs w:val="21"/>
          <w:highlight w:val="none"/>
        </w:rPr>
      </w:pPr>
    </w:p>
    <w:p w14:paraId="6DD7AEC9">
      <w:pPr>
        <w:pageBreakBefore w:val="0"/>
        <w:widowControl w:val="0"/>
        <w:kinsoku/>
        <w:wordWrap/>
        <w:overflowPunct/>
        <w:topLinePunct w:val="0"/>
        <w:bidi w:val="0"/>
        <w:snapToGrid/>
        <w:spacing w:line="360" w:lineRule="exact"/>
        <w:ind w:left="1329" w:leftChars="0" w:right="0" w:rightChars="0" w:hanging="1329" w:hangingChars="633"/>
        <w:rPr>
          <w:rFonts w:hint="eastAsia" w:ascii="宋体" w:hAnsi="宋体" w:eastAsia="宋体" w:cs="宋体"/>
          <w:color w:val="auto"/>
          <w:sz w:val="21"/>
          <w:szCs w:val="21"/>
          <w:highlight w:val="none"/>
        </w:rPr>
      </w:pPr>
    </w:p>
    <w:p w14:paraId="1A91EF62">
      <w:pPr>
        <w:pageBreakBefore w:val="0"/>
        <w:widowControl w:val="0"/>
        <w:kinsoku/>
        <w:wordWrap/>
        <w:overflowPunct/>
        <w:topLinePunct w:val="0"/>
        <w:bidi w:val="0"/>
        <w:snapToGrid/>
        <w:spacing w:line="360" w:lineRule="exact"/>
        <w:ind w:left="1329" w:leftChars="0" w:right="0" w:rightChars="0" w:hanging="1329" w:hangingChars="633"/>
        <w:rPr>
          <w:rFonts w:hint="eastAsia" w:ascii="宋体" w:hAnsi="宋体" w:eastAsia="宋体" w:cs="宋体"/>
          <w:color w:val="auto"/>
          <w:sz w:val="21"/>
          <w:szCs w:val="21"/>
          <w:highlight w:val="none"/>
        </w:rPr>
      </w:pPr>
    </w:p>
    <w:p w14:paraId="39C54B1B">
      <w:pPr>
        <w:pStyle w:val="8"/>
        <w:rPr>
          <w:rFonts w:hint="eastAsia" w:ascii="宋体" w:hAnsi="宋体" w:eastAsia="宋体" w:cs="宋体"/>
          <w:color w:val="auto"/>
          <w:sz w:val="21"/>
          <w:szCs w:val="21"/>
          <w:highlight w:val="none"/>
        </w:rPr>
      </w:pPr>
    </w:p>
    <w:p w14:paraId="3F6C8273">
      <w:pPr>
        <w:pStyle w:val="8"/>
        <w:rPr>
          <w:rFonts w:hint="eastAsia" w:ascii="宋体" w:hAnsi="宋体" w:eastAsia="宋体" w:cs="宋体"/>
          <w:color w:val="auto"/>
          <w:sz w:val="21"/>
          <w:szCs w:val="21"/>
          <w:highlight w:val="none"/>
        </w:rPr>
      </w:pPr>
    </w:p>
    <w:p w14:paraId="0A2EBCD8">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附</w:t>
      </w:r>
      <w:bookmarkStart w:id="787" w:name="_Toc296503232"/>
      <w:bookmarkStart w:id="788" w:name="_Toc296891272"/>
      <w:bookmarkStart w:id="789" w:name="_Toc296944571"/>
      <w:bookmarkStart w:id="790" w:name="_Toc267261702"/>
      <w:bookmarkStart w:id="791" w:name="_Toc296346733"/>
      <w:bookmarkStart w:id="792" w:name="_Toc296347231"/>
      <w:bookmarkStart w:id="793" w:name="_Toc296891060"/>
      <w:r>
        <w:rPr>
          <w:rFonts w:hint="eastAsia" w:ascii="宋体" w:hAnsi="宋体" w:eastAsia="宋体" w:cs="宋体"/>
          <w:color w:val="auto"/>
          <w:sz w:val="21"/>
          <w:szCs w:val="21"/>
          <w:highlight w:val="none"/>
        </w:rPr>
        <w:t>件9 ：</w:t>
      </w:r>
    </w:p>
    <w:bookmarkEnd w:id="787"/>
    <w:bookmarkEnd w:id="788"/>
    <w:bookmarkEnd w:id="789"/>
    <w:bookmarkEnd w:id="790"/>
    <w:bookmarkEnd w:id="791"/>
    <w:bookmarkEnd w:id="792"/>
    <w:bookmarkEnd w:id="793"/>
    <w:p w14:paraId="2A516117">
      <w:pPr>
        <w:pageBreakBefore w:val="0"/>
        <w:widowControl w:val="0"/>
        <w:kinsoku/>
        <w:wordWrap/>
        <w:overflowPunct/>
        <w:topLinePunct w:val="0"/>
        <w:bidi w:val="0"/>
        <w:snapToGrid/>
        <w:spacing w:line="360" w:lineRule="exact"/>
        <w:ind w:left="0" w:leftChars="0" w:right="0" w:right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预付款担保</w:t>
      </w:r>
    </w:p>
    <w:p w14:paraId="27E67105">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 xml:space="preserve"> （发包人名称）：</w:t>
      </w:r>
    </w:p>
    <w:p w14:paraId="52092698">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p w14:paraId="2D75FE21">
      <w:pPr>
        <w:pageBreakBefore w:val="0"/>
        <w:widowControl w:val="0"/>
        <w:kinsoku/>
        <w:wordWrap/>
        <w:overflowPunct/>
        <w:topLinePunct w:val="0"/>
        <w:bidi w:val="0"/>
        <w:snapToGrid/>
        <w:spacing w:line="360" w:lineRule="exact"/>
        <w:ind w:left="0" w:leftChars="0" w:right="0" w:rightChars="0"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根据</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（承包人名称）（以下称“承包人”）与</w:t>
      </w:r>
    </w:p>
    <w:p w14:paraId="25882E59">
      <w:pPr>
        <w:pageBreakBefore w:val="0"/>
        <w:widowControl w:val="0"/>
        <w:kinsoku/>
        <w:wordWrap/>
        <w:overflowPunct/>
        <w:topLinePunct w:val="0"/>
        <w:bidi w:val="0"/>
        <w:snapToGrid/>
        <w:spacing w:line="360" w:lineRule="exact"/>
        <w:ind w:left="0" w:leftChars="0" w:right="0" w:rightChars="0"/>
        <w:outlineLvl w:val="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u w:val="single"/>
        </w:rPr>
        <w:t xml:space="preserve">                        </w:t>
      </w:r>
      <w:bookmarkStart w:id="794" w:name="_Toc29110"/>
      <w:bookmarkStart w:id="795" w:name="_Toc23079"/>
      <w:bookmarkStart w:id="796" w:name="_Toc19561"/>
      <w:bookmarkStart w:id="797" w:name="_Toc6475"/>
      <w:r>
        <w:rPr>
          <w:rFonts w:hint="eastAsia" w:ascii="宋体" w:hAnsi="宋体" w:eastAsia="宋体" w:cs="宋体"/>
          <w:color w:val="auto"/>
          <w:sz w:val="21"/>
          <w:szCs w:val="21"/>
          <w:highlight w:val="none"/>
        </w:rPr>
        <w:t>（发包人名称）（以下简称“发包人”）</w:t>
      </w:r>
      <w:bookmarkEnd w:id="794"/>
      <w:bookmarkEnd w:id="795"/>
      <w:bookmarkEnd w:id="796"/>
      <w:bookmarkEnd w:id="797"/>
    </w:p>
    <w:p w14:paraId="598694F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于</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年</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月</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日签订的</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（工程名称）《建设工程施工合同》，承包人按约定的金额向你方提交一份预付款担保，即有权得到你方支付相等金额的预付款。我方愿意就你方提供给承包人的预付款为承包人提供连带责任担保。</w:t>
      </w:r>
    </w:p>
    <w:p w14:paraId="50212B63">
      <w:pPr>
        <w:pageBreakBefore w:val="0"/>
        <w:widowControl w:val="0"/>
        <w:kinsoku/>
        <w:wordWrap/>
        <w:overflowPunct/>
        <w:topLinePunct w:val="0"/>
        <w:bidi w:val="0"/>
        <w:snapToGrid/>
        <w:spacing w:line="360" w:lineRule="exact"/>
        <w:ind w:left="0" w:leftChars="0" w:right="0" w:rightChars="0"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 担保金额人民币（大写）</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元（¥</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5ABC9768">
      <w:pPr>
        <w:pageBreakBefore w:val="0"/>
        <w:widowControl w:val="0"/>
        <w:kinsoku/>
        <w:wordWrap/>
        <w:overflowPunct/>
        <w:topLinePunct w:val="0"/>
        <w:bidi w:val="0"/>
        <w:snapToGrid/>
        <w:spacing w:line="360" w:lineRule="exact"/>
        <w:ind w:left="0" w:leftChars="0" w:right="0" w:rightChars="0"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 担保有效期自预付款支付给承包人起生效，至你方签发的进度款支付证书说明已完全扣清止。</w:t>
      </w:r>
    </w:p>
    <w:p w14:paraId="07AE4250">
      <w:pPr>
        <w:pageBreakBefore w:val="0"/>
        <w:widowControl w:val="0"/>
        <w:kinsoku/>
        <w:wordWrap/>
        <w:overflowPunct/>
        <w:topLinePunct w:val="0"/>
        <w:bidi w:val="0"/>
        <w:snapToGrid/>
        <w:spacing w:line="360" w:lineRule="exact"/>
        <w:ind w:left="0" w:leftChars="0" w:right="0" w:rightChars="0"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 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397AF46B">
      <w:pPr>
        <w:pageBreakBefore w:val="0"/>
        <w:widowControl w:val="0"/>
        <w:kinsoku/>
        <w:wordWrap/>
        <w:overflowPunct/>
        <w:topLinePunct w:val="0"/>
        <w:bidi w:val="0"/>
        <w:snapToGrid/>
        <w:spacing w:line="360" w:lineRule="exact"/>
        <w:ind w:left="0" w:leftChars="0" w:right="0" w:rightChars="0"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 你方和承包人按合同约定变更合同时，我方承担本保函规定的义务不变。</w:t>
      </w:r>
    </w:p>
    <w:p w14:paraId="76A0C4BF">
      <w:pPr>
        <w:pageBreakBefore w:val="0"/>
        <w:widowControl w:val="0"/>
        <w:kinsoku/>
        <w:wordWrap/>
        <w:overflowPunct/>
        <w:topLinePunct w:val="0"/>
        <w:bidi w:val="0"/>
        <w:snapToGrid/>
        <w:spacing w:line="360" w:lineRule="exact"/>
        <w:ind w:left="0" w:leftChars="0" w:right="0" w:rightChars="0"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 因本保函发生的纠纷，可由双方协商解决，协商不成的，任何一方均可提请</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仲裁委员会仲裁。</w:t>
      </w:r>
    </w:p>
    <w:p w14:paraId="5EF2942F">
      <w:pPr>
        <w:pageBreakBefore w:val="0"/>
        <w:widowControl w:val="0"/>
        <w:kinsoku/>
        <w:wordWrap/>
        <w:overflowPunct/>
        <w:topLinePunct w:val="0"/>
        <w:bidi w:val="0"/>
        <w:snapToGrid/>
        <w:spacing w:line="360" w:lineRule="exact"/>
        <w:ind w:left="0" w:leftChars="0" w:right="0" w:rightChars="0"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6. 本保函自我方法定代表人（或其授权代理人）签字并加盖公章之日起生效。</w:t>
      </w:r>
    </w:p>
    <w:p w14:paraId="74DFE4B8">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p w14:paraId="01541935">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p>
    <w:p w14:paraId="11B8FEB6">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担保人：</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（盖单位章）</w:t>
      </w:r>
    </w:p>
    <w:p w14:paraId="7D8BC3F7">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法定代表人或其委托代理人：</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（签字）</w:t>
      </w:r>
    </w:p>
    <w:p w14:paraId="7F549E23">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地    址：</w:t>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p>
    <w:p w14:paraId="23825FEF">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邮政编码：</w:t>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p>
    <w:p w14:paraId="306C39D9">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电    话：</w:t>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p>
    <w:p w14:paraId="5EE8ACAD">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传    真：</w:t>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r>
        <w:rPr>
          <w:rFonts w:hint="eastAsia" w:ascii="宋体" w:hAnsi="宋体" w:eastAsia="宋体" w:cs="宋体"/>
          <w:color w:val="auto"/>
          <w:sz w:val="21"/>
          <w:szCs w:val="21"/>
          <w:highlight w:val="none"/>
          <w:u w:val="single"/>
        </w:rPr>
        <w:tab/>
      </w:r>
    </w:p>
    <w:p w14:paraId="38184C3C">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  </w:t>
      </w:r>
    </w:p>
    <w:p w14:paraId="18CC0D5D">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u w:val="single"/>
        </w:rPr>
      </w:pPr>
    </w:p>
    <w:p w14:paraId="6B7819D2">
      <w:pPr>
        <w:pageBreakBefore w:val="0"/>
        <w:widowControl w:val="0"/>
        <w:kinsoku/>
        <w:wordWrap/>
        <w:overflowPunct/>
        <w:topLinePunct w:val="0"/>
        <w:bidi w:val="0"/>
        <w:snapToGrid/>
        <w:spacing w:line="360" w:lineRule="exact"/>
        <w:ind w:left="0" w:leftChars="0" w:right="0" w:right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年</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月</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日</w:t>
      </w:r>
    </w:p>
    <w:p w14:paraId="58F4EDD9">
      <w:pPr>
        <w:spacing w:line="440" w:lineRule="exact"/>
        <w:rPr>
          <w:rFonts w:hint="eastAsia" w:ascii="宋体" w:hAnsi="宋体" w:eastAsia="宋体" w:cs="宋体"/>
          <w:color w:val="auto"/>
          <w:sz w:val="21"/>
          <w:szCs w:val="21"/>
          <w:highlight w:val="none"/>
        </w:rPr>
      </w:pPr>
      <w:r>
        <w:rPr>
          <w:rFonts w:hint="eastAsia" w:ascii="宋体" w:hAnsi="宋体" w:eastAsia="宋体" w:cs="宋体"/>
          <w:b/>
          <w:color w:val="auto"/>
          <w:sz w:val="21"/>
          <w:szCs w:val="21"/>
          <w:highlight w:val="none"/>
        </w:rPr>
        <w:br w:type="page"/>
      </w:r>
      <w:r>
        <w:rPr>
          <w:rFonts w:hint="eastAsia" w:ascii="宋体" w:hAnsi="宋体" w:eastAsia="宋体" w:cs="宋体"/>
          <w:color w:val="auto"/>
          <w:sz w:val="21"/>
          <w:szCs w:val="21"/>
          <w:highlight w:val="none"/>
        </w:rPr>
        <w:t xml:space="preserve">附件10:  </w:t>
      </w:r>
    </w:p>
    <w:p w14:paraId="26985637">
      <w:pPr>
        <w:spacing w:before="120" w:beforeLines="50" w:after="120" w:afterLines="50" w:line="440" w:lineRule="exact"/>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支付担保</w:t>
      </w:r>
    </w:p>
    <w:p w14:paraId="601EB249">
      <w:pPr>
        <w:spacing w:line="440" w:lineRule="exact"/>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（承包人）：</w:t>
      </w:r>
    </w:p>
    <w:p w14:paraId="61024CA9">
      <w:pPr>
        <w:spacing w:line="440" w:lineRule="exact"/>
        <w:jc w:val="left"/>
        <w:rPr>
          <w:rFonts w:hint="eastAsia" w:ascii="宋体" w:hAnsi="宋体" w:eastAsia="宋体" w:cs="宋体"/>
          <w:color w:val="auto"/>
          <w:sz w:val="21"/>
          <w:szCs w:val="21"/>
          <w:highlight w:val="none"/>
        </w:rPr>
      </w:pPr>
    </w:p>
    <w:p w14:paraId="738E6714">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鉴于你方作为承包人已经与</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（发包人名称）（以下称“发包人”）于</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年</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月</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日签订了</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（工程名称）《建设工程施工合同》（以下称“主合同”），应发包人的申请，我方愿就发包人履行主合同约定的工程款支付义务以保证的方式向你方提供如下担保：</w:t>
      </w:r>
    </w:p>
    <w:p w14:paraId="4DD92DA9">
      <w:pPr>
        <w:spacing w:line="360" w:lineRule="auto"/>
        <w:ind w:firstLine="420" w:firstLineChars="200"/>
        <w:jc w:val="left"/>
        <w:outlineLvl w:val="0"/>
        <w:rPr>
          <w:rFonts w:hint="eastAsia" w:ascii="宋体" w:hAnsi="宋体" w:eastAsia="宋体" w:cs="宋体"/>
          <w:color w:val="auto"/>
          <w:sz w:val="21"/>
          <w:szCs w:val="21"/>
          <w:highlight w:val="none"/>
        </w:rPr>
      </w:pPr>
      <w:bookmarkStart w:id="798" w:name="_Toc26895"/>
      <w:bookmarkStart w:id="799" w:name="_Toc31131"/>
      <w:bookmarkStart w:id="800" w:name="_Toc20380"/>
      <w:bookmarkStart w:id="801" w:name="_Toc25964"/>
      <w:r>
        <w:rPr>
          <w:rFonts w:hint="eastAsia" w:ascii="宋体" w:hAnsi="宋体" w:eastAsia="宋体" w:cs="宋体"/>
          <w:color w:val="auto"/>
          <w:sz w:val="21"/>
          <w:szCs w:val="21"/>
          <w:highlight w:val="none"/>
        </w:rPr>
        <w:t>一、保证的范围及保证金额</w:t>
      </w:r>
      <w:bookmarkEnd w:id="798"/>
      <w:bookmarkEnd w:id="799"/>
      <w:bookmarkEnd w:id="800"/>
      <w:bookmarkEnd w:id="801"/>
    </w:p>
    <w:p w14:paraId="649D2308">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 我方的保证范围是主合同约定的工程款。</w:t>
      </w:r>
    </w:p>
    <w:p w14:paraId="7A863CE5">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 本保函所称主合同约定的工程款是指主合同约定的除工程质量保证金以外的合同价款。</w:t>
      </w:r>
    </w:p>
    <w:p w14:paraId="6AA9EDE3">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 我方保证的金额是主合同约定的工程款的</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%，数额最高不超过人民币元（大写：</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w:t>
      </w:r>
    </w:p>
    <w:p w14:paraId="74A375C1">
      <w:pPr>
        <w:spacing w:line="360" w:lineRule="auto"/>
        <w:ind w:firstLine="420" w:firstLineChars="200"/>
        <w:jc w:val="left"/>
        <w:outlineLvl w:val="0"/>
        <w:rPr>
          <w:rFonts w:hint="eastAsia" w:ascii="宋体" w:hAnsi="宋体" w:eastAsia="宋体" w:cs="宋体"/>
          <w:color w:val="auto"/>
          <w:sz w:val="21"/>
          <w:szCs w:val="21"/>
          <w:highlight w:val="none"/>
        </w:rPr>
      </w:pPr>
      <w:bookmarkStart w:id="802" w:name="_Toc16286"/>
      <w:bookmarkStart w:id="803" w:name="_Toc31793"/>
      <w:bookmarkStart w:id="804" w:name="_Toc19889"/>
      <w:bookmarkStart w:id="805" w:name="_Toc10162"/>
      <w:r>
        <w:rPr>
          <w:rFonts w:hint="eastAsia" w:ascii="宋体" w:hAnsi="宋体" w:eastAsia="宋体" w:cs="宋体"/>
          <w:color w:val="auto"/>
          <w:sz w:val="21"/>
          <w:szCs w:val="21"/>
          <w:highlight w:val="none"/>
        </w:rPr>
        <w:t>二、保证的方式及保证期间</w:t>
      </w:r>
      <w:bookmarkEnd w:id="802"/>
      <w:bookmarkEnd w:id="803"/>
      <w:bookmarkEnd w:id="804"/>
      <w:bookmarkEnd w:id="805"/>
    </w:p>
    <w:p w14:paraId="38A2C28F">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 我方保证的方式为：连带责任保证。</w:t>
      </w:r>
    </w:p>
    <w:p w14:paraId="4AC1F173">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 我方保证的期间为：自本合同生效之日起至主合同约定的工程款支付完毕之日后</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日内。</w:t>
      </w:r>
    </w:p>
    <w:p w14:paraId="2461E84E">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 你方与发包人协议变更工程款支付日期的，经我方书面同意后，保证期间按照变更后的支付日期做相应调整。</w:t>
      </w:r>
    </w:p>
    <w:p w14:paraId="0434B496">
      <w:pPr>
        <w:spacing w:line="360" w:lineRule="auto"/>
        <w:ind w:firstLine="420" w:firstLineChars="200"/>
        <w:jc w:val="left"/>
        <w:outlineLvl w:val="0"/>
        <w:rPr>
          <w:rFonts w:hint="eastAsia" w:ascii="宋体" w:hAnsi="宋体" w:eastAsia="宋体" w:cs="宋体"/>
          <w:color w:val="auto"/>
          <w:sz w:val="21"/>
          <w:szCs w:val="21"/>
          <w:highlight w:val="none"/>
        </w:rPr>
      </w:pPr>
      <w:bookmarkStart w:id="806" w:name="_Toc30478"/>
      <w:bookmarkStart w:id="807" w:name="_Toc3217"/>
      <w:bookmarkStart w:id="808" w:name="_Toc30010"/>
      <w:bookmarkStart w:id="809" w:name="_Toc27567"/>
      <w:r>
        <w:rPr>
          <w:rFonts w:hint="eastAsia" w:ascii="宋体" w:hAnsi="宋体" w:eastAsia="宋体" w:cs="宋体"/>
          <w:color w:val="auto"/>
          <w:sz w:val="21"/>
          <w:szCs w:val="21"/>
          <w:highlight w:val="none"/>
        </w:rPr>
        <w:t>三、承担保证责任的形式</w:t>
      </w:r>
      <w:bookmarkEnd w:id="806"/>
      <w:bookmarkEnd w:id="807"/>
      <w:bookmarkEnd w:id="808"/>
      <w:bookmarkEnd w:id="809"/>
    </w:p>
    <w:p w14:paraId="073DDF52">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我方承担保证责任的形式是代为支付。发包人未按主合同约定向你方支付工程款的，由我方在保证金额内代为支付。</w:t>
      </w:r>
    </w:p>
    <w:p w14:paraId="6C521E3D">
      <w:pPr>
        <w:spacing w:line="360" w:lineRule="auto"/>
        <w:ind w:firstLine="420" w:firstLineChars="200"/>
        <w:jc w:val="left"/>
        <w:outlineLvl w:val="0"/>
        <w:rPr>
          <w:rFonts w:hint="eastAsia" w:ascii="宋体" w:hAnsi="宋体" w:eastAsia="宋体" w:cs="宋体"/>
          <w:color w:val="auto"/>
          <w:sz w:val="21"/>
          <w:szCs w:val="21"/>
          <w:highlight w:val="none"/>
        </w:rPr>
      </w:pPr>
      <w:bookmarkStart w:id="810" w:name="_Toc19016"/>
      <w:bookmarkStart w:id="811" w:name="_Toc5876"/>
      <w:bookmarkStart w:id="812" w:name="_Toc11312"/>
      <w:bookmarkStart w:id="813" w:name="_Toc4883"/>
      <w:r>
        <w:rPr>
          <w:rFonts w:hint="eastAsia" w:ascii="宋体" w:hAnsi="宋体" w:eastAsia="宋体" w:cs="宋体"/>
          <w:color w:val="auto"/>
          <w:sz w:val="21"/>
          <w:szCs w:val="21"/>
          <w:highlight w:val="none"/>
        </w:rPr>
        <w:t>四、代偿的安排</w:t>
      </w:r>
      <w:bookmarkEnd w:id="810"/>
      <w:bookmarkEnd w:id="811"/>
      <w:bookmarkEnd w:id="812"/>
      <w:bookmarkEnd w:id="813"/>
    </w:p>
    <w:p w14:paraId="659E22FA">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 你方要求我方承担保证责任的，应向我方发出书面索赔通知及发包人未支付主合同约定工程款的证明材料。索赔通知应写明要求索赔的金额，支付款项应到达的账号。</w:t>
      </w:r>
    </w:p>
    <w:p w14:paraId="506B4466">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 在出现你方与发包人因工程质量发生争议，发包人拒绝向你方支付工程款的情形时，你方要求我方履行保证责任代为支付的，需提供符合相应条件要求的工程质量检测机构出具的质量说明材料。</w:t>
      </w:r>
    </w:p>
    <w:p w14:paraId="105ACFE8">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 我方收到你方的书面索赔通知及相应的证明材料后７天内无条件支付。</w:t>
      </w:r>
    </w:p>
    <w:p w14:paraId="624673CF">
      <w:pPr>
        <w:spacing w:line="360" w:lineRule="auto"/>
        <w:ind w:firstLine="420" w:firstLineChars="200"/>
        <w:jc w:val="left"/>
        <w:outlineLvl w:val="0"/>
        <w:rPr>
          <w:rFonts w:hint="eastAsia" w:ascii="宋体" w:hAnsi="宋体" w:eastAsia="宋体" w:cs="宋体"/>
          <w:color w:val="auto"/>
          <w:sz w:val="21"/>
          <w:szCs w:val="21"/>
          <w:highlight w:val="none"/>
        </w:rPr>
      </w:pPr>
      <w:bookmarkStart w:id="814" w:name="_Toc30624"/>
      <w:bookmarkStart w:id="815" w:name="_Toc1507"/>
      <w:bookmarkStart w:id="816" w:name="_Toc2711"/>
      <w:bookmarkStart w:id="817" w:name="_Toc25107"/>
      <w:r>
        <w:rPr>
          <w:rFonts w:hint="eastAsia" w:ascii="宋体" w:hAnsi="宋体" w:eastAsia="宋体" w:cs="宋体"/>
          <w:color w:val="auto"/>
          <w:sz w:val="21"/>
          <w:szCs w:val="21"/>
          <w:highlight w:val="none"/>
        </w:rPr>
        <w:t>五、保证责任的解除</w:t>
      </w:r>
      <w:bookmarkEnd w:id="814"/>
      <w:bookmarkEnd w:id="815"/>
      <w:bookmarkEnd w:id="816"/>
      <w:bookmarkEnd w:id="817"/>
    </w:p>
    <w:p w14:paraId="5E7C86B9">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 在本保函承诺的保证期间内，你方未书面向我方主张保证责任的，自保证期间届满次日起，我方保证责任解除。</w:t>
      </w:r>
    </w:p>
    <w:p w14:paraId="0B2B74A8">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 发包人按主合同约定履行了工程款的全部支付义务的，自本保函承诺的保证期间届满次日起，我方保证责任解除。</w:t>
      </w:r>
    </w:p>
    <w:p w14:paraId="2316A3E8">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 我方按照本保函向你方履行保证责任所支付金额达到本保函保证金额时，自我方向你方支付（支付款项从我方账户划出）之日起，保证责任即解除。</w:t>
      </w:r>
    </w:p>
    <w:p w14:paraId="177789C9">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 按照法律法规的规定或出现应解除我方保证责任的其他情形的，我方在本保函项下的保证责任亦解除。</w:t>
      </w:r>
    </w:p>
    <w:p w14:paraId="389D4DA6">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 我方解除保证责任后，你方应自我方保证责任解除之日起</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个工作日内，将本保函原件返还我方。</w:t>
      </w:r>
    </w:p>
    <w:p w14:paraId="472A34EF">
      <w:pPr>
        <w:spacing w:line="360" w:lineRule="auto"/>
        <w:ind w:firstLine="420" w:firstLineChars="200"/>
        <w:jc w:val="left"/>
        <w:outlineLvl w:val="0"/>
        <w:rPr>
          <w:rFonts w:hint="eastAsia" w:ascii="宋体" w:hAnsi="宋体" w:eastAsia="宋体" w:cs="宋体"/>
          <w:color w:val="auto"/>
          <w:sz w:val="21"/>
          <w:szCs w:val="21"/>
          <w:highlight w:val="none"/>
        </w:rPr>
      </w:pPr>
      <w:bookmarkStart w:id="818" w:name="_Toc11064"/>
      <w:bookmarkStart w:id="819" w:name="_Toc23407"/>
      <w:bookmarkStart w:id="820" w:name="_Toc32712"/>
      <w:bookmarkStart w:id="821" w:name="_Toc3962"/>
      <w:r>
        <w:rPr>
          <w:rFonts w:hint="eastAsia" w:ascii="宋体" w:hAnsi="宋体" w:eastAsia="宋体" w:cs="宋体"/>
          <w:color w:val="auto"/>
          <w:sz w:val="21"/>
          <w:szCs w:val="21"/>
          <w:highlight w:val="none"/>
        </w:rPr>
        <w:t>六、免责条款</w:t>
      </w:r>
      <w:bookmarkEnd w:id="818"/>
      <w:bookmarkEnd w:id="819"/>
      <w:bookmarkEnd w:id="820"/>
      <w:bookmarkEnd w:id="821"/>
    </w:p>
    <w:p w14:paraId="31846C2C">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 因你方违约致使发包人不能履行义务的，我方不承担保证责任。</w:t>
      </w:r>
    </w:p>
    <w:p w14:paraId="6AA23D83">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 依照法律法规的规定或你方与发包人的另行约定，免除发包人部分或全部义务的，我方亦免除其相应的保证责任。</w:t>
      </w:r>
    </w:p>
    <w:p w14:paraId="467D371F">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 你方与发包人协议变更主合同的，如加重发包人责任致使我方保证责任加重的，需征得我方书面同意，否则我方不再承担因此而加重部分的保证责任，但主合同第10条〔变更〕约定的变更不受本款限制。</w:t>
      </w:r>
    </w:p>
    <w:p w14:paraId="6763EED9">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 因不可抗力造成发包人不能履行义务的，我方不承担保证责任。</w:t>
      </w:r>
    </w:p>
    <w:p w14:paraId="58AA46E2">
      <w:pPr>
        <w:spacing w:line="360" w:lineRule="auto"/>
        <w:ind w:firstLine="420" w:firstLineChars="200"/>
        <w:jc w:val="left"/>
        <w:outlineLvl w:val="0"/>
        <w:rPr>
          <w:rFonts w:hint="eastAsia" w:ascii="宋体" w:hAnsi="宋体" w:eastAsia="宋体" w:cs="宋体"/>
          <w:color w:val="auto"/>
          <w:sz w:val="21"/>
          <w:szCs w:val="21"/>
          <w:highlight w:val="none"/>
        </w:rPr>
      </w:pPr>
      <w:bookmarkStart w:id="822" w:name="_Toc24210"/>
      <w:bookmarkStart w:id="823" w:name="_Toc28001"/>
      <w:bookmarkStart w:id="824" w:name="_Toc5169"/>
      <w:bookmarkStart w:id="825" w:name="_Toc20106"/>
      <w:r>
        <w:rPr>
          <w:rFonts w:hint="eastAsia" w:ascii="宋体" w:hAnsi="宋体" w:eastAsia="宋体" w:cs="宋体"/>
          <w:color w:val="auto"/>
          <w:sz w:val="21"/>
          <w:szCs w:val="21"/>
          <w:highlight w:val="none"/>
        </w:rPr>
        <w:t>七、争议解决</w:t>
      </w:r>
      <w:bookmarkEnd w:id="822"/>
      <w:bookmarkEnd w:id="823"/>
      <w:bookmarkEnd w:id="824"/>
      <w:bookmarkEnd w:id="825"/>
    </w:p>
    <w:p w14:paraId="3EA854B2">
      <w:pPr>
        <w:spacing w:after="120"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因本保函或本保函相关事项发生的纠纷，可由双方协商解决，协商不成的，按下列第</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种方式解决：</w:t>
      </w:r>
    </w:p>
    <w:p w14:paraId="187E8708">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（1）向</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仲裁委员会申请仲裁；</w:t>
      </w:r>
    </w:p>
    <w:p w14:paraId="27EA3A67">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（2）向</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人民法院起诉。</w:t>
      </w:r>
    </w:p>
    <w:p w14:paraId="392DAEF3">
      <w:pPr>
        <w:spacing w:line="360" w:lineRule="auto"/>
        <w:ind w:firstLine="420" w:firstLineChars="200"/>
        <w:jc w:val="left"/>
        <w:outlineLvl w:val="0"/>
        <w:rPr>
          <w:rFonts w:hint="eastAsia" w:ascii="宋体" w:hAnsi="宋体" w:eastAsia="宋体" w:cs="宋体"/>
          <w:color w:val="auto"/>
          <w:sz w:val="21"/>
          <w:szCs w:val="21"/>
          <w:highlight w:val="none"/>
        </w:rPr>
      </w:pPr>
      <w:bookmarkStart w:id="826" w:name="_Toc15122"/>
      <w:bookmarkStart w:id="827" w:name="_Toc5124"/>
      <w:bookmarkStart w:id="828" w:name="_Toc24785"/>
      <w:bookmarkStart w:id="829" w:name="_Toc29914"/>
      <w:r>
        <w:rPr>
          <w:rFonts w:hint="eastAsia" w:ascii="宋体" w:hAnsi="宋体" w:eastAsia="宋体" w:cs="宋体"/>
          <w:color w:val="auto"/>
          <w:sz w:val="21"/>
          <w:szCs w:val="21"/>
          <w:highlight w:val="none"/>
        </w:rPr>
        <w:t>八、保函的生效</w:t>
      </w:r>
      <w:bookmarkEnd w:id="826"/>
      <w:bookmarkEnd w:id="827"/>
      <w:bookmarkEnd w:id="828"/>
      <w:bookmarkEnd w:id="829"/>
    </w:p>
    <w:p w14:paraId="264BE8A9">
      <w:pPr>
        <w:spacing w:line="360" w:lineRule="auto"/>
        <w:ind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本保函自我方法定代表人（或其授权代理人）签字并加盖公章之日起生效。</w:t>
      </w:r>
    </w:p>
    <w:p w14:paraId="70F35A18">
      <w:pPr>
        <w:spacing w:line="360" w:lineRule="auto"/>
        <w:ind w:firstLine="420" w:firstLineChars="200"/>
        <w:jc w:val="left"/>
        <w:rPr>
          <w:rFonts w:hint="eastAsia" w:ascii="宋体" w:hAnsi="宋体" w:eastAsia="宋体" w:cs="宋体"/>
          <w:color w:val="auto"/>
          <w:sz w:val="21"/>
          <w:szCs w:val="21"/>
          <w:highlight w:val="none"/>
        </w:rPr>
      </w:pPr>
    </w:p>
    <w:p w14:paraId="55AF8F29">
      <w:pPr>
        <w:spacing w:line="360" w:lineRule="auto"/>
        <w:ind w:right="600"/>
        <w:jc w:val="left"/>
        <w:rPr>
          <w:rFonts w:hint="eastAsia" w:ascii="宋体" w:hAnsi="宋体" w:eastAsia="宋体" w:cs="宋体"/>
          <w:color w:val="auto"/>
          <w:sz w:val="21"/>
          <w:szCs w:val="21"/>
          <w:highlight w:val="none"/>
        </w:rPr>
      </w:pPr>
    </w:p>
    <w:p w14:paraId="3DCD5409">
      <w:pPr>
        <w:spacing w:line="360" w:lineRule="auto"/>
        <w:ind w:right="6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担保人：</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（盖章）</w:t>
      </w:r>
    </w:p>
    <w:p w14:paraId="2139D2B4">
      <w:pPr>
        <w:spacing w:line="360" w:lineRule="auto"/>
        <w:ind w:right="1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法定代表人或委托代理人：</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（签字）</w:t>
      </w:r>
    </w:p>
    <w:p w14:paraId="621C03B4">
      <w:pPr>
        <w:spacing w:line="360" w:lineRule="auto"/>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地    址：</w:t>
      </w:r>
      <w:r>
        <w:rPr>
          <w:rFonts w:hint="eastAsia" w:ascii="宋体" w:hAnsi="宋体" w:eastAsia="宋体" w:cs="宋体"/>
          <w:color w:val="auto"/>
          <w:sz w:val="21"/>
          <w:szCs w:val="21"/>
          <w:highlight w:val="none"/>
          <w:u w:val="single"/>
        </w:rPr>
        <w:t xml:space="preserve">                                        </w:t>
      </w:r>
    </w:p>
    <w:p w14:paraId="0261A56D">
      <w:pPr>
        <w:spacing w:line="360" w:lineRule="auto"/>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邮政编码：</w:t>
      </w:r>
      <w:r>
        <w:rPr>
          <w:rFonts w:hint="eastAsia" w:ascii="宋体" w:hAnsi="宋体" w:eastAsia="宋体" w:cs="宋体"/>
          <w:color w:val="auto"/>
          <w:sz w:val="21"/>
          <w:szCs w:val="21"/>
          <w:highlight w:val="none"/>
          <w:u w:val="single"/>
        </w:rPr>
        <w:t xml:space="preserve">                                        </w:t>
      </w:r>
    </w:p>
    <w:p w14:paraId="32A6677C">
      <w:pPr>
        <w:spacing w:line="360" w:lineRule="auto"/>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传    真：</w:t>
      </w:r>
      <w:r>
        <w:rPr>
          <w:rFonts w:hint="eastAsia" w:ascii="宋体" w:hAnsi="宋体" w:eastAsia="宋体" w:cs="宋体"/>
          <w:color w:val="auto"/>
          <w:sz w:val="21"/>
          <w:szCs w:val="21"/>
          <w:highlight w:val="none"/>
          <w:u w:val="single"/>
        </w:rPr>
        <w:t xml:space="preserve">                                        </w:t>
      </w:r>
    </w:p>
    <w:p w14:paraId="7DC43A16">
      <w:pPr>
        <w:spacing w:line="360" w:lineRule="auto"/>
        <w:ind w:right="150" w:firstLine="420" w:firstLineChars="200"/>
        <w:jc w:val="left"/>
        <w:rPr>
          <w:rFonts w:hint="eastAsia" w:ascii="宋体" w:hAnsi="宋体" w:eastAsia="宋体" w:cs="宋体"/>
          <w:color w:val="auto"/>
          <w:sz w:val="21"/>
          <w:szCs w:val="21"/>
          <w:highlight w:val="none"/>
          <w:u w:val="single"/>
        </w:rPr>
      </w:pPr>
    </w:p>
    <w:p w14:paraId="05918EC6">
      <w:pPr>
        <w:spacing w:line="360" w:lineRule="auto"/>
        <w:ind w:right="150"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年</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月</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日</w:t>
      </w:r>
    </w:p>
    <w:p w14:paraId="698234FB">
      <w:pPr>
        <w:spacing w:line="440" w:lineRule="exac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br w:type="page"/>
      </w:r>
      <w:r>
        <w:rPr>
          <w:rFonts w:hint="eastAsia" w:ascii="宋体" w:hAnsi="宋体" w:eastAsia="宋体" w:cs="宋体"/>
          <w:color w:val="auto"/>
          <w:sz w:val="21"/>
          <w:szCs w:val="21"/>
          <w:highlight w:val="none"/>
        </w:rPr>
        <w:t>附件11：</w:t>
      </w:r>
    </w:p>
    <w:p w14:paraId="4F264AEB">
      <w:pPr>
        <w:spacing w:before="120" w:beforeLines="50" w:after="120" w:afterLines="50" w:line="440" w:lineRule="exact"/>
        <w:jc w:val="center"/>
        <w:outlineLvl w:val="0"/>
        <w:rPr>
          <w:rFonts w:hint="eastAsia" w:ascii="宋体" w:hAnsi="宋体" w:eastAsia="宋体" w:cs="宋体"/>
          <w:color w:val="auto"/>
          <w:sz w:val="21"/>
          <w:szCs w:val="21"/>
          <w:highlight w:val="none"/>
        </w:rPr>
      </w:pPr>
      <w:bookmarkStart w:id="830" w:name="_Toc24367"/>
      <w:bookmarkStart w:id="831" w:name="_Toc15518"/>
      <w:bookmarkStart w:id="832" w:name="_Toc18176"/>
      <w:bookmarkStart w:id="833" w:name="_Toc20900"/>
      <w:r>
        <w:rPr>
          <w:rFonts w:hint="eastAsia" w:ascii="宋体" w:hAnsi="宋体" w:eastAsia="宋体" w:cs="宋体"/>
          <w:color w:val="auto"/>
          <w:sz w:val="21"/>
          <w:szCs w:val="21"/>
          <w:highlight w:val="none"/>
        </w:rPr>
        <w:t>11-1：材料暂估价表</w:t>
      </w:r>
      <w:bookmarkEnd w:id="830"/>
      <w:bookmarkEnd w:id="831"/>
      <w:bookmarkEnd w:id="832"/>
      <w:bookmarkEnd w:id="833"/>
    </w:p>
    <w:tbl>
      <w:tblPr>
        <w:tblStyle w:val="18"/>
        <w:tblW w:w="8675"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303"/>
      </w:tblGrid>
      <w:tr w14:paraId="4E294F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single" w:color="auto" w:sz="12" w:space="0"/>
              <w:bottom w:val="double" w:color="auto" w:sz="6" w:space="0"/>
            </w:tcBorders>
            <w:vAlign w:val="top"/>
          </w:tcPr>
          <w:p w14:paraId="5DCEF38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序号</w:t>
            </w:r>
          </w:p>
        </w:tc>
        <w:tc>
          <w:tcPr>
            <w:tcW w:w="1984" w:type="dxa"/>
            <w:tcBorders>
              <w:top w:val="single" w:color="auto" w:sz="12" w:space="0"/>
              <w:bottom w:val="double" w:color="auto" w:sz="6" w:space="0"/>
            </w:tcBorders>
            <w:vAlign w:val="top"/>
          </w:tcPr>
          <w:p w14:paraId="0E7BB6F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名称</w:t>
            </w:r>
          </w:p>
        </w:tc>
        <w:tc>
          <w:tcPr>
            <w:tcW w:w="851" w:type="dxa"/>
            <w:tcBorders>
              <w:top w:val="single" w:color="auto" w:sz="12" w:space="0"/>
              <w:bottom w:val="double" w:color="auto" w:sz="6" w:space="0"/>
            </w:tcBorders>
            <w:vAlign w:val="top"/>
          </w:tcPr>
          <w:p w14:paraId="66E4A41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单位</w:t>
            </w:r>
          </w:p>
        </w:tc>
        <w:tc>
          <w:tcPr>
            <w:tcW w:w="774" w:type="dxa"/>
            <w:tcBorders>
              <w:top w:val="single" w:color="auto" w:sz="12" w:space="0"/>
              <w:bottom w:val="double" w:color="auto" w:sz="6" w:space="0"/>
            </w:tcBorders>
            <w:vAlign w:val="top"/>
          </w:tcPr>
          <w:p w14:paraId="5FA1662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数量</w:t>
            </w:r>
          </w:p>
        </w:tc>
        <w:tc>
          <w:tcPr>
            <w:tcW w:w="1352" w:type="dxa"/>
            <w:tcBorders>
              <w:top w:val="single" w:color="auto" w:sz="12" w:space="0"/>
              <w:bottom w:val="double" w:color="auto" w:sz="6" w:space="0"/>
            </w:tcBorders>
            <w:vAlign w:val="top"/>
          </w:tcPr>
          <w:p w14:paraId="558EB60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单价（元）</w:t>
            </w:r>
          </w:p>
        </w:tc>
        <w:tc>
          <w:tcPr>
            <w:tcW w:w="1418" w:type="dxa"/>
            <w:tcBorders>
              <w:top w:val="single" w:color="auto" w:sz="12" w:space="0"/>
              <w:bottom w:val="double" w:color="auto" w:sz="6" w:space="0"/>
            </w:tcBorders>
            <w:vAlign w:val="top"/>
          </w:tcPr>
          <w:p w14:paraId="62E1ADF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合价（元）</w:t>
            </w:r>
          </w:p>
        </w:tc>
        <w:tc>
          <w:tcPr>
            <w:tcW w:w="1303" w:type="dxa"/>
            <w:tcBorders>
              <w:top w:val="single" w:color="auto" w:sz="12" w:space="0"/>
              <w:bottom w:val="double" w:color="auto" w:sz="6" w:space="0"/>
            </w:tcBorders>
            <w:vAlign w:val="top"/>
          </w:tcPr>
          <w:p w14:paraId="44F46F3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备注</w:t>
            </w:r>
          </w:p>
        </w:tc>
      </w:tr>
      <w:tr w14:paraId="0CAC5D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double" w:color="auto" w:sz="6" w:space="0"/>
              <w:bottom w:val="single" w:color="auto" w:sz="6" w:space="0"/>
            </w:tcBorders>
            <w:vAlign w:val="top"/>
          </w:tcPr>
          <w:p w14:paraId="40A9C20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tcBorders>
              <w:top w:val="double" w:color="auto" w:sz="6" w:space="0"/>
              <w:bottom w:val="single" w:color="auto" w:sz="6" w:space="0"/>
            </w:tcBorders>
            <w:vAlign w:val="top"/>
          </w:tcPr>
          <w:p w14:paraId="5215DE4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tcBorders>
              <w:top w:val="double" w:color="auto" w:sz="6" w:space="0"/>
              <w:bottom w:val="single" w:color="auto" w:sz="6" w:space="0"/>
            </w:tcBorders>
            <w:vAlign w:val="top"/>
          </w:tcPr>
          <w:p w14:paraId="4A4021A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tcBorders>
              <w:top w:val="double" w:color="auto" w:sz="6" w:space="0"/>
              <w:bottom w:val="single" w:color="auto" w:sz="6" w:space="0"/>
            </w:tcBorders>
            <w:vAlign w:val="top"/>
          </w:tcPr>
          <w:p w14:paraId="083D899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tcBorders>
              <w:top w:val="double" w:color="auto" w:sz="6" w:space="0"/>
              <w:bottom w:val="single" w:color="auto" w:sz="6" w:space="0"/>
            </w:tcBorders>
            <w:vAlign w:val="top"/>
          </w:tcPr>
          <w:p w14:paraId="329F557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tcBorders>
              <w:top w:val="double" w:color="auto" w:sz="6" w:space="0"/>
              <w:bottom w:val="single" w:color="auto" w:sz="6" w:space="0"/>
            </w:tcBorders>
            <w:vAlign w:val="top"/>
          </w:tcPr>
          <w:p w14:paraId="40FD36D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tcBorders>
              <w:top w:val="double" w:color="auto" w:sz="6" w:space="0"/>
              <w:bottom w:val="single" w:color="auto" w:sz="6" w:space="0"/>
            </w:tcBorders>
            <w:vAlign w:val="top"/>
          </w:tcPr>
          <w:p w14:paraId="4D2F592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7893B8F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nil"/>
            </w:tcBorders>
            <w:vAlign w:val="top"/>
          </w:tcPr>
          <w:p w14:paraId="5205021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tcBorders>
              <w:top w:val="nil"/>
            </w:tcBorders>
            <w:vAlign w:val="top"/>
          </w:tcPr>
          <w:p w14:paraId="793F4C6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tcBorders>
              <w:top w:val="nil"/>
            </w:tcBorders>
            <w:vAlign w:val="top"/>
          </w:tcPr>
          <w:p w14:paraId="36A3651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tcBorders>
              <w:top w:val="nil"/>
            </w:tcBorders>
            <w:vAlign w:val="top"/>
          </w:tcPr>
          <w:p w14:paraId="610F0CC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tcBorders>
              <w:top w:val="nil"/>
            </w:tcBorders>
            <w:vAlign w:val="top"/>
          </w:tcPr>
          <w:p w14:paraId="36566DD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tcBorders>
              <w:top w:val="nil"/>
            </w:tcBorders>
            <w:vAlign w:val="top"/>
          </w:tcPr>
          <w:p w14:paraId="5C8F87C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tcBorders>
              <w:top w:val="nil"/>
            </w:tcBorders>
            <w:vAlign w:val="top"/>
          </w:tcPr>
          <w:p w14:paraId="29C13FF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60C345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035A45C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7DEF1C0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7C1BE39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70D2693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70E53A9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197B045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0DCB5CF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6D22F9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575B43B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5154D45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7CD389A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7E3C029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7C079F2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639A506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19B9ED5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5D1CC0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4230495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35A20B7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2F6A38F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3BC146C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2878866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77B1826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4DBD5E6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367D05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457BB70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0FC28DA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29C8AD9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227450E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4D3AF9E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23DA6DB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45036E2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489735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0BA55E6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074EDAD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27B965B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2F8D381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20B28E1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2F983C3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0E4F663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0406D97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1A1A1DA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475F498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35B42E3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0780F2D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37AC13D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38233C6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584A3B8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163872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3859383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11DD052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684624F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58AE99E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5D9A4A6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7AB8063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7ED5F63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1EEAC6D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17AC1ED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0EBD724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57EEFAA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55EB6A2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7A4CD97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1C140BE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449A6B7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25D100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06E6663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2EC07B5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0B41434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3453224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5981A90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699DA14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4CF7904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36FBE8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2BE3B05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721F91D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77D7F78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4B92DD2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7495C97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4EC99AC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0CF9C5F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3D073C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17DC90D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6FFC9EE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3893D54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59CF84E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18DD67E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56FF806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5F58886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6E16279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59141CA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653E3CC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563DE8E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781D43E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7AFED69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35CE6B1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498120D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1FA4FF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47E6703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7508CA3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0B9EC01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458B5F7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1119056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7AA10F9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0471830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28A26B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64FE405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630455E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2908C8F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3105A76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06B0B27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246090A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5A1267B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7344B7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4D154A9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185B4B1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7F3E91B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0743004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0F9FA74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1DFDAE0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331A603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1007ADB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5D05FCD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54A71D3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3A98284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72961C8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67AFA59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7FA6175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1C96FDD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29D27D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64CCF61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68B56A3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4564400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67832B7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1E442CB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5C6CE68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2B332CC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2E04691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5DA887D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3E0B09B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5EC66A5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162490C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2C98082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3D77873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287FACB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5A9F9D4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5FCDDBC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59B9D0A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1F4E768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1876D7E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04DA819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6467CDB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01FBAC3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2CDE5E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54935FA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43BA92D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128232C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76B45C3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7F2DF4D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6D52DC8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14C645E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3E5994B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61E85BD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09819AE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2A1653B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2CFFA22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1025F4B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4675DF4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05EC48F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78EED9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53A0927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117028B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6DD2691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73D0BB3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6CD45D3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7DD6A88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4CFE852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2C0005E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39DF3C0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497FE71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720BFA5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4DF9476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37D93BB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48C067F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2791A80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bl>
    <w:p w14:paraId="06692E3B">
      <w:pPr>
        <w:spacing w:before="120" w:beforeLines="50" w:after="120" w:afterLines="50" w:line="440" w:lineRule="exact"/>
        <w:rPr>
          <w:rFonts w:hint="eastAsia" w:ascii="宋体" w:hAnsi="宋体" w:eastAsia="宋体" w:cs="宋体"/>
          <w:color w:val="auto"/>
          <w:sz w:val="21"/>
          <w:szCs w:val="21"/>
          <w:highlight w:val="none"/>
        </w:rPr>
      </w:pPr>
    </w:p>
    <w:p w14:paraId="710EA64B">
      <w:pPr>
        <w:spacing w:before="120" w:beforeLines="50" w:after="120" w:afterLines="50" w:line="440" w:lineRule="exact"/>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11-2：工程设备暂估价表</w:t>
      </w:r>
    </w:p>
    <w:tbl>
      <w:tblPr>
        <w:tblStyle w:val="18"/>
        <w:tblW w:w="8675"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303"/>
      </w:tblGrid>
      <w:tr w14:paraId="0E8E58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single" w:color="auto" w:sz="12" w:space="0"/>
              <w:bottom w:val="double" w:color="auto" w:sz="6" w:space="0"/>
            </w:tcBorders>
            <w:vAlign w:val="top"/>
          </w:tcPr>
          <w:p w14:paraId="3164623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序号</w:t>
            </w:r>
          </w:p>
        </w:tc>
        <w:tc>
          <w:tcPr>
            <w:tcW w:w="1984" w:type="dxa"/>
            <w:tcBorders>
              <w:top w:val="single" w:color="auto" w:sz="12" w:space="0"/>
              <w:bottom w:val="double" w:color="auto" w:sz="6" w:space="0"/>
            </w:tcBorders>
            <w:vAlign w:val="top"/>
          </w:tcPr>
          <w:p w14:paraId="2CD4E4D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名称</w:t>
            </w:r>
          </w:p>
        </w:tc>
        <w:tc>
          <w:tcPr>
            <w:tcW w:w="851" w:type="dxa"/>
            <w:tcBorders>
              <w:top w:val="single" w:color="auto" w:sz="12" w:space="0"/>
              <w:bottom w:val="double" w:color="auto" w:sz="6" w:space="0"/>
            </w:tcBorders>
            <w:vAlign w:val="top"/>
          </w:tcPr>
          <w:p w14:paraId="45A808E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单位</w:t>
            </w:r>
          </w:p>
        </w:tc>
        <w:tc>
          <w:tcPr>
            <w:tcW w:w="774" w:type="dxa"/>
            <w:tcBorders>
              <w:top w:val="single" w:color="auto" w:sz="12" w:space="0"/>
              <w:bottom w:val="double" w:color="auto" w:sz="6" w:space="0"/>
            </w:tcBorders>
            <w:vAlign w:val="top"/>
          </w:tcPr>
          <w:p w14:paraId="4484AF6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数量</w:t>
            </w:r>
          </w:p>
        </w:tc>
        <w:tc>
          <w:tcPr>
            <w:tcW w:w="1352" w:type="dxa"/>
            <w:tcBorders>
              <w:top w:val="single" w:color="auto" w:sz="12" w:space="0"/>
              <w:bottom w:val="double" w:color="auto" w:sz="6" w:space="0"/>
            </w:tcBorders>
            <w:vAlign w:val="top"/>
          </w:tcPr>
          <w:p w14:paraId="067B923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单价（元）</w:t>
            </w:r>
          </w:p>
        </w:tc>
        <w:tc>
          <w:tcPr>
            <w:tcW w:w="1418" w:type="dxa"/>
            <w:tcBorders>
              <w:top w:val="single" w:color="auto" w:sz="12" w:space="0"/>
              <w:bottom w:val="double" w:color="auto" w:sz="6" w:space="0"/>
            </w:tcBorders>
            <w:vAlign w:val="top"/>
          </w:tcPr>
          <w:p w14:paraId="340722A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合价（元）</w:t>
            </w:r>
          </w:p>
        </w:tc>
        <w:tc>
          <w:tcPr>
            <w:tcW w:w="1303" w:type="dxa"/>
            <w:tcBorders>
              <w:top w:val="single" w:color="auto" w:sz="12" w:space="0"/>
              <w:bottom w:val="double" w:color="auto" w:sz="6" w:space="0"/>
            </w:tcBorders>
            <w:vAlign w:val="top"/>
          </w:tcPr>
          <w:p w14:paraId="579D6E7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备注</w:t>
            </w:r>
          </w:p>
        </w:tc>
      </w:tr>
      <w:tr w14:paraId="742E81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double" w:color="auto" w:sz="6" w:space="0"/>
              <w:bottom w:val="single" w:color="auto" w:sz="6" w:space="0"/>
            </w:tcBorders>
            <w:vAlign w:val="top"/>
          </w:tcPr>
          <w:p w14:paraId="65EB64C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tcBorders>
              <w:top w:val="double" w:color="auto" w:sz="6" w:space="0"/>
              <w:bottom w:val="single" w:color="auto" w:sz="6" w:space="0"/>
            </w:tcBorders>
            <w:vAlign w:val="top"/>
          </w:tcPr>
          <w:p w14:paraId="4121707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tcBorders>
              <w:top w:val="double" w:color="auto" w:sz="6" w:space="0"/>
              <w:bottom w:val="single" w:color="auto" w:sz="6" w:space="0"/>
            </w:tcBorders>
            <w:vAlign w:val="top"/>
          </w:tcPr>
          <w:p w14:paraId="434A3DB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tcBorders>
              <w:top w:val="double" w:color="auto" w:sz="6" w:space="0"/>
              <w:bottom w:val="single" w:color="auto" w:sz="6" w:space="0"/>
            </w:tcBorders>
            <w:vAlign w:val="top"/>
          </w:tcPr>
          <w:p w14:paraId="6E48810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tcBorders>
              <w:top w:val="double" w:color="auto" w:sz="6" w:space="0"/>
              <w:bottom w:val="single" w:color="auto" w:sz="6" w:space="0"/>
            </w:tcBorders>
            <w:vAlign w:val="top"/>
          </w:tcPr>
          <w:p w14:paraId="0E1DD6F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tcBorders>
              <w:top w:val="double" w:color="auto" w:sz="6" w:space="0"/>
              <w:bottom w:val="single" w:color="auto" w:sz="6" w:space="0"/>
            </w:tcBorders>
            <w:vAlign w:val="top"/>
          </w:tcPr>
          <w:p w14:paraId="6FD3864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tcBorders>
              <w:top w:val="double" w:color="auto" w:sz="6" w:space="0"/>
              <w:bottom w:val="single" w:color="auto" w:sz="6" w:space="0"/>
            </w:tcBorders>
            <w:vAlign w:val="top"/>
          </w:tcPr>
          <w:p w14:paraId="3930A43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651180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nil"/>
            </w:tcBorders>
            <w:vAlign w:val="top"/>
          </w:tcPr>
          <w:p w14:paraId="2BC96AC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tcBorders>
              <w:top w:val="nil"/>
            </w:tcBorders>
            <w:vAlign w:val="top"/>
          </w:tcPr>
          <w:p w14:paraId="37EA540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tcBorders>
              <w:top w:val="nil"/>
            </w:tcBorders>
            <w:vAlign w:val="top"/>
          </w:tcPr>
          <w:p w14:paraId="17C64F7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tcBorders>
              <w:top w:val="nil"/>
            </w:tcBorders>
            <w:vAlign w:val="top"/>
          </w:tcPr>
          <w:p w14:paraId="7A49C66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tcBorders>
              <w:top w:val="nil"/>
            </w:tcBorders>
            <w:vAlign w:val="top"/>
          </w:tcPr>
          <w:p w14:paraId="40D8CB6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tcBorders>
              <w:top w:val="nil"/>
            </w:tcBorders>
            <w:vAlign w:val="top"/>
          </w:tcPr>
          <w:p w14:paraId="2961EEA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tcBorders>
              <w:top w:val="nil"/>
            </w:tcBorders>
            <w:vAlign w:val="top"/>
          </w:tcPr>
          <w:p w14:paraId="646CCC0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02A6F6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66DA2C6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5C9D77E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4F6B1C9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73D06E9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757511A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200B7DE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7874FA2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1BD8A1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78B9681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19431C7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445FADB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29E8DC6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74129D4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15D47C0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275EE24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4F918E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6B2E612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6AFB44F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696779A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419B69D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0584182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3D80156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7EF622A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2BB8B41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1C6E391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0F15D1E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0256FAF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4C9C298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3A4F9EF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18BC0E7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41080C2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3D2BA6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7FE66F2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75F516A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0E2229A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196AE03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376B9C3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04C7429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045FA56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4B8CDA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48B1DB1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5FA0349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0ACE706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3E69B4B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7DF9B5C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2320526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2C00A5E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2C5A6C3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5C5210D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701164B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7F31DF4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1452BF9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257F8CD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66EFABB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6F147A1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1666FAB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4E7E0F5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6C33F2E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502CB83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3DBCF3E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005B0E9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7C6ED37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5EE9A8C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15DD57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7AD1AD5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1743F0D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4F764E9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4A47795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3497BFC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75F11F0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33982C1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6E07B2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22BC41C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74E3191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5EF939E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33A1C39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3200D1D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28A1CC6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0F4ED32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45608C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2AD1449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0C7B31C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54CD950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4D8198E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4BA2786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3A05EEE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0F07C5D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2B8C91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2C1761B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58F53F0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2C55C4E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1503730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38B7501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286CA47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73E00DE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38298E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338CAD2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49596BB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0B1FAC4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6842838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66608A2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226B53D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295EECE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40BEC7B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6501770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569E1A9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666FD11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6EF4B4A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300257A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3561344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4CB9AD8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0948FC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27B609C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194CC29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7778642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167D1DD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2443CE6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5EDC044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2258B66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0C185EA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147E2CA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01B7616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7A13D77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59E6266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29BCD67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6E80EDF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38C1C3C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6AEBE9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30C6337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276F029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150EDDE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55DDCCB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11E2654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4B3E1F2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2E3B626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27C14C5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6E5D57C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78534B1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7C66074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0F7D7EE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4C9EC31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18B6322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33584AA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7D54BD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0F9ADFF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6B9EDC6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3D393DB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4824855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31E97A4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72C6451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1DCD388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43F77F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72F3151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498F6E9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3A90CF1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717378A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44234F3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1DE1BA2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688B988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203220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7B328E8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29203A0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5A7C7AE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2E55E83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228DCCB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255704A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4441EBE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4F3CBB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12E20BE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3A57437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1A87610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6FF5137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49BCEC2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4F45BAD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4CC5FD1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0B4519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vAlign w:val="top"/>
          </w:tcPr>
          <w:p w14:paraId="64B7306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2784983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851" w:type="dxa"/>
            <w:vAlign w:val="top"/>
          </w:tcPr>
          <w:p w14:paraId="65C14EC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774" w:type="dxa"/>
            <w:vAlign w:val="top"/>
          </w:tcPr>
          <w:p w14:paraId="00A67A3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52" w:type="dxa"/>
            <w:vAlign w:val="top"/>
          </w:tcPr>
          <w:p w14:paraId="6DCB116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8" w:type="dxa"/>
            <w:vAlign w:val="top"/>
          </w:tcPr>
          <w:p w14:paraId="6160D02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303" w:type="dxa"/>
            <w:vAlign w:val="top"/>
          </w:tcPr>
          <w:p w14:paraId="29458B7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bl>
    <w:p w14:paraId="07E412AA">
      <w:pPr>
        <w:spacing w:line="440" w:lineRule="exact"/>
        <w:rPr>
          <w:rFonts w:hint="eastAsia" w:ascii="宋体" w:hAnsi="宋体" w:eastAsia="宋体" w:cs="宋体"/>
          <w:color w:val="auto"/>
          <w:sz w:val="21"/>
          <w:szCs w:val="21"/>
          <w:highlight w:val="none"/>
        </w:rPr>
      </w:pPr>
    </w:p>
    <w:p w14:paraId="4C9E2605">
      <w:pPr>
        <w:spacing w:before="120" w:beforeLines="50" w:after="120" w:afterLines="50" w:line="440" w:lineRule="exact"/>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br w:type="page"/>
      </w:r>
      <w:r>
        <w:rPr>
          <w:rFonts w:hint="eastAsia" w:ascii="宋体" w:hAnsi="宋体" w:eastAsia="宋体" w:cs="宋体"/>
          <w:color w:val="auto"/>
          <w:sz w:val="21"/>
          <w:szCs w:val="21"/>
          <w:highlight w:val="none"/>
        </w:rPr>
        <w:t>11-3：专业工程暂估价表</w:t>
      </w:r>
    </w:p>
    <w:tbl>
      <w:tblPr>
        <w:tblStyle w:val="18"/>
        <w:tblW w:w="8675"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395"/>
        <w:gridCol w:w="1417"/>
      </w:tblGrid>
      <w:tr w14:paraId="7FC947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single" w:color="auto" w:sz="12" w:space="0"/>
              <w:bottom w:val="double" w:color="auto" w:sz="6" w:space="0"/>
            </w:tcBorders>
            <w:vAlign w:val="top"/>
          </w:tcPr>
          <w:p w14:paraId="79202EE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序号</w:t>
            </w:r>
          </w:p>
        </w:tc>
        <w:tc>
          <w:tcPr>
            <w:tcW w:w="1984" w:type="dxa"/>
            <w:tcBorders>
              <w:top w:val="single" w:color="auto" w:sz="12" w:space="0"/>
              <w:bottom w:val="double" w:color="auto" w:sz="6" w:space="0"/>
            </w:tcBorders>
            <w:vAlign w:val="top"/>
          </w:tcPr>
          <w:p w14:paraId="097DF45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专业工程名称</w:t>
            </w:r>
          </w:p>
        </w:tc>
        <w:tc>
          <w:tcPr>
            <w:tcW w:w="4395" w:type="dxa"/>
            <w:tcBorders>
              <w:top w:val="single" w:color="auto" w:sz="12" w:space="0"/>
              <w:bottom w:val="double" w:color="auto" w:sz="6" w:space="0"/>
            </w:tcBorders>
            <w:vAlign w:val="top"/>
          </w:tcPr>
          <w:p w14:paraId="289AED8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工程内容</w:t>
            </w:r>
          </w:p>
        </w:tc>
        <w:tc>
          <w:tcPr>
            <w:tcW w:w="1417" w:type="dxa"/>
            <w:tcBorders>
              <w:top w:val="single" w:color="auto" w:sz="12" w:space="0"/>
              <w:bottom w:val="double" w:color="auto" w:sz="6" w:space="0"/>
            </w:tcBorders>
            <w:vAlign w:val="top"/>
          </w:tcPr>
          <w:p w14:paraId="6CD6F3C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金额</w:t>
            </w:r>
          </w:p>
        </w:tc>
      </w:tr>
      <w:tr w14:paraId="362E64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double" w:color="auto" w:sz="6" w:space="0"/>
              <w:bottom w:val="single" w:color="auto" w:sz="6" w:space="0"/>
            </w:tcBorders>
            <w:vAlign w:val="top"/>
          </w:tcPr>
          <w:p w14:paraId="7BABD64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tcBorders>
              <w:top w:val="double" w:color="auto" w:sz="6" w:space="0"/>
              <w:bottom w:val="single" w:color="auto" w:sz="6" w:space="0"/>
            </w:tcBorders>
            <w:vAlign w:val="top"/>
          </w:tcPr>
          <w:p w14:paraId="30D2E45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tcBorders>
              <w:top w:val="double" w:color="auto" w:sz="6" w:space="0"/>
              <w:bottom w:val="single" w:color="auto" w:sz="6" w:space="0"/>
            </w:tcBorders>
            <w:vAlign w:val="top"/>
          </w:tcPr>
          <w:p w14:paraId="1380DB2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tcBorders>
              <w:top w:val="double" w:color="auto" w:sz="6" w:space="0"/>
              <w:bottom w:val="single" w:color="auto" w:sz="6" w:space="0"/>
            </w:tcBorders>
            <w:vAlign w:val="top"/>
          </w:tcPr>
          <w:p w14:paraId="022BE6A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3D16606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nil"/>
            </w:tcBorders>
            <w:vAlign w:val="top"/>
          </w:tcPr>
          <w:p w14:paraId="00A7F3C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tcBorders>
              <w:top w:val="nil"/>
            </w:tcBorders>
            <w:vAlign w:val="top"/>
          </w:tcPr>
          <w:p w14:paraId="5753BC4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tcBorders>
              <w:top w:val="nil"/>
            </w:tcBorders>
            <w:vAlign w:val="top"/>
          </w:tcPr>
          <w:p w14:paraId="0B8BC3B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tcBorders>
              <w:top w:val="nil"/>
            </w:tcBorders>
            <w:vAlign w:val="top"/>
          </w:tcPr>
          <w:p w14:paraId="2D9D8E8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6E87B85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nil"/>
            </w:tcBorders>
            <w:vAlign w:val="top"/>
          </w:tcPr>
          <w:p w14:paraId="23B8CA7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tcBorders>
              <w:top w:val="nil"/>
            </w:tcBorders>
            <w:vAlign w:val="top"/>
          </w:tcPr>
          <w:p w14:paraId="69BCCCF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tcBorders>
              <w:top w:val="nil"/>
            </w:tcBorders>
            <w:vAlign w:val="top"/>
          </w:tcPr>
          <w:p w14:paraId="3BE1140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tcBorders>
              <w:top w:val="nil"/>
            </w:tcBorders>
            <w:vAlign w:val="top"/>
          </w:tcPr>
          <w:p w14:paraId="3D48718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7ABB7BB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0B7FA4F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7922823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516F070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0D509CF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186C41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71B5659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4A05159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00FADD8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24525CF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6035ECD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3BD9493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2A6496A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59B01FD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54D9EBB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2853A5C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3581E6B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77711F7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7FAF1B4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3AD8995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03B5A4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7B6162F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6815A12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7AB92EF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4DEDC92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4501B6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541A1C8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4352DFC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2AB9F8F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71EBE36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7880F7F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5E5B4A9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431B943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41F3DE9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7BCFB02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7D99EA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56C2410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1447D6F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110D37E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22371D1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1845E5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1C424DE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409D10B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572A87C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2B0217F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71EAE5C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0434C8D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7475935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1C343FB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28828E25">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6E33E8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073B7E4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649F30A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00A768D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2AE416C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055CCE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5E5A339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6357AD8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032007B6">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27FA046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119B80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51FFA11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58DEE92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60D2BC4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588E57C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0C91ED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6B6550F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3042B0B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3B189E0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3B6E7C69">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28A963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0EDE7AA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61A6EA5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6AFAD2A8">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3251F03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345DC6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783C894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149A651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41BD731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35D09C5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17EEE1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67B16640">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3E5CBA4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19226E4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7BEC8D8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5085734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6EA87D1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7A3B7F5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3A002F9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533062D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76EC1F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2E33486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2AAE565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1D2B0C1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52A352C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1F454C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6B99CF2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20F8881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54449FAE">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5EDE3D61">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57D195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036CE2D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1D103032">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34511BE3">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6CCB69BB">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0D0B76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6E8E760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51C26AE7">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08569B6D">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73C7252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42333F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vAlign w:val="top"/>
          </w:tcPr>
          <w:p w14:paraId="27B6306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984" w:type="dxa"/>
            <w:vAlign w:val="top"/>
          </w:tcPr>
          <w:p w14:paraId="75CAB23F">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4395" w:type="dxa"/>
            <w:vAlign w:val="top"/>
          </w:tcPr>
          <w:p w14:paraId="7858F1D4">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c>
          <w:tcPr>
            <w:tcW w:w="1417" w:type="dxa"/>
            <w:vAlign w:val="top"/>
          </w:tcPr>
          <w:p w14:paraId="1F49C4BC">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p>
        </w:tc>
      </w:tr>
      <w:tr w14:paraId="23AF52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675" w:type="dxa"/>
            <w:gridSpan w:val="4"/>
            <w:vAlign w:val="top"/>
          </w:tcPr>
          <w:p w14:paraId="4EDA8B5A">
            <w:pPr>
              <w:pStyle w:val="8"/>
              <w:keepNext/>
              <w:spacing w:after="0" w:line="440" w:lineRule="exact"/>
              <w:ind w:left="63" w:right="63"/>
              <w:rPr>
                <w:rFonts w:hint="eastAsia" w:ascii="宋体" w:hAnsi="宋体" w:eastAsia="宋体" w:cs="宋体"/>
                <w:color w:val="auto"/>
                <w:kern w:val="2"/>
                <w:sz w:val="21"/>
                <w:szCs w:val="21"/>
                <w:highlight w:val="none"/>
                <w:lang w:val="en-US" w:eastAsia="zh-CN"/>
              </w:rPr>
            </w:pPr>
            <w:r>
              <w:rPr>
                <w:rFonts w:hint="eastAsia" w:ascii="宋体" w:hAnsi="宋体" w:eastAsia="宋体" w:cs="宋体"/>
                <w:color w:val="auto"/>
                <w:kern w:val="2"/>
                <w:sz w:val="21"/>
                <w:szCs w:val="21"/>
                <w:highlight w:val="none"/>
                <w:lang w:val="en-US" w:eastAsia="zh-CN"/>
              </w:rPr>
              <w:t>小计：</w:t>
            </w:r>
          </w:p>
        </w:tc>
      </w:tr>
    </w:tbl>
    <w:p w14:paraId="2107E0E9">
      <w:pPr>
        <w:spacing w:line="480" w:lineRule="auto"/>
        <w:rPr>
          <w:rFonts w:hint="eastAsia" w:ascii="宋体" w:hAnsi="宋体" w:eastAsia="宋体" w:cs="宋体"/>
          <w:color w:val="auto"/>
          <w:sz w:val="21"/>
          <w:szCs w:val="21"/>
          <w:highlight w:val="none"/>
        </w:rPr>
      </w:pPr>
    </w:p>
    <w:p w14:paraId="7386673D">
      <w:pPr>
        <w:pStyle w:val="2"/>
        <w:numPr>
          <w:ilvl w:val="0"/>
          <w:numId w:val="0"/>
        </w:numPr>
        <w:tabs>
          <w:tab w:val="left" w:pos="0"/>
        </w:tabs>
        <w:autoSpaceDE w:val="0"/>
        <w:autoSpaceDN w:val="0"/>
        <w:adjustRightInd w:val="0"/>
        <w:spacing w:before="0" w:after="0" w:line="360" w:lineRule="auto"/>
        <w:ind w:left="425" w:leftChars="0"/>
        <w:jc w:val="center"/>
        <w:rPr>
          <w:rFonts w:hint="eastAsia" w:ascii="宋体" w:hAnsi="宋体" w:eastAsia="宋体" w:cs="宋体"/>
          <w:color w:val="auto"/>
          <w:sz w:val="28"/>
          <w:szCs w:val="28"/>
          <w:highlight w:val="none"/>
          <w:lang w:eastAsia="zh-CN"/>
        </w:rPr>
      </w:pPr>
      <w:bookmarkStart w:id="834" w:name="_Toc6509"/>
      <w:bookmarkStart w:id="835" w:name="_Toc2274"/>
      <w:r>
        <w:rPr>
          <w:rFonts w:hint="eastAsia" w:ascii="宋体" w:hAnsi="宋体" w:eastAsia="宋体" w:cs="宋体"/>
          <w:color w:val="auto"/>
          <w:sz w:val="28"/>
          <w:szCs w:val="28"/>
          <w:highlight w:val="none"/>
          <w:lang w:eastAsia="zh-CN"/>
        </w:rPr>
        <w:t xml:space="preserve">第六章  </w:t>
      </w:r>
      <w:bookmarkEnd w:id="151"/>
      <w:bookmarkEnd w:id="152"/>
      <w:bookmarkStart w:id="836" w:name="_Toc13185"/>
      <w:r>
        <w:rPr>
          <w:rFonts w:hint="eastAsia" w:ascii="宋体" w:hAnsi="宋体" w:eastAsia="宋体" w:cs="宋体"/>
          <w:color w:val="auto"/>
          <w:sz w:val="28"/>
          <w:szCs w:val="28"/>
          <w:highlight w:val="none"/>
          <w:lang w:eastAsia="zh-CN"/>
        </w:rPr>
        <w:t>响应文件（格式）</w:t>
      </w:r>
      <w:bookmarkEnd w:id="834"/>
      <w:bookmarkEnd w:id="835"/>
      <w:bookmarkEnd w:id="836"/>
    </w:p>
    <w:p w14:paraId="6A9E6EDB">
      <w:pPr>
        <w:rPr>
          <w:rFonts w:hint="eastAsia" w:ascii="宋体" w:hAnsi="宋体" w:eastAsia="宋体" w:cs="宋体"/>
          <w:color w:val="auto"/>
          <w:sz w:val="24"/>
          <w:szCs w:val="24"/>
          <w:highlight w:val="none"/>
        </w:rPr>
      </w:pPr>
    </w:p>
    <w:p w14:paraId="5DCCCD42">
      <w:pPr>
        <w:pStyle w:val="11"/>
        <w:jc w:val="both"/>
        <w:rPr>
          <w:rFonts w:hint="eastAsia" w:ascii="宋体" w:hAnsi="宋体" w:eastAsia="宋体" w:cs="宋体"/>
          <w:b/>
          <w:color w:val="auto"/>
          <w:sz w:val="24"/>
          <w:szCs w:val="24"/>
          <w:highlight w:val="none"/>
          <w:lang w:eastAsia="zh-CN"/>
        </w:rPr>
      </w:pPr>
      <w:r>
        <w:rPr>
          <w:rFonts w:hint="eastAsia" w:ascii="宋体" w:hAnsi="宋体" w:eastAsia="宋体" w:cs="宋体"/>
          <w:b/>
          <w:color w:val="auto"/>
          <w:sz w:val="24"/>
          <w:szCs w:val="24"/>
          <w:highlight w:val="none"/>
          <w:lang w:eastAsia="zh-CN"/>
        </w:rPr>
        <w:t>响应文件封面格式</w:t>
      </w:r>
    </w:p>
    <w:p w14:paraId="1CB3ED13">
      <w:pPr>
        <w:adjustRightInd w:val="0"/>
        <w:snapToGrid w:val="0"/>
        <w:rPr>
          <w:rFonts w:hint="eastAsia" w:ascii="宋体" w:hAnsi="宋体" w:eastAsia="宋体" w:cs="宋体"/>
          <w:b/>
          <w:color w:val="auto"/>
          <w:sz w:val="21"/>
          <w:szCs w:val="21"/>
          <w:highlight w:val="none"/>
        </w:rPr>
      </w:pPr>
    </w:p>
    <w:p w14:paraId="21D40E6C">
      <w:pPr>
        <w:pStyle w:val="23"/>
        <w:rPr>
          <w:rFonts w:hint="eastAsia" w:ascii="宋体" w:hAnsi="宋体" w:eastAsia="宋体" w:cs="宋体"/>
          <w:color w:val="auto"/>
          <w:sz w:val="21"/>
          <w:szCs w:val="21"/>
          <w:highlight w:val="none"/>
        </w:rPr>
      </w:pPr>
    </w:p>
    <w:p w14:paraId="31F4C0B4">
      <w:pPr>
        <w:pStyle w:val="23"/>
        <w:rPr>
          <w:rFonts w:hint="eastAsia" w:ascii="宋体" w:hAnsi="宋体" w:eastAsia="宋体" w:cs="宋体"/>
          <w:color w:val="auto"/>
          <w:sz w:val="24"/>
          <w:szCs w:val="24"/>
          <w:highlight w:val="none"/>
        </w:rPr>
      </w:pPr>
    </w:p>
    <w:p w14:paraId="14B5A6F7">
      <w:pPr>
        <w:pStyle w:val="23"/>
        <w:rPr>
          <w:rFonts w:hint="eastAsia" w:ascii="宋体" w:hAnsi="宋体" w:eastAsia="宋体" w:cs="宋体"/>
          <w:color w:val="auto"/>
          <w:sz w:val="24"/>
          <w:szCs w:val="24"/>
          <w:highlight w:val="none"/>
        </w:rPr>
      </w:pPr>
    </w:p>
    <w:p w14:paraId="4649DC6F">
      <w:pPr>
        <w:pStyle w:val="23"/>
        <w:rPr>
          <w:rFonts w:hint="eastAsia" w:ascii="宋体" w:hAnsi="宋体" w:eastAsia="宋体" w:cs="宋体"/>
          <w:color w:val="auto"/>
          <w:sz w:val="24"/>
          <w:szCs w:val="24"/>
          <w:highlight w:val="none"/>
        </w:rPr>
      </w:pPr>
    </w:p>
    <w:p w14:paraId="5DA809D7">
      <w:pPr>
        <w:pStyle w:val="23"/>
        <w:rPr>
          <w:rFonts w:hint="eastAsia" w:ascii="宋体" w:hAnsi="宋体" w:eastAsia="宋体" w:cs="宋体"/>
          <w:color w:val="auto"/>
          <w:sz w:val="24"/>
          <w:szCs w:val="24"/>
          <w:highlight w:val="none"/>
        </w:rPr>
      </w:pPr>
    </w:p>
    <w:p w14:paraId="478F59C0">
      <w:pPr>
        <w:snapToGrid w:val="0"/>
        <w:spacing w:before="156" w:beforeLines="50" w:after="50"/>
        <w:jc w:val="center"/>
        <w:rPr>
          <w:rFonts w:hint="eastAsia" w:ascii="宋体" w:hAnsi="宋体" w:eastAsia="宋体" w:cs="宋体"/>
          <w:b/>
          <w:color w:val="auto"/>
          <w:sz w:val="30"/>
          <w:szCs w:val="30"/>
          <w:highlight w:val="none"/>
        </w:rPr>
      </w:pPr>
    </w:p>
    <w:p w14:paraId="14FA90D0">
      <w:pPr>
        <w:snapToGrid w:val="0"/>
        <w:spacing w:before="156" w:beforeLines="50" w:after="50"/>
        <w:jc w:val="center"/>
        <w:rPr>
          <w:rFonts w:hint="eastAsia" w:ascii="宋体" w:hAnsi="宋体" w:eastAsia="宋体" w:cs="宋体"/>
          <w:b/>
          <w:color w:val="auto"/>
          <w:sz w:val="30"/>
          <w:szCs w:val="30"/>
          <w:highlight w:val="none"/>
        </w:rPr>
      </w:pPr>
      <w:r>
        <w:rPr>
          <w:rFonts w:hint="eastAsia" w:ascii="宋体" w:hAnsi="宋体" w:eastAsia="宋体" w:cs="宋体"/>
          <w:b/>
          <w:color w:val="auto"/>
          <w:sz w:val="30"/>
          <w:szCs w:val="30"/>
          <w:highlight w:val="none"/>
        </w:rPr>
        <w:t>响 应 文 件</w:t>
      </w:r>
    </w:p>
    <w:p w14:paraId="6781EDA2">
      <w:pPr>
        <w:snapToGrid w:val="0"/>
        <w:spacing w:before="156" w:beforeLines="50" w:after="50"/>
        <w:ind w:firstLine="360" w:firstLineChars="150"/>
        <w:jc w:val="both"/>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lang w:val="en-US" w:eastAsia="zh-CN"/>
        </w:rPr>
        <w:t xml:space="preserve">                       </w:t>
      </w:r>
    </w:p>
    <w:p w14:paraId="28675C53">
      <w:pPr>
        <w:snapToGrid w:val="0"/>
        <w:spacing w:before="156" w:beforeLines="50" w:after="50"/>
        <w:ind w:firstLine="361" w:firstLineChars="150"/>
        <w:rPr>
          <w:rFonts w:hint="eastAsia" w:ascii="宋体" w:hAnsi="宋体" w:eastAsia="宋体" w:cs="宋体"/>
          <w:b/>
          <w:color w:val="auto"/>
          <w:sz w:val="24"/>
          <w:szCs w:val="24"/>
          <w:highlight w:val="none"/>
        </w:rPr>
      </w:pPr>
    </w:p>
    <w:p w14:paraId="22B4A765">
      <w:pPr>
        <w:pStyle w:val="8"/>
        <w:rPr>
          <w:rFonts w:hint="eastAsia"/>
          <w:color w:val="auto"/>
          <w:highlight w:val="none"/>
        </w:rPr>
      </w:pPr>
    </w:p>
    <w:p w14:paraId="142C61A3">
      <w:pPr>
        <w:pStyle w:val="8"/>
        <w:rPr>
          <w:rFonts w:hint="eastAsia"/>
          <w:color w:val="auto"/>
          <w:highlight w:val="none"/>
        </w:rPr>
      </w:pPr>
    </w:p>
    <w:p w14:paraId="06461391">
      <w:pPr>
        <w:rPr>
          <w:rFonts w:hint="eastAsia"/>
          <w:color w:val="auto"/>
          <w:highlight w:val="none"/>
        </w:rPr>
      </w:pPr>
    </w:p>
    <w:p w14:paraId="2466CEC0">
      <w:pPr>
        <w:snapToGrid w:val="0"/>
        <w:spacing w:before="156" w:beforeLines="50" w:after="50"/>
        <w:ind w:firstLine="361" w:firstLineChars="150"/>
        <w:rPr>
          <w:rFonts w:hint="eastAsia" w:ascii="宋体" w:hAnsi="宋体" w:eastAsia="宋体" w:cs="宋体"/>
          <w:b/>
          <w:color w:val="auto"/>
          <w:sz w:val="24"/>
          <w:szCs w:val="24"/>
          <w:highlight w:val="none"/>
        </w:rPr>
      </w:pPr>
    </w:p>
    <w:p w14:paraId="44FDE0AC">
      <w:pPr>
        <w:keepNext w:val="0"/>
        <w:keepLines w:val="0"/>
        <w:pageBreakBefore w:val="0"/>
        <w:widowControl w:val="0"/>
        <w:kinsoku/>
        <w:wordWrap/>
        <w:overflowPunct/>
        <w:topLinePunct w:val="0"/>
        <w:autoSpaceDE/>
        <w:autoSpaceDN/>
        <w:bidi w:val="0"/>
        <w:adjustRightInd/>
        <w:snapToGrid w:val="0"/>
        <w:spacing w:line="360" w:lineRule="auto"/>
        <w:ind w:firstLine="1205" w:firstLineChars="500"/>
        <w:textAlignment w:val="auto"/>
        <w:rPr>
          <w:rFonts w:hint="eastAsia" w:ascii="宋体" w:hAnsi="宋体" w:eastAsia="宋体" w:cs="宋体"/>
          <w:b/>
          <w:bCs w:val="0"/>
          <w:color w:val="auto"/>
          <w:sz w:val="24"/>
          <w:szCs w:val="24"/>
          <w:highlight w:val="none"/>
          <w:u w:val="single"/>
          <w:lang w:eastAsia="zh-CN"/>
        </w:rPr>
      </w:pPr>
      <w:r>
        <w:rPr>
          <w:rFonts w:hint="eastAsia" w:ascii="宋体" w:hAnsi="宋体" w:eastAsia="宋体" w:cs="宋体"/>
          <w:b/>
          <w:bCs w:val="0"/>
          <w:color w:val="auto"/>
          <w:sz w:val="24"/>
          <w:szCs w:val="24"/>
          <w:highlight w:val="none"/>
        </w:rPr>
        <w:t>项目名称：</w:t>
      </w:r>
      <w:r>
        <w:rPr>
          <w:rFonts w:hint="eastAsia" w:ascii="宋体" w:hAnsi="宋体" w:cs="宋体"/>
          <w:b/>
          <w:bCs w:val="0"/>
          <w:color w:val="auto"/>
          <w:sz w:val="24"/>
          <w:szCs w:val="24"/>
          <w:highlight w:val="none"/>
          <w:u w:val="single"/>
          <w:lang w:eastAsia="zh-CN"/>
        </w:rPr>
        <w:t>中峰村油榨坪街村民议事中心</w:t>
      </w:r>
      <w:r>
        <w:rPr>
          <w:rFonts w:hint="eastAsia" w:ascii="宋体" w:hAnsi="宋体" w:eastAsia="宋体" w:cs="宋体"/>
          <w:color w:val="auto"/>
          <w:sz w:val="24"/>
          <w:szCs w:val="24"/>
          <w:highlight w:val="none"/>
        </w:rPr>
        <w:t xml:space="preserve">  </w:t>
      </w:r>
    </w:p>
    <w:p w14:paraId="05BDC9FF">
      <w:pPr>
        <w:keepNext w:val="0"/>
        <w:keepLines w:val="0"/>
        <w:pageBreakBefore w:val="0"/>
        <w:widowControl w:val="0"/>
        <w:kinsoku/>
        <w:wordWrap/>
        <w:overflowPunct/>
        <w:topLinePunct w:val="0"/>
        <w:autoSpaceDE/>
        <w:autoSpaceDN/>
        <w:bidi w:val="0"/>
        <w:adjustRightInd/>
        <w:snapToGrid w:val="0"/>
        <w:spacing w:line="360" w:lineRule="auto"/>
        <w:ind w:firstLine="1205" w:firstLineChars="500"/>
        <w:textAlignment w:val="auto"/>
        <w:rPr>
          <w:rFonts w:hint="eastAsia" w:ascii="宋体" w:hAnsi="宋体" w:eastAsia="宋体" w:cs="宋体"/>
          <w:b/>
          <w:bCs w:val="0"/>
          <w:color w:val="auto"/>
          <w:sz w:val="24"/>
          <w:szCs w:val="24"/>
          <w:highlight w:val="none"/>
          <w:lang w:val="en-US" w:eastAsia="zh-CN"/>
        </w:rPr>
      </w:pPr>
      <w:r>
        <w:rPr>
          <w:rFonts w:hint="eastAsia" w:ascii="宋体" w:hAnsi="宋体" w:eastAsia="宋体" w:cs="宋体"/>
          <w:b/>
          <w:bCs w:val="0"/>
          <w:color w:val="auto"/>
          <w:sz w:val="24"/>
          <w:szCs w:val="24"/>
          <w:highlight w:val="none"/>
        </w:rPr>
        <w:t>项目编号：</w:t>
      </w:r>
      <w:r>
        <w:rPr>
          <w:rFonts w:hint="eastAsia" w:ascii="宋体" w:hAnsi="宋体" w:cs="宋体"/>
          <w:b/>
          <w:bCs w:val="0"/>
          <w:color w:val="auto"/>
          <w:sz w:val="24"/>
          <w:szCs w:val="24"/>
          <w:highlight w:val="none"/>
          <w:u w:val="single"/>
          <w:lang w:eastAsia="zh-CN"/>
        </w:rPr>
        <w:t>GLZC2024-C2-290265-GXGZ</w:t>
      </w:r>
    </w:p>
    <w:p w14:paraId="5ADB1794">
      <w:pPr>
        <w:rPr>
          <w:rFonts w:hint="eastAsia" w:ascii="宋体" w:hAnsi="宋体" w:eastAsia="宋体" w:cs="宋体"/>
          <w:b/>
          <w:color w:val="auto"/>
          <w:sz w:val="24"/>
          <w:szCs w:val="24"/>
          <w:highlight w:val="none"/>
        </w:rPr>
      </w:pPr>
    </w:p>
    <w:p w14:paraId="1BA5C51A">
      <w:pPr>
        <w:spacing w:line="400" w:lineRule="exact"/>
        <w:ind w:firstLine="2318" w:firstLineChars="962"/>
        <w:rPr>
          <w:rFonts w:hint="eastAsia" w:ascii="宋体" w:hAnsi="宋体" w:eastAsia="宋体" w:cs="宋体"/>
          <w:b/>
          <w:color w:val="auto"/>
          <w:sz w:val="24"/>
          <w:szCs w:val="24"/>
          <w:highlight w:val="none"/>
        </w:rPr>
      </w:pPr>
    </w:p>
    <w:p w14:paraId="02A9229C">
      <w:pPr>
        <w:pStyle w:val="8"/>
        <w:rPr>
          <w:rFonts w:hint="eastAsia" w:ascii="宋体" w:hAnsi="宋体" w:eastAsia="宋体" w:cs="宋体"/>
          <w:b/>
          <w:color w:val="auto"/>
          <w:sz w:val="24"/>
          <w:szCs w:val="24"/>
          <w:highlight w:val="none"/>
        </w:rPr>
      </w:pPr>
    </w:p>
    <w:p w14:paraId="19FC8BA6">
      <w:pPr>
        <w:rPr>
          <w:rFonts w:hint="eastAsia"/>
          <w:color w:val="auto"/>
          <w:highlight w:val="none"/>
        </w:rPr>
      </w:pPr>
    </w:p>
    <w:p w14:paraId="3955F18E">
      <w:pPr>
        <w:pStyle w:val="23"/>
        <w:rPr>
          <w:rFonts w:hint="eastAsia" w:ascii="宋体" w:hAnsi="宋体" w:eastAsia="宋体" w:cs="宋体"/>
          <w:b/>
          <w:color w:val="auto"/>
          <w:sz w:val="24"/>
          <w:szCs w:val="24"/>
          <w:highlight w:val="none"/>
        </w:rPr>
      </w:pPr>
    </w:p>
    <w:p w14:paraId="0D5DD00F">
      <w:pPr>
        <w:pStyle w:val="23"/>
        <w:rPr>
          <w:rFonts w:hint="eastAsia" w:ascii="宋体" w:hAnsi="宋体" w:eastAsia="宋体" w:cs="宋体"/>
          <w:b/>
          <w:color w:val="auto"/>
          <w:sz w:val="24"/>
          <w:szCs w:val="24"/>
          <w:highlight w:val="none"/>
        </w:rPr>
      </w:pPr>
    </w:p>
    <w:p w14:paraId="47E41BDB">
      <w:pPr>
        <w:pStyle w:val="23"/>
        <w:rPr>
          <w:rFonts w:hint="eastAsia" w:ascii="宋体" w:hAnsi="宋体" w:eastAsia="宋体" w:cs="宋体"/>
          <w:b/>
          <w:color w:val="auto"/>
          <w:sz w:val="24"/>
          <w:szCs w:val="24"/>
          <w:highlight w:val="none"/>
        </w:rPr>
      </w:pPr>
    </w:p>
    <w:p w14:paraId="185EC870">
      <w:pPr>
        <w:pStyle w:val="23"/>
        <w:rPr>
          <w:rFonts w:hint="eastAsia" w:ascii="宋体" w:hAnsi="宋体" w:eastAsia="宋体" w:cs="宋体"/>
          <w:b/>
          <w:color w:val="auto"/>
          <w:sz w:val="24"/>
          <w:szCs w:val="24"/>
          <w:highlight w:val="none"/>
        </w:rPr>
      </w:pPr>
    </w:p>
    <w:p w14:paraId="0D0DC29A">
      <w:pPr>
        <w:pStyle w:val="23"/>
        <w:rPr>
          <w:rFonts w:hint="eastAsia" w:ascii="宋体" w:hAnsi="宋体" w:eastAsia="宋体" w:cs="宋体"/>
          <w:b/>
          <w:color w:val="auto"/>
          <w:sz w:val="24"/>
          <w:szCs w:val="24"/>
          <w:highlight w:val="none"/>
        </w:rPr>
      </w:pPr>
    </w:p>
    <w:p w14:paraId="13C79AE0">
      <w:pPr>
        <w:pStyle w:val="23"/>
        <w:rPr>
          <w:rFonts w:hint="eastAsia" w:ascii="宋体" w:hAnsi="宋体" w:eastAsia="宋体" w:cs="宋体"/>
          <w:b/>
          <w:color w:val="auto"/>
          <w:sz w:val="24"/>
          <w:szCs w:val="24"/>
          <w:highlight w:val="none"/>
        </w:rPr>
      </w:pPr>
    </w:p>
    <w:p w14:paraId="6302ACA6">
      <w:pPr>
        <w:pStyle w:val="9"/>
        <w:keepNext w:val="0"/>
        <w:keepLines w:val="0"/>
        <w:pageBreakBefore w:val="0"/>
        <w:widowControl w:val="0"/>
        <w:kinsoku/>
        <w:wordWrap/>
        <w:overflowPunct/>
        <w:topLinePunct w:val="0"/>
        <w:autoSpaceDE/>
        <w:autoSpaceDN/>
        <w:bidi w:val="0"/>
        <w:adjustRightInd/>
        <w:snapToGrid/>
        <w:spacing w:after="0" w:line="400" w:lineRule="exact"/>
        <w:ind w:left="1197" w:leftChars="570" w:firstLine="0" w:firstLineChars="0"/>
        <w:textAlignment w:val="auto"/>
        <w:rPr>
          <w:rFonts w:hint="eastAsia" w:ascii="宋体" w:hAnsi="宋体" w:cs="宋体"/>
          <w:b w:val="0"/>
          <w:bCs/>
          <w:color w:val="auto"/>
          <w:sz w:val="24"/>
          <w:szCs w:val="24"/>
          <w:highlight w:val="none"/>
          <w:u w:val="single"/>
          <w:lang w:eastAsia="zh-CN"/>
        </w:rPr>
      </w:pPr>
      <w:r>
        <w:rPr>
          <w:rFonts w:hint="eastAsia" w:ascii="宋体" w:hAnsi="宋体" w:eastAsia="宋体" w:cs="宋体"/>
          <w:b w:val="0"/>
          <w:bCs/>
          <w:color w:val="auto"/>
          <w:sz w:val="24"/>
          <w:szCs w:val="24"/>
          <w:highlight w:val="none"/>
        </w:rPr>
        <w:t>采购代理机构：</w:t>
      </w:r>
      <w:bookmarkStart w:id="837" w:name="_Toc20319_WPSOffice_Level2"/>
      <w:bookmarkStart w:id="838" w:name="_Toc4932_WPSOffice_Level2"/>
      <w:r>
        <w:rPr>
          <w:rFonts w:hint="eastAsia" w:ascii="宋体" w:hAnsi="宋体" w:cs="宋体"/>
          <w:b w:val="0"/>
          <w:bCs/>
          <w:color w:val="auto"/>
          <w:sz w:val="24"/>
          <w:szCs w:val="24"/>
          <w:highlight w:val="none"/>
          <w:u w:val="single"/>
          <w:lang w:eastAsia="zh-CN"/>
        </w:rPr>
        <w:t>广西高质建设管理咨询有限公司</w:t>
      </w:r>
    </w:p>
    <w:p w14:paraId="376EAEBB">
      <w:pPr>
        <w:pStyle w:val="9"/>
        <w:keepNext w:val="0"/>
        <w:keepLines w:val="0"/>
        <w:pageBreakBefore w:val="0"/>
        <w:widowControl w:val="0"/>
        <w:kinsoku/>
        <w:wordWrap/>
        <w:overflowPunct/>
        <w:topLinePunct w:val="0"/>
        <w:autoSpaceDE/>
        <w:autoSpaceDN/>
        <w:bidi w:val="0"/>
        <w:adjustRightInd/>
        <w:snapToGrid/>
        <w:spacing w:after="0" w:line="400" w:lineRule="exact"/>
        <w:ind w:left="1197" w:leftChars="570" w:firstLine="0" w:firstLineChars="0"/>
        <w:textAlignment w:val="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lang w:eastAsia="zh-CN"/>
        </w:rPr>
        <w:t>磋商供应商</w:t>
      </w:r>
      <w:r>
        <w:rPr>
          <w:rFonts w:hint="eastAsia" w:ascii="宋体" w:hAnsi="宋体" w:eastAsia="宋体" w:cs="宋体"/>
          <w:bCs/>
          <w:color w:val="auto"/>
          <w:sz w:val="24"/>
          <w:szCs w:val="24"/>
          <w:highlight w:val="none"/>
          <w:lang w:val="en-US" w:eastAsia="zh-CN"/>
        </w:rPr>
        <w:t>[</w:t>
      </w:r>
      <w:r>
        <w:rPr>
          <w:rFonts w:hint="eastAsia" w:ascii="宋体" w:hAnsi="宋体" w:eastAsia="宋体" w:cs="宋体"/>
          <w:bCs/>
          <w:color w:val="auto"/>
          <w:sz w:val="24"/>
          <w:szCs w:val="24"/>
          <w:highlight w:val="none"/>
        </w:rPr>
        <w:t>公章</w:t>
      </w:r>
      <w:r>
        <w:rPr>
          <w:rFonts w:hint="eastAsia" w:ascii="宋体" w:hAnsi="宋体" w:eastAsia="宋体" w:cs="宋体"/>
          <w:bCs/>
          <w:color w:val="auto"/>
          <w:sz w:val="24"/>
          <w:szCs w:val="24"/>
          <w:highlight w:val="none"/>
          <w:lang w:val="en-US" w:eastAsia="zh-CN"/>
        </w:rPr>
        <w:t>(CA签章)</w:t>
      </w:r>
      <w:r>
        <w:rPr>
          <w:rFonts w:hint="eastAsia" w:ascii="宋体" w:hAnsi="宋体" w:eastAsia="宋体" w:cs="宋体"/>
          <w:bCs/>
          <w:color w:val="auto"/>
          <w:sz w:val="24"/>
          <w:szCs w:val="24"/>
          <w:highlight w:val="none"/>
        </w:rPr>
        <w:t>、自然人除外</w:t>
      </w:r>
      <w:r>
        <w:rPr>
          <w:rFonts w:hint="eastAsia" w:ascii="宋体" w:hAnsi="宋体" w:eastAsia="宋体" w:cs="宋体"/>
          <w:bCs/>
          <w:color w:val="auto"/>
          <w:sz w:val="24"/>
          <w:szCs w:val="24"/>
          <w:highlight w:val="none"/>
          <w:lang w:val="en-US" w:eastAsia="zh-CN"/>
        </w:rPr>
        <w:t>]</w:t>
      </w:r>
      <w:r>
        <w:rPr>
          <w:rFonts w:hint="eastAsia" w:ascii="宋体" w:hAnsi="宋体" w:eastAsia="宋体" w:cs="宋体"/>
          <w:bCs/>
          <w:color w:val="auto"/>
          <w:sz w:val="24"/>
          <w:szCs w:val="24"/>
          <w:highlight w:val="none"/>
        </w:rPr>
        <w:t>：</w:t>
      </w:r>
      <w:r>
        <w:rPr>
          <w:rFonts w:hint="eastAsia" w:ascii="宋体" w:hAnsi="宋体" w:eastAsia="宋体" w:cs="宋体"/>
          <w:bCs/>
          <w:color w:val="auto"/>
          <w:sz w:val="24"/>
          <w:szCs w:val="24"/>
          <w:highlight w:val="none"/>
          <w:u w:val="single"/>
        </w:rPr>
        <w:t xml:space="preserve">            </w:t>
      </w:r>
      <w:bookmarkEnd w:id="837"/>
      <w:bookmarkEnd w:id="838"/>
      <w:r>
        <w:rPr>
          <w:rFonts w:hint="eastAsia" w:ascii="宋体" w:hAnsi="宋体" w:eastAsia="宋体" w:cs="宋体"/>
          <w:bCs/>
          <w:color w:val="auto"/>
          <w:sz w:val="24"/>
          <w:szCs w:val="24"/>
          <w:highlight w:val="none"/>
          <w:u w:val="single"/>
        </w:rPr>
        <w:t xml:space="preserve">     </w:t>
      </w:r>
      <w:r>
        <w:rPr>
          <w:rFonts w:hint="eastAsia" w:ascii="宋体" w:hAnsi="宋体" w:cs="宋体"/>
          <w:bCs/>
          <w:color w:val="auto"/>
          <w:sz w:val="24"/>
          <w:szCs w:val="24"/>
          <w:highlight w:val="none"/>
          <w:u w:val="single"/>
          <w:lang w:val="en-US" w:eastAsia="zh-CN"/>
        </w:rPr>
        <w:t xml:space="preserve">    </w:t>
      </w:r>
      <w:r>
        <w:rPr>
          <w:rFonts w:hint="eastAsia" w:ascii="宋体" w:hAnsi="宋体" w:eastAsia="宋体" w:cs="宋体"/>
          <w:bCs/>
          <w:color w:val="auto"/>
          <w:sz w:val="24"/>
          <w:szCs w:val="24"/>
          <w:highlight w:val="none"/>
          <w:u w:val="single"/>
        </w:rPr>
        <w:t xml:space="preserve">  </w:t>
      </w:r>
    </w:p>
    <w:p w14:paraId="77EDF2DA">
      <w:pPr>
        <w:pStyle w:val="11"/>
        <w:keepNext w:val="0"/>
        <w:keepLines w:val="0"/>
        <w:pageBreakBefore w:val="0"/>
        <w:widowControl w:val="0"/>
        <w:kinsoku/>
        <w:wordWrap/>
        <w:overflowPunct/>
        <w:topLinePunct w:val="0"/>
        <w:autoSpaceDE/>
        <w:autoSpaceDN/>
        <w:bidi w:val="0"/>
        <w:adjustRightInd/>
        <w:snapToGrid/>
        <w:spacing w:line="400" w:lineRule="exact"/>
        <w:ind w:left="0" w:leftChars="0" w:firstLine="1200" w:firstLineChars="500"/>
        <w:textAlignment w:val="auto"/>
        <w:rPr>
          <w:rFonts w:hint="eastAsia" w:ascii="宋体" w:hAnsi="宋体" w:eastAsia="宋体" w:cs="宋体"/>
          <w:color w:val="auto"/>
          <w:sz w:val="24"/>
          <w:szCs w:val="24"/>
          <w:highlight w:val="none"/>
          <w:lang w:val="en-US" w:eastAsia="zh-CN"/>
        </w:rPr>
      </w:pPr>
      <w:bookmarkStart w:id="839" w:name="_Toc32056_WPSOffice_Level2"/>
      <w:bookmarkStart w:id="840" w:name="_Toc9622_WPSOffice_Level2"/>
      <w:r>
        <w:rPr>
          <w:rFonts w:hint="eastAsia" w:ascii="宋体" w:hAnsi="宋体" w:eastAsia="宋体" w:cs="宋体"/>
          <w:color w:val="auto"/>
          <w:sz w:val="24"/>
          <w:szCs w:val="24"/>
          <w:highlight w:val="none"/>
        </w:rPr>
        <w:t>法定代表人、负责人、自然人或相应的委托代理人签字</w:t>
      </w:r>
      <w:r>
        <w:rPr>
          <w:rFonts w:hint="eastAsia" w:ascii="宋体" w:hAnsi="宋体" w:eastAsia="宋体" w:cs="宋体"/>
          <w:color w:val="auto"/>
          <w:sz w:val="24"/>
          <w:szCs w:val="24"/>
          <w:highlight w:val="none"/>
          <w:lang w:val="en-US" w:eastAsia="zh-CN"/>
        </w:rPr>
        <w:t>[</w:t>
      </w:r>
      <w:r>
        <w:rPr>
          <w:rFonts w:hint="eastAsia" w:ascii="宋体" w:hAnsi="宋体" w:eastAsia="宋体" w:cs="宋体"/>
          <w:color w:val="auto"/>
          <w:sz w:val="24"/>
          <w:szCs w:val="24"/>
          <w:highlight w:val="none"/>
        </w:rPr>
        <w:t>或盖章</w:t>
      </w:r>
      <w:r>
        <w:rPr>
          <w:rFonts w:hint="eastAsia" w:ascii="宋体" w:hAnsi="宋体" w:eastAsia="宋体" w:cs="宋体"/>
          <w:color w:val="auto"/>
          <w:sz w:val="24"/>
          <w:szCs w:val="24"/>
          <w:highlight w:val="none"/>
          <w:lang w:val="en-US" w:eastAsia="zh-CN"/>
        </w:rPr>
        <w:t>(CA签章)]</w:t>
      </w:r>
    </w:p>
    <w:p w14:paraId="4EED9172">
      <w:pPr>
        <w:pStyle w:val="9"/>
        <w:keepNext w:val="0"/>
        <w:keepLines w:val="0"/>
        <w:pageBreakBefore w:val="0"/>
        <w:widowControl w:val="0"/>
        <w:kinsoku/>
        <w:wordWrap/>
        <w:overflowPunct/>
        <w:topLinePunct w:val="0"/>
        <w:autoSpaceDE/>
        <w:autoSpaceDN/>
        <w:bidi w:val="0"/>
        <w:adjustRightInd/>
        <w:snapToGrid/>
        <w:spacing w:after="0" w:line="400" w:lineRule="exact"/>
        <w:ind w:left="0" w:leftChars="0" w:firstLine="1200" w:firstLineChars="500"/>
        <w:textAlignment w:val="auto"/>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（属自然人的应在签名处加盖大拇指指印</w:t>
      </w:r>
      <w:r>
        <w:rPr>
          <w:rFonts w:hint="eastAsia" w:ascii="宋体" w:hAnsi="宋体" w:eastAsia="宋体" w:cs="宋体"/>
          <w:color w:val="auto"/>
          <w:sz w:val="24"/>
          <w:szCs w:val="24"/>
          <w:highlight w:val="none"/>
          <w:lang w:eastAsia="zh-CN"/>
        </w:rPr>
        <w:t>或</w:t>
      </w:r>
      <w:r>
        <w:rPr>
          <w:rFonts w:hint="eastAsia" w:ascii="宋体" w:hAnsi="宋体" w:eastAsia="宋体" w:cs="宋体"/>
          <w:color w:val="auto"/>
          <w:sz w:val="24"/>
          <w:szCs w:val="24"/>
          <w:highlight w:val="none"/>
          <w:lang w:val="en-US" w:eastAsia="zh-CN"/>
        </w:rPr>
        <w:t>个人CA签章</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u w:val="single"/>
        </w:rPr>
        <w:t xml:space="preserve">         </w:t>
      </w:r>
    </w:p>
    <w:bookmarkEnd w:id="839"/>
    <w:bookmarkEnd w:id="840"/>
    <w:p w14:paraId="5F3574C7">
      <w:pPr>
        <w:pStyle w:val="9"/>
        <w:keepNext w:val="0"/>
        <w:keepLines w:val="0"/>
        <w:pageBreakBefore w:val="0"/>
        <w:widowControl w:val="0"/>
        <w:kinsoku/>
        <w:wordWrap/>
        <w:overflowPunct/>
        <w:topLinePunct w:val="0"/>
        <w:autoSpaceDE/>
        <w:autoSpaceDN/>
        <w:bidi w:val="0"/>
        <w:adjustRightInd/>
        <w:snapToGrid/>
        <w:spacing w:after="0" w:line="400" w:lineRule="exact"/>
        <w:ind w:left="0" w:leftChars="0" w:firstLine="1200" w:firstLineChars="500"/>
        <w:textAlignment w:val="auto"/>
        <w:rPr>
          <w:rFonts w:hint="eastAsia" w:ascii="宋体" w:hAnsi="宋体" w:eastAsia="宋体" w:cs="宋体"/>
          <w:bCs/>
          <w:color w:val="auto"/>
          <w:sz w:val="24"/>
          <w:szCs w:val="24"/>
          <w:highlight w:val="none"/>
        </w:rPr>
      </w:pPr>
      <w:bookmarkStart w:id="841" w:name="_Toc15933_WPSOffice_Level2"/>
      <w:bookmarkStart w:id="842" w:name="_Toc26465_WPSOffice_Level2"/>
      <w:r>
        <w:rPr>
          <w:rFonts w:hint="eastAsia" w:ascii="宋体" w:hAnsi="宋体" w:eastAsia="宋体" w:cs="宋体"/>
          <w:bCs/>
          <w:color w:val="auto"/>
          <w:sz w:val="24"/>
          <w:szCs w:val="24"/>
          <w:highlight w:val="none"/>
        </w:rPr>
        <w:t>日期：</w:t>
      </w:r>
      <w:r>
        <w:rPr>
          <w:rFonts w:hint="eastAsia" w:ascii="宋体" w:hAnsi="宋体" w:eastAsia="宋体" w:cs="宋体"/>
          <w:bCs/>
          <w:color w:val="auto"/>
          <w:sz w:val="24"/>
          <w:szCs w:val="24"/>
          <w:highlight w:val="none"/>
          <w:u w:val="single"/>
        </w:rPr>
        <w:t xml:space="preserve">       </w:t>
      </w:r>
      <w:r>
        <w:rPr>
          <w:rFonts w:hint="eastAsia" w:ascii="宋体" w:hAnsi="宋体" w:eastAsia="宋体" w:cs="宋体"/>
          <w:bCs/>
          <w:color w:val="auto"/>
          <w:sz w:val="24"/>
          <w:szCs w:val="24"/>
          <w:highlight w:val="none"/>
        </w:rPr>
        <w:t>年</w:t>
      </w:r>
      <w:r>
        <w:rPr>
          <w:rFonts w:hint="eastAsia" w:ascii="宋体" w:hAnsi="宋体" w:eastAsia="宋体" w:cs="宋体"/>
          <w:bCs/>
          <w:color w:val="auto"/>
          <w:sz w:val="24"/>
          <w:szCs w:val="24"/>
          <w:highlight w:val="none"/>
          <w:u w:val="single"/>
        </w:rPr>
        <w:t xml:space="preserve">     </w:t>
      </w:r>
      <w:r>
        <w:rPr>
          <w:rFonts w:hint="eastAsia" w:ascii="宋体" w:hAnsi="宋体" w:eastAsia="宋体" w:cs="宋体"/>
          <w:bCs/>
          <w:color w:val="auto"/>
          <w:sz w:val="24"/>
          <w:szCs w:val="24"/>
          <w:highlight w:val="none"/>
        </w:rPr>
        <w:t>月</w:t>
      </w:r>
      <w:r>
        <w:rPr>
          <w:rFonts w:hint="eastAsia" w:ascii="宋体" w:hAnsi="宋体" w:eastAsia="宋体" w:cs="宋体"/>
          <w:bCs/>
          <w:color w:val="auto"/>
          <w:sz w:val="24"/>
          <w:szCs w:val="24"/>
          <w:highlight w:val="none"/>
          <w:u w:val="single"/>
        </w:rPr>
        <w:t xml:space="preserve">     </w:t>
      </w:r>
      <w:r>
        <w:rPr>
          <w:rFonts w:hint="eastAsia" w:ascii="宋体" w:hAnsi="宋体" w:eastAsia="宋体" w:cs="宋体"/>
          <w:bCs/>
          <w:color w:val="auto"/>
          <w:sz w:val="24"/>
          <w:szCs w:val="24"/>
          <w:highlight w:val="none"/>
        </w:rPr>
        <w:t>日</w:t>
      </w:r>
      <w:bookmarkEnd w:id="841"/>
      <w:bookmarkEnd w:id="842"/>
    </w:p>
    <w:p w14:paraId="4A2DC1B5">
      <w:pPr>
        <w:pStyle w:val="9"/>
        <w:keepNext w:val="0"/>
        <w:keepLines w:val="0"/>
        <w:pageBreakBefore w:val="0"/>
        <w:widowControl w:val="0"/>
        <w:kinsoku/>
        <w:wordWrap/>
        <w:overflowPunct/>
        <w:topLinePunct w:val="0"/>
        <w:autoSpaceDE/>
        <w:autoSpaceDN/>
        <w:bidi w:val="0"/>
        <w:adjustRightInd/>
        <w:snapToGrid/>
        <w:spacing w:line="440" w:lineRule="exact"/>
        <w:ind w:left="980" w:hanging="480" w:hangingChars="200"/>
        <w:textAlignment w:val="auto"/>
        <w:rPr>
          <w:rFonts w:hint="eastAsia" w:ascii="宋体" w:hAnsi="宋体" w:eastAsia="宋体" w:cs="宋体"/>
          <w:bCs/>
          <w:color w:val="auto"/>
          <w:sz w:val="24"/>
          <w:szCs w:val="24"/>
          <w:highlight w:val="none"/>
        </w:rPr>
      </w:pPr>
    </w:p>
    <w:p w14:paraId="40E7B31A">
      <w:pPr>
        <w:pStyle w:val="9"/>
        <w:keepNext w:val="0"/>
        <w:keepLines w:val="0"/>
        <w:pageBreakBefore w:val="0"/>
        <w:widowControl w:val="0"/>
        <w:kinsoku/>
        <w:wordWrap/>
        <w:overflowPunct/>
        <w:topLinePunct w:val="0"/>
        <w:autoSpaceDE/>
        <w:autoSpaceDN/>
        <w:bidi w:val="0"/>
        <w:adjustRightInd/>
        <w:snapToGrid/>
        <w:spacing w:line="440" w:lineRule="exact"/>
        <w:ind w:left="980" w:hanging="420" w:hangingChars="200"/>
        <w:textAlignment w:val="auto"/>
        <w:rPr>
          <w:rFonts w:hint="eastAsia" w:ascii="宋体" w:hAnsi="宋体" w:eastAsia="宋体" w:cs="宋体"/>
          <w:bCs/>
          <w:color w:val="auto"/>
          <w:sz w:val="21"/>
          <w:szCs w:val="21"/>
          <w:highlight w:val="none"/>
        </w:rPr>
      </w:pPr>
    </w:p>
    <w:p w14:paraId="31E77B1D">
      <w:pPr>
        <w:numPr>
          <w:ilvl w:val="0"/>
          <w:numId w:val="0"/>
        </w:numPr>
        <w:jc w:val="center"/>
        <w:rPr>
          <w:rFonts w:hint="eastAsia" w:ascii="宋体" w:hAnsi="宋体" w:eastAsia="宋体" w:cs="宋体"/>
          <w:b/>
          <w:bCs/>
          <w:color w:val="auto"/>
          <w:kern w:val="2"/>
          <w:sz w:val="24"/>
          <w:szCs w:val="24"/>
          <w:highlight w:val="none"/>
          <w:lang w:val="en-US" w:eastAsia="zh-CN" w:bidi="ar-SA"/>
        </w:rPr>
      </w:pPr>
    </w:p>
    <w:p w14:paraId="5F24E36B">
      <w:pPr>
        <w:numPr>
          <w:ilvl w:val="0"/>
          <w:numId w:val="0"/>
        </w:numPr>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kern w:val="2"/>
          <w:sz w:val="24"/>
          <w:szCs w:val="24"/>
          <w:highlight w:val="none"/>
          <w:lang w:val="en-US" w:eastAsia="zh-CN" w:bidi="ar-SA"/>
        </w:rPr>
        <w:t>响应文件目录</w:t>
      </w:r>
    </w:p>
    <w:p w14:paraId="19CC6197">
      <w:pPr>
        <w:keepNext w:val="0"/>
        <w:keepLines w:val="0"/>
        <w:pageBreakBefore w:val="0"/>
        <w:widowControl w:val="0"/>
        <w:numPr>
          <w:ilvl w:val="0"/>
          <w:numId w:val="0"/>
        </w:numPr>
        <w:kinsoku/>
        <w:wordWrap/>
        <w:overflowPunct/>
        <w:topLinePunct w:val="0"/>
        <w:autoSpaceDE/>
        <w:autoSpaceDN/>
        <w:bidi w:val="0"/>
        <w:adjustRightInd/>
        <w:snapToGrid/>
        <w:spacing w:line="310" w:lineRule="exact"/>
        <w:ind w:firstLine="426" w:firstLineChars="202"/>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kern w:val="2"/>
          <w:sz w:val="21"/>
          <w:szCs w:val="21"/>
          <w:highlight w:val="none"/>
          <w:lang w:val="en-US" w:eastAsia="zh-CN" w:bidi="ar-SA"/>
        </w:rPr>
        <w:t>一、</w:t>
      </w:r>
      <w:r>
        <w:rPr>
          <w:rFonts w:hint="eastAsia" w:ascii="宋体" w:hAnsi="宋体" w:eastAsia="宋体" w:cs="宋体"/>
          <w:b/>
          <w:bCs/>
          <w:color w:val="auto"/>
          <w:sz w:val="21"/>
          <w:szCs w:val="21"/>
          <w:highlight w:val="none"/>
        </w:rPr>
        <w:t>资格性响应证明材料</w:t>
      </w:r>
    </w:p>
    <w:p w14:paraId="0E2CF5F8">
      <w:pPr>
        <w:keepNext w:val="0"/>
        <w:keepLines w:val="0"/>
        <w:pageBreakBefore w:val="0"/>
        <w:widowControl w:val="0"/>
        <w:kinsoku/>
        <w:wordWrap/>
        <w:overflowPunct/>
        <w:topLinePunct w:val="0"/>
        <w:autoSpaceDE/>
        <w:autoSpaceDN/>
        <w:bidi w:val="0"/>
        <w:adjustRightInd/>
        <w:snapToGrid/>
        <w:spacing w:line="31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1.</w:t>
      </w:r>
      <w:r>
        <w:rPr>
          <w:rFonts w:hint="eastAsia" w:ascii="宋体" w:hAnsi="宋体" w:eastAsia="宋体" w:cs="宋体"/>
          <w:color w:val="auto"/>
          <w:sz w:val="21"/>
          <w:szCs w:val="21"/>
          <w:highlight w:val="none"/>
        </w:rPr>
        <w:t>供应商相应的法定代表人、负责人、自然人身份证正反两面复印件</w:t>
      </w:r>
      <w:r>
        <w:rPr>
          <w:rFonts w:hint="eastAsia" w:ascii="宋体" w:hAnsi="宋体" w:eastAsia="宋体" w:cs="宋体"/>
          <w:b/>
          <w:bCs/>
          <w:color w:val="auto"/>
          <w:sz w:val="21"/>
          <w:szCs w:val="21"/>
          <w:highlight w:val="none"/>
        </w:rPr>
        <w:t>（必须提供）</w:t>
      </w:r>
      <w:r>
        <w:rPr>
          <w:rFonts w:hint="eastAsia" w:ascii="宋体" w:hAnsi="宋体" w:eastAsia="宋体" w:cs="宋体"/>
          <w:color w:val="auto"/>
          <w:sz w:val="21"/>
          <w:szCs w:val="21"/>
          <w:highlight w:val="none"/>
        </w:rPr>
        <w:t>；</w:t>
      </w:r>
    </w:p>
    <w:p w14:paraId="39021CE3">
      <w:pPr>
        <w:keepNext w:val="0"/>
        <w:keepLines w:val="0"/>
        <w:pageBreakBefore w:val="0"/>
        <w:widowControl w:val="0"/>
        <w:kinsoku/>
        <w:wordWrap/>
        <w:overflowPunct/>
        <w:topLinePunct w:val="0"/>
        <w:autoSpaceDE/>
        <w:autoSpaceDN/>
        <w:bidi w:val="0"/>
        <w:adjustRightInd/>
        <w:snapToGrid/>
        <w:spacing w:line="31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供应商的授权委托书原件、委托代理人身份证正反面复印件以及由县级以上（含县级）社会养老保险经办机构出具的供应商为委托代理人交纳的响应文件递交截止时间前半年内任意连续三个月社保证明复印件</w:t>
      </w:r>
      <w:r>
        <w:rPr>
          <w:rFonts w:hint="eastAsia" w:ascii="宋体" w:hAnsi="宋体" w:eastAsia="宋体" w:cs="宋体"/>
          <w:color w:val="auto"/>
          <w:sz w:val="21"/>
          <w:szCs w:val="21"/>
          <w:highlight w:val="none"/>
          <w:lang w:eastAsia="zh-CN"/>
        </w:rPr>
        <w:t>；</w:t>
      </w:r>
      <w:r>
        <w:rPr>
          <w:rFonts w:hint="eastAsia" w:ascii="宋体" w:hAnsi="宋体" w:eastAsia="宋体" w:cs="宋体"/>
          <w:b/>
          <w:bCs/>
          <w:color w:val="auto"/>
          <w:sz w:val="21"/>
          <w:szCs w:val="21"/>
          <w:highlight w:val="none"/>
        </w:rPr>
        <w:t>（委托代理时必须提供）</w:t>
      </w:r>
      <w:r>
        <w:rPr>
          <w:rFonts w:hint="eastAsia" w:ascii="宋体" w:hAnsi="宋体" w:eastAsia="宋体" w:cs="宋体"/>
          <w:b/>
          <w:bCs/>
          <w:color w:val="auto"/>
          <w:sz w:val="21"/>
          <w:szCs w:val="21"/>
          <w:highlight w:val="none"/>
          <w:lang w:eastAsia="zh-CN"/>
        </w:rPr>
        <w:t>。</w:t>
      </w:r>
      <w:r>
        <w:rPr>
          <w:rFonts w:hint="eastAsia" w:ascii="宋体" w:hAnsi="宋体" w:eastAsia="宋体" w:cs="宋体"/>
          <w:color w:val="auto"/>
          <w:sz w:val="21"/>
          <w:szCs w:val="21"/>
          <w:highlight w:val="none"/>
        </w:rPr>
        <w:t>除供应商为以下三种情形的：</w:t>
      </w:r>
    </w:p>
    <w:p w14:paraId="4A5ACFB3">
      <w:pPr>
        <w:keepNext w:val="0"/>
        <w:keepLines w:val="0"/>
        <w:pageBreakBefore w:val="0"/>
        <w:widowControl w:val="0"/>
        <w:kinsoku/>
        <w:wordWrap/>
        <w:overflowPunct/>
        <w:topLinePunct w:val="0"/>
        <w:autoSpaceDE/>
        <w:autoSpaceDN/>
        <w:bidi w:val="0"/>
        <w:adjustRightInd/>
        <w:snapToGrid/>
        <w:spacing w:line="31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①如供应商为截标时间前60日以内成立的公司，可以提供供应商与委托代理人签订的劳动合同复印件代替社保证明复印件；</w:t>
      </w:r>
    </w:p>
    <w:p w14:paraId="6D546C46">
      <w:pPr>
        <w:keepNext w:val="0"/>
        <w:keepLines w:val="0"/>
        <w:pageBreakBefore w:val="0"/>
        <w:widowControl w:val="0"/>
        <w:kinsoku/>
        <w:wordWrap/>
        <w:overflowPunct/>
        <w:topLinePunct w:val="0"/>
        <w:autoSpaceDE/>
        <w:autoSpaceDN/>
        <w:bidi w:val="0"/>
        <w:adjustRightInd/>
        <w:snapToGrid/>
        <w:spacing w:line="31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②如供应商为事业单位，可以提供事业单位机构编制管理证复印件或事业单位机构为其发放工资的工资条复印件代替社保证明复印件；</w:t>
      </w:r>
    </w:p>
    <w:p w14:paraId="43B51D74">
      <w:pPr>
        <w:keepNext w:val="0"/>
        <w:keepLines w:val="0"/>
        <w:pageBreakBefore w:val="0"/>
        <w:widowControl w:val="0"/>
        <w:kinsoku/>
        <w:wordWrap/>
        <w:overflowPunct/>
        <w:topLinePunct w:val="0"/>
        <w:autoSpaceDE/>
        <w:autoSpaceDN/>
        <w:bidi w:val="0"/>
        <w:adjustRightInd/>
        <w:snapToGrid/>
        <w:spacing w:line="31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③如委托代理人为免缴纳社保人员，提供免缴纳社保的证明材料复印件及供应商与委托代理人签订的劳动合同复印件代替社保证明复印件。</w:t>
      </w:r>
    </w:p>
    <w:p w14:paraId="0E7DD4CC">
      <w:pPr>
        <w:keepNext w:val="0"/>
        <w:keepLines w:val="0"/>
        <w:pageBreakBefore w:val="0"/>
        <w:widowControl w:val="0"/>
        <w:kinsoku/>
        <w:wordWrap/>
        <w:overflowPunct/>
        <w:topLinePunct w:val="0"/>
        <w:autoSpaceDE/>
        <w:autoSpaceDN/>
        <w:bidi w:val="0"/>
        <w:adjustRightInd/>
        <w:snapToGrid/>
        <w:spacing w:line="310" w:lineRule="exact"/>
        <w:ind w:left="0" w:leftChars="0" w:firstLine="422" w:firstLineChars="200"/>
        <w:textAlignment w:val="auto"/>
        <w:rPr>
          <w:rFonts w:hint="eastAsia" w:ascii="宋体" w:hAnsi="宋体" w:eastAsia="宋体" w:cs="宋体"/>
          <w:b/>
          <w:bCs/>
          <w:color w:val="auto"/>
          <w:sz w:val="21"/>
          <w:szCs w:val="21"/>
          <w:highlight w:val="none"/>
          <w:lang w:eastAsia="zh-CN"/>
        </w:rPr>
      </w:pPr>
      <w:r>
        <w:rPr>
          <w:rFonts w:hint="eastAsia" w:ascii="宋体" w:hAnsi="宋体" w:eastAsia="宋体" w:cs="宋体"/>
          <w:b/>
          <w:bCs/>
          <w:color w:val="auto"/>
          <w:sz w:val="21"/>
          <w:szCs w:val="21"/>
          <w:highlight w:val="none"/>
        </w:rPr>
        <w:t>【属自然人的应提供由县级以上（含县级）社会养老保险经办机构出具的自然人本人及委托代理人所交纳的响应文件递交截止时间前半年内任意连续三个月社保证明复印件</w:t>
      </w:r>
      <w:r>
        <w:rPr>
          <w:rFonts w:hint="eastAsia" w:ascii="宋体" w:hAnsi="宋体" w:eastAsia="宋体" w:cs="宋体"/>
          <w:color w:val="auto"/>
          <w:sz w:val="21"/>
          <w:szCs w:val="21"/>
          <w:highlight w:val="none"/>
        </w:rPr>
        <w:t>】</w:t>
      </w:r>
      <w:r>
        <w:rPr>
          <w:rFonts w:hint="eastAsia" w:ascii="宋体" w:hAnsi="宋体" w:eastAsia="宋体" w:cs="宋体"/>
          <w:b/>
          <w:bCs/>
          <w:color w:val="auto"/>
          <w:sz w:val="21"/>
          <w:szCs w:val="21"/>
          <w:highlight w:val="none"/>
        </w:rPr>
        <w:t>（委托代理时必须提供）</w:t>
      </w:r>
      <w:r>
        <w:rPr>
          <w:rFonts w:hint="eastAsia" w:ascii="宋体" w:hAnsi="宋体" w:eastAsia="宋体" w:cs="宋体"/>
          <w:b/>
          <w:bCs/>
          <w:color w:val="auto"/>
          <w:sz w:val="21"/>
          <w:szCs w:val="21"/>
          <w:highlight w:val="none"/>
          <w:lang w:eastAsia="zh-CN"/>
        </w:rPr>
        <w:t>；</w:t>
      </w:r>
    </w:p>
    <w:p w14:paraId="25F0BC2E">
      <w:pPr>
        <w:keepNext w:val="0"/>
        <w:keepLines w:val="0"/>
        <w:pageBreakBefore w:val="0"/>
        <w:widowControl w:val="0"/>
        <w:kinsoku/>
        <w:wordWrap/>
        <w:overflowPunct/>
        <w:topLinePunct w:val="0"/>
        <w:autoSpaceDE/>
        <w:autoSpaceDN/>
        <w:bidi w:val="0"/>
        <w:adjustRightInd/>
        <w:snapToGrid/>
        <w:spacing w:line="31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3.</w:t>
      </w:r>
      <w:r>
        <w:rPr>
          <w:rFonts w:hint="eastAsia" w:ascii="宋体" w:hAnsi="宋体" w:eastAsia="宋体" w:cs="宋体"/>
          <w:color w:val="auto"/>
          <w:sz w:val="21"/>
          <w:szCs w:val="21"/>
          <w:highlight w:val="none"/>
        </w:rPr>
        <w:t>供应商参加政府采购活动前3年内在经营活动中没有重大违法记录及有关信用信息的书面声明</w:t>
      </w:r>
      <w:r>
        <w:rPr>
          <w:rFonts w:hint="eastAsia" w:ascii="宋体" w:hAnsi="宋体" w:eastAsia="宋体" w:cs="宋体"/>
          <w:b/>
          <w:bCs/>
          <w:color w:val="auto"/>
          <w:sz w:val="21"/>
          <w:szCs w:val="21"/>
          <w:highlight w:val="none"/>
        </w:rPr>
        <w:t>（必须提供）；</w:t>
      </w:r>
    </w:p>
    <w:p w14:paraId="6D7AC96F">
      <w:pPr>
        <w:keepNext w:val="0"/>
        <w:keepLines w:val="0"/>
        <w:pageBreakBefore w:val="0"/>
        <w:widowControl w:val="0"/>
        <w:numPr>
          <w:ilvl w:val="0"/>
          <w:numId w:val="0"/>
        </w:numPr>
        <w:kinsoku/>
        <w:wordWrap/>
        <w:overflowPunct/>
        <w:topLinePunct w:val="0"/>
        <w:autoSpaceDE/>
        <w:autoSpaceDN/>
        <w:bidi w:val="0"/>
        <w:adjustRightInd/>
        <w:snapToGrid/>
        <w:spacing w:line="310" w:lineRule="exact"/>
        <w:ind w:left="0" w:leftChars="0" w:firstLine="420" w:firstLineChars="0"/>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2"/>
          <w:sz w:val="21"/>
          <w:szCs w:val="21"/>
          <w:highlight w:val="none"/>
          <w:lang w:val="en-US" w:eastAsia="zh-CN" w:bidi="ar-SA"/>
        </w:rPr>
        <w:t>4.</w:t>
      </w:r>
      <w:r>
        <w:rPr>
          <w:rFonts w:hint="eastAsia" w:ascii="宋体" w:hAnsi="宋体" w:eastAsia="宋体" w:cs="宋体"/>
          <w:color w:val="auto"/>
          <w:sz w:val="21"/>
          <w:szCs w:val="21"/>
          <w:highlight w:val="none"/>
        </w:rPr>
        <w:t>供应商的法人或者其他组织营业执照等证明文件复印件</w:t>
      </w:r>
      <w:r>
        <w:rPr>
          <w:rFonts w:hint="eastAsia" w:ascii="宋体" w:hAnsi="宋体" w:eastAsia="宋体" w:cs="宋体"/>
          <w:b/>
          <w:bCs/>
          <w:color w:val="auto"/>
          <w:sz w:val="21"/>
          <w:szCs w:val="21"/>
          <w:highlight w:val="none"/>
        </w:rPr>
        <w:t>（必须提供，自然人除外）；</w:t>
      </w:r>
    </w:p>
    <w:p w14:paraId="00162315">
      <w:pPr>
        <w:keepNext w:val="0"/>
        <w:keepLines w:val="0"/>
        <w:pageBreakBefore w:val="0"/>
        <w:widowControl w:val="0"/>
        <w:kinsoku/>
        <w:wordWrap/>
        <w:overflowPunct/>
        <w:topLinePunct w:val="0"/>
        <w:autoSpaceDE/>
        <w:autoSpaceDN/>
        <w:bidi w:val="0"/>
        <w:adjustRightInd/>
        <w:snapToGrid/>
        <w:spacing w:line="310" w:lineRule="exact"/>
        <w:ind w:left="0" w:leftChars="0" w:firstLine="422" w:firstLineChars="200"/>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注：①法人包括企业法人、机关法人、事业单位法人和社会团体法人；其他组织主要包括合伙企业、非企业专业服务机构、个体工商户、农村承包经营户。②如供应商为企业（包括合伙企业），应提供工商部门注册的有效“企业法人营业执照”或“营业执照”；供应商为事业单位，应提供有效的“事业单位法人证书”；供应商为非企业专业服务机构的，应提供执业许可证等证明文件；供应商为个体工商户，应提供有效的“个体工商户营业执照”。</w:t>
      </w:r>
    </w:p>
    <w:p w14:paraId="7E441859">
      <w:pPr>
        <w:keepNext w:val="0"/>
        <w:keepLines w:val="0"/>
        <w:pageBreakBefore w:val="0"/>
        <w:widowControl w:val="0"/>
        <w:numPr>
          <w:ilvl w:val="0"/>
          <w:numId w:val="0"/>
        </w:numPr>
        <w:kinsoku/>
        <w:wordWrap/>
        <w:overflowPunct/>
        <w:topLinePunct w:val="0"/>
        <w:autoSpaceDE/>
        <w:autoSpaceDN/>
        <w:bidi w:val="0"/>
        <w:adjustRightInd/>
        <w:snapToGrid/>
        <w:spacing w:line="310" w:lineRule="exact"/>
        <w:ind w:left="0" w:leftChars="0" w:firstLine="420" w:firstLineChars="0"/>
        <w:textAlignment w:val="auto"/>
        <w:rPr>
          <w:rFonts w:hint="eastAsia" w:ascii="宋体" w:hAnsi="宋体" w:eastAsia="宋体" w:cs="宋体"/>
          <w:bCs/>
          <w:color w:val="auto"/>
          <w:kern w:val="0"/>
          <w:sz w:val="21"/>
          <w:szCs w:val="21"/>
          <w:highlight w:val="none"/>
          <w:lang w:val="en-US" w:eastAsia="zh-CN"/>
        </w:rPr>
      </w:pPr>
      <w:r>
        <w:rPr>
          <w:rFonts w:hint="eastAsia" w:ascii="宋体" w:hAnsi="宋体" w:eastAsia="宋体" w:cs="宋体"/>
          <w:bCs/>
          <w:color w:val="auto"/>
          <w:kern w:val="0"/>
          <w:sz w:val="21"/>
          <w:szCs w:val="21"/>
          <w:highlight w:val="none"/>
          <w:lang w:val="en-US" w:eastAsia="zh-CN" w:bidi="ar-SA"/>
        </w:rPr>
        <w:t>5.供应商相应有效的企业资质证书副本及安全生产许可证副本复印件、拟投入项目经理的注册建造师执业资格证书及安全生产考核合格证书（B类）复印件</w:t>
      </w:r>
      <w:r>
        <w:rPr>
          <w:rFonts w:hint="eastAsia" w:ascii="宋体" w:hAnsi="宋体" w:eastAsia="宋体" w:cs="宋体"/>
          <w:b/>
          <w:bCs w:val="0"/>
          <w:color w:val="auto"/>
          <w:kern w:val="0"/>
          <w:sz w:val="21"/>
          <w:szCs w:val="21"/>
          <w:highlight w:val="none"/>
          <w:lang w:val="en-US" w:eastAsia="zh-CN" w:bidi="ar-SA"/>
        </w:rPr>
        <w:t>（必须提供）</w:t>
      </w:r>
      <w:r>
        <w:rPr>
          <w:rFonts w:hint="eastAsia" w:ascii="宋体" w:hAnsi="宋体" w:eastAsia="宋体" w:cs="宋体"/>
          <w:bCs/>
          <w:color w:val="auto"/>
          <w:kern w:val="0"/>
          <w:sz w:val="21"/>
          <w:szCs w:val="21"/>
          <w:highlight w:val="none"/>
          <w:lang w:val="en-US" w:eastAsia="zh-CN"/>
        </w:rPr>
        <w:t>；</w:t>
      </w:r>
    </w:p>
    <w:p w14:paraId="02F02C69">
      <w:pPr>
        <w:keepNext w:val="0"/>
        <w:keepLines w:val="0"/>
        <w:pageBreakBefore w:val="0"/>
        <w:widowControl w:val="0"/>
        <w:numPr>
          <w:ilvl w:val="0"/>
          <w:numId w:val="0"/>
        </w:numPr>
        <w:kinsoku/>
        <w:wordWrap/>
        <w:overflowPunct/>
        <w:topLinePunct w:val="0"/>
        <w:autoSpaceDE/>
        <w:autoSpaceDN/>
        <w:bidi w:val="0"/>
        <w:adjustRightInd/>
        <w:snapToGrid/>
        <w:spacing w:line="310" w:lineRule="exact"/>
        <w:ind w:left="0" w:leftChars="0" w:firstLine="420" w:firstLineChars="0"/>
        <w:textAlignment w:val="auto"/>
        <w:rPr>
          <w:rFonts w:hint="eastAsia" w:ascii="宋体" w:hAnsi="宋体" w:eastAsia="宋体" w:cs="宋体"/>
          <w:bCs/>
          <w:color w:val="auto"/>
          <w:kern w:val="0"/>
          <w:sz w:val="21"/>
          <w:szCs w:val="21"/>
          <w:highlight w:val="none"/>
          <w:lang w:val="en-US" w:eastAsia="zh-CN"/>
        </w:rPr>
      </w:pPr>
      <w:r>
        <w:rPr>
          <w:rFonts w:hint="eastAsia" w:ascii="宋体" w:hAnsi="宋体" w:eastAsia="宋体" w:cs="宋体"/>
          <w:bCs/>
          <w:color w:val="auto"/>
          <w:kern w:val="0"/>
          <w:sz w:val="21"/>
          <w:szCs w:val="21"/>
          <w:highlight w:val="none"/>
          <w:lang w:val="en-US" w:eastAsia="zh-CN" w:bidi="ar-SA"/>
        </w:rPr>
        <w:t>6.</w:t>
      </w:r>
      <w:r>
        <w:rPr>
          <w:rFonts w:hint="eastAsia" w:ascii="宋体" w:hAnsi="宋体" w:eastAsia="宋体" w:cs="宋体"/>
          <w:color w:val="auto"/>
          <w:kern w:val="0"/>
          <w:sz w:val="21"/>
          <w:szCs w:val="21"/>
          <w:highlight w:val="none"/>
        </w:rPr>
        <w:t>项目经理无在建工程承诺书</w:t>
      </w:r>
      <w:r>
        <w:rPr>
          <w:rFonts w:hint="eastAsia" w:ascii="宋体" w:hAnsi="宋体" w:eastAsia="宋体" w:cs="宋体"/>
          <w:b/>
          <w:color w:val="auto"/>
          <w:sz w:val="21"/>
          <w:szCs w:val="21"/>
          <w:highlight w:val="none"/>
        </w:rPr>
        <w:t>（</w:t>
      </w:r>
      <w:r>
        <w:rPr>
          <w:rFonts w:hint="eastAsia" w:ascii="宋体" w:hAnsi="宋体" w:eastAsia="宋体" w:cs="宋体"/>
          <w:b/>
          <w:bCs/>
          <w:color w:val="auto"/>
          <w:sz w:val="21"/>
          <w:szCs w:val="21"/>
          <w:highlight w:val="none"/>
        </w:rPr>
        <w:t>格式自拟，</w:t>
      </w:r>
      <w:r>
        <w:rPr>
          <w:rFonts w:hint="eastAsia" w:ascii="宋体" w:hAnsi="宋体" w:eastAsia="宋体" w:cs="宋体"/>
          <w:b/>
          <w:color w:val="auto"/>
          <w:sz w:val="21"/>
          <w:szCs w:val="21"/>
          <w:highlight w:val="none"/>
        </w:rPr>
        <w:t>必须提供）</w:t>
      </w:r>
      <w:r>
        <w:rPr>
          <w:rFonts w:hint="eastAsia" w:ascii="宋体" w:hAnsi="宋体" w:eastAsia="宋体" w:cs="宋体"/>
          <w:b/>
          <w:bCs w:val="0"/>
          <w:color w:val="auto"/>
          <w:kern w:val="0"/>
          <w:sz w:val="21"/>
          <w:szCs w:val="21"/>
          <w:highlight w:val="none"/>
          <w:lang w:val="en-US" w:eastAsia="zh-CN"/>
        </w:rPr>
        <w:t>；</w:t>
      </w:r>
    </w:p>
    <w:p w14:paraId="1965D37D">
      <w:pPr>
        <w:keepNext w:val="0"/>
        <w:keepLines w:val="0"/>
        <w:pageBreakBefore w:val="0"/>
        <w:widowControl w:val="0"/>
        <w:numPr>
          <w:ilvl w:val="0"/>
          <w:numId w:val="0"/>
        </w:numPr>
        <w:kinsoku/>
        <w:wordWrap/>
        <w:overflowPunct/>
        <w:topLinePunct w:val="0"/>
        <w:autoSpaceDE/>
        <w:autoSpaceDN/>
        <w:bidi w:val="0"/>
        <w:adjustRightInd/>
        <w:snapToGrid/>
        <w:spacing w:line="310" w:lineRule="exact"/>
        <w:ind w:left="0" w:leftChars="0" w:firstLine="420" w:firstLineChars="0"/>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2"/>
          <w:sz w:val="21"/>
          <w:szCs w:val="21"/>
          <w:highlight w:val="none"/>
          <w:lang w:val="en-US" w:eastAsia="zh-CN" w:bidi="ar-SA"/>
        </w:rPr>
        <w:t>7.供应商2022年度以来任意一个年度内的财务状况报告</w:t>
      </w:r>
      <w:r>
        <w:rPr>
          <w:rFonts w:hint="eastAsia" w:ascii="宋体" w:hAnsi="宋体" w:eastAsia="宋体" w:cs="宋体"/>
          <w:b/>
          <w:bCs/>
          <w:color w:val="auto"/>
          <w:sz w:val="21"/>
          <w:szCs w:val="21"/>
          <w:highlight w:val="none"/>
          <w:lang w:val="en-US" w:eastAsia="zh-CN"/>
        </w:rPr>
        <w:t>（必须提供</w:t>
      </w:r>
      <w:r>
        <w:rPr>
          <w:rFonts w:hint="eastAsia" w:ascii="宋体" w:hAnsi="宋体" w:eastAsia="宋体" w:cs="宋体"/>
          <w:b/>
          <w:bCs/>
          <w:color w:val="auto"/>
          <w:sz w:val="21"/>
          <w:szCs w:val="21"/>
          <w:highlight w:val="none"/>
          <w:lang w:eastAsia="zh-CN"/>
        </w:rPr>
        <w:t>，</w:t>
      </w:r>
      <w:r>
        <w:rPr>
          <w:rFonts w:hint="eastAsia" w:ascii="宋体" w:hAnsi="宋体" w:eastAsia="宋体" w:cs="宋体"/>
          <w:b/>
          <w:bCs/>
          <w:color w:val="auto"/>
          <w:sz w:val="21"/>
          <w:szCs w:val="21"/>
          <w:highlight w:val="none"/>
        </w:rPr>
        <w:t>可</w:t>
      </w:r>
      <w:r>
        <w:rPr>
          <w:rFonts w:hint="eastAsia" w:ascii="宋体" w:hAnsi="宋体" w:eastAsia="宋体" w:cs="宋体"/>
          <w:b/>
          <w:bCs/>
          <w:color w:val="auto"/>
          <w:sz w:val="21"/>
          <w:szCs w:val="21"/>
          <w:highlight w:val="none"/>
          <w:lang w:eastAsia="zh-CN"/>
        </w:rPr>
        <w:t>以是供应商</w:t>
      </w:r>
      <w:r>
        <w:rPr>
          <w:rFonts w:hint="eastAsia" w:ascii="宋体" w:hAnsi="宋体" w:eastAsia="宋体" w:cs="宋体"/>
          <w:b/>
          <w:bCs/>
          <w:color w:val="auto"/>
          <w:sz w:val="21"/>
          <w:szCs w:val="21"/>
          <w:highlight w:val="none"/>
        </w:rPr>
        <w:t>自行编制也</w:t>
      </w:r>
      <w:r>
        <w:rPr>
          <w:rFonts w:hint="eastAsia" w:ascii="宋体" w:hAnsi="宋体" w:eastAsia="宋体" w:cs="宋体"/>
          <w:b/>
          <w:bCs/>
          <w:color w:val="auto"/>
          <w:sz w:val="21"/>
          <w:szCs w:val="21"/>
          <w:highlight w:val="none"/>
          <w:lang w:eastAsia="zh-CN"/>
        </w:rPr>
        <w:t>可以是</w:t>
      </w:r>
      <w:r>
        <w:rPr>
          <w:rFonts w:hint="eastAsia" w:ascii="宋体" w:hAnsi="宋体" w:eastAsia="宋体" w:cs="宋体"/>
          <w:b/>
          <w:bCs/>
          <w:color w:val="auto"/>
          <w:sz w:val="21"/>
          <w:szCs w:val="21"/>
          <w:highlight w:val="none"/>
        </w:rPr>
        <w:t>通过</w:t>
      </w:r>
      <w:r>
        <w:rPr>
          <w:rFonts w:hint="eastAsia" w:ascii="宋体" w:hAnsi="宋体" w:eastAsia="宋体" w:cs="宋体"/>
          <w:b/>
          <w:bCs/>
          <w:color w:val="auto"/>
          <w:sz w:val="21"/>
          <w:szCs w:val="21"/>
          <w:highlight w:val="none"/>
          <w:lang w:eastAsia="zh-CN"/>
        </w:rPr>
        <w:t>第三方</w:t>
      </w:r>
      <w:r>
        <w:rPr>
          <w:rFonts w:hint="eastAsia" w:ascii="宋体" w:hAnsi="宋体" w:eastAsia="宋体" w:cs="宋体"/>
          <w:b/>
          <w:bCs/>
          <w:color w:val="auto"/>
          <w:sz w:val="21"/>
          <w:szCs w:val="21"/>
          <w:highlight w:val="none"/>
        </w:rPr>
        <w:t>审计公司编制，如为自行编制至少须提供现金流量表、负债表及利润表</w:t>
      </w:r>
      <w:r>
        <w:rPr>
          <w:rFonts w:hint="eastAsia" w:ascii="宋体" w:hAnsi="宋体" w:eastAsia="宋体" w:cs="宋体"/>
          <w:b/>
          <w:bCs/>
          <w:color w:val="auto"/>
          <w:sz w:val="21"/>
          <w:szCs w:val="21"/>
          <w:highlight w:val="none"/>
          <w:lang w:val="en-US" w:eastAsia="zh-CN"/>
        </w:rPr>
        <w:t>）</w:t>
      </w:r>
      <w:r>
        <w:rPr>
          <w:rFonts w:hint="eastAsia" w:ascii="宋体" w:hAnsi="宋体" w:eastAsia="宋体" w:cs="宋体"/>
          <w:color w:val="auto"/>
          <w:sz w:val="21"/>
          <w:szCs w:val="21"/>
          <w:highlight w:val="none"/>
        </w:rPr>
        <w:t>；</w:t>
      </w:r>
    </w:p>
    <w:p w14:paraId="39655594">
      <w:pPr>
        <w:keepNext w:val="0"/>
        <w:keepLines w:val="0"/>
        <w:pageBreakBefore w:val="0"/>
        <w:widowControl w:val="0"/>
        <w:numPr>
          <w:ilvl w:val="0"/>
          <w:numId w:val="0"/>
        </w:numPr>
        <w:kinsoku/>
        <w:wordWrap/>
        <w:overflowPunct/>
        <w:topLinePunct w:val="0"/>
        <w:autoSpaceDE/>
        <w:autoSpaceDN/>
        <w:bidi w:val="0"/>
        <w:adjustRightInd/>
        <w:snapToGrid/>
        <w:spacing w:line="310" w:lineRule="exact"/>
        <w:ind w:left="0" w:leftChars="0" w:firstLine="420" w:firstLineChars="0"/>
        <w:textAlignment w:val="auto"/>
        <w:rPr>
          <w:rFonts w:hint="eastAsia" w:ascii="宋体" w:hAnsi="宋体" w:eastAsia="宋体" w:cs="宋体"/>
          <w:color w:val="auto"/>
          <w:sz w:val="21"/>
          <w:szCs w:val="21"/>
          <w:highlight w:val="none"/>
        </w:rPr>
      </w:pPr>
      <w:r>
        <w:rPr>
          <w:rFonts w:hint="eastAsia" w:ascii="宋体" w:hAnsi="宋体" w:eastAsia="宋体" w:cs="宋体"/>
          <w:color w:val="auto"/>
          <w:kern w:val="2"/>
          <w:sz w:val="21"/>
          <w:szCs w:val="21"/>
          <w:highlight w:val="none"/>
          <w:lang w:val="en-US" w:eastAsia="zh-CN" w:bidi="ar-SA"/>
        </w:rPr>
        <w:t>8.</w:t>
      </w:r>
      <w:r>
        <w:rPr>
          <w:rFonts w:hint="eastAsia" w:ascii="宋体" w:hAnsi="宋体" w:eastAsia="宋体" w:cs="宋体"/>
          <w:color w:val="auto"/>
          <w:sz w:val="21"/>
          <w:szCs w:val="21"/>
          <w:highlight w:val="none"/>
        </w:rPr>
        <w:t>供应商近半年内任意一个月或任一季度依法缴纳税收的证明材料</w:t>
      </w:r>
      <w:r>
        <w:rPr>
          <w:rFonts w:hint="eastAsia" w:ascii="宋体" w:hAnsi="宋体" w:eastAsia="宋体" w:cs="宋体"/>
          <w:color w:val="auto"/>
          <w:sz w:val="21"/>
          <w:szCs w:val="21"/>
          <w:highlight w:val="none"/>
          <w:lang w:val="en-US" w:eastAsia="zh-CN"/>
        </w:rPr>
        <w:t>[</w:t>
      </w:r>
      <w:r>
        <w:rPr>
          <w:rFonts w:hint="eastAsia" w:ascii="宋体" w:hAnsi="宋体" w:eastAsia="宋体" w:cs="宋体"/>
          <w:color w:val="auto"/>
          <w:sz w:val="21"/>
          <w:szCs w:val="21"/>
          <w:highlight w:val="none"/>
        </w:rPr>
        <w:t>增值税</w:t>
      </w:r>
      <w:r>
        <w:rPr>
          <w:rFonts w:hint="eastAsia" w:ascii="宋体" w:hAnsi="宋体" w:eastAsia="宋体" w:cs="宋体"/>
          <w:color w:val="auto"/>
          <w:sz w:val="21"/>
          <w:szCs w:val="21"/>
          <w:highlight w:val="none"/>
          <w:lang w:eastAsia="zh-CN"/>
        </w:rPr>
        <w:t>缴纳</w:t>
      </w:r>
      <w:r>
        <w:rPr>
          <w:rFonts w:hint="eastAsia" w:ascii="宋体" w:hAnsi="宋体" w:eastAsia="宋体" w:cs="宋体"/>
          <w:color w:val="auto"/>
          <w:sz w:val="21"/>
          <w:szCs w:val="21"/>
          <w:highlight w:val="none"/>
        </w:rPr>
        <w:t>发票(税收完税证明)或企业所得税完税证明或税务部门出具的免税证明</w:t>
      </w:r>
      <w:r>
        <w:rPr>
          <w:rFonts w:hint="eastAsia" w:ascii="宋体" w:hAnsi="宋体" w:eastAsia="宋体" w:cs="宋体"/>
          <w:color w:val="auto"/>
          <w:sz w:val="21"/>
          <w:szCs w:val="21"/>
          <w:highlight w:val="none"/>
          <w:lang w:val="en-US" w:eastAsia="zh-CN"/>
        </w:rPr>
        <w:t>]</w:t>
      </w:r>
      <w:r>
        <w:rPr>
          <w:rFonts w:hint="eastAsia" w:ascii="宋体" w:hAnsi="宋体" w:eastAsia="宋体" w:cs="宋体"/>
          <w:color w:val="auto"/>
          <w:sz w:val="21"/>
          <w:szCs w:val="21"/>
          <w:highlight w:val="none"/>
        </w:rPr>
        <w:t>复印件</w:t>
      </w:r>
      <w:r>
        <w:rPr>
          <w:rFonts w:hint="eastAsia" w:ascii="宋体" w:hAnsi="宋体" w:eastAsia="宋体" w:cs="宋体"/>
          <w:b/>
          <w:bCs/>
          <w:color w:val="auto"/>
          <w:sz w:val="21"/>
          <w:szCs w:val="21"/>
          <w:highlight w:val="none"/>
        </w:rPr>
        <w:t>（必须提供）</w:t>
      </w:r>
      <w:r>
        <w:rPr>
          <w:rFonts w:hint="eastAsia" w:ascii="宋体" w:hAnsi="宋体" w:eastAsia="宋体" w:cs="宋体"/>
          <w:b/>
          <w:bCs/>
          <w:color w:val="auto"/>
          <w:sz w:val="21"/>
          <w:szCs w:val="21"/>
          <w:highlight w:val="none"/>
          <w:lang w:eastAsia="zh-CN"/>
        </w:rPr>
        <w:t>；</w:t>
      </w:r>
    </w:p>
    <w:p w14:paraId="2ECD4797">
      <w:pPr>
        <w:pStyle w:val="17"/>
        <w:keepNext w:val="0"/>
        <w:keepLines w:val="0"/>
        <w:pageBreakBefore w:val="0"/>
        <w:widowControl w:val="0"/>
        <w:kinsoku/>
        <w:wordWrap/>
        <w:overflowPunct/>
        <w:topLinePunct w:val="0"/>
        <w:autoSpaceDE/>
        <w:autoSpaceDN/>
        <w:bidi w:val="0"/>
        <w:adjustRightInd/>
        <w:snapToGrid/>
        <w:spacing w:after="0" w:line="310" w:lineRule="exact"/>
        <w:ind w:left="0" w:leftChars="0" w:firstLine="422"/>
        <w:textAlignment w:val="auto"/>
        <w:rPr>
          <w:rFonts w:hint="eastAsia" w:ascii="宋体" w:hAnsi="宋体" w:eastAsia="宋体" w:cs="宋体"/>
          <w:b/>
          <w:bCs/>
          <w:color w:val="auto"/>
          <w:sz w:val="21"/>
          <w:szCs w:val="21"/>
          <w:highlight w:val="none"/>
          <w:lang w:val="en-US" w:eastAsia="zh-CN"/>
        </w:rPr>
      </w:pPr>
      <w:r>
        <w:rPr>
          <w:rFonts w:hint="eastAsia" w:ascii="宋体" w:hAnsi="宋体" w:eastAsia="宋体" w:cs="宋体"/>
          <w:bCs/>
          <w:color w:val="auto"/>
          <w:kern w:val="0"/>
          <w:sz w:val="21"/>
          <w:szCs w:val="21"/>
          <w:highlight w:val="none"/>
          <w:lang w:val="en-US" w:eastAsia="zh-CN" w:bidi="ar-SA"/>
        </w:rPr>
        <w:t>9.《中小企业声明函》或《残疾人福利性单位声明函》或省级以上监狱管理局、戒毒管理局（含新疆生产建设兵团）出具的属于监狱企业的证明文件复印件</w:t>
      </w:r>
      <w:r>
        <w:rPr>
          <w:rFonts w:hint="eastAsia" w:ascii="宋体" w:hAnsi="宋体" w:eastAsia="宋体" w:cs="宋体"/>
          <w:b/>
          <w:bCs w:val="0"/>
          <w:color w:val="auto"/>
          <w:kern w:val="0"/>
          <w:sz w:val="21"/>
          <w:szCs w:val="21"/>
          <w:highlight w:val="none"/>
          <w:lang w:val="en-US" w:eastAsia="zh-CN" w:bidi="ar-SA"/>
        </w:rPr>
        <w:t>（必须提供其中一项）。</w:t>
      </w:r>
    </w:p>
    <w:p w14:paraId="5C83996B">
      <w:pPr>
        <w:keepNext w:val="0"/>
        <w:keepLines w:val="0"/>
        <w:pageBreakBefore w:val="0"/>
        <w:widowControl w:val="0"/>
        <w:numPr>
          <w:ilvl w:val="0"/>
          <w:numId w:val="0"/>
        </w:numPr>
        <w:kinsoku/>
        <w:wordWrap/>
        <w:overflowPunct/>
        <w:topLinePunct w:val="0"/>
        <w:autoSpaceDE/>
        <w:autoSpaceDN/>
        <w:bidi w:val="0"/>
        <w:adjustRightInd/>
        <w:snapToGrid/>
        <w:spacing w:line="310" w:lineRule="exact"/>
        <w:ind w:firstLine="426" w:firstLineChars="202"/>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kern w:val="2"/>
          <w:sz w:val="21"/>
          <w:szCs w:val="21"/>
          <w:highlight w:val="none"/>
          <w:lang w:val="en-US" w:eastAsia="zh-CN" w:bidi="ar-SA"/>
        </w:rPr>
        <w:t>二、</w:t>
      </w:r>
      <w:r>
        <w:rPr>
          <w:rFonts w:hint="eastAsia" w:ascii="宋体" w:hAnsi="宋体" w:eastAsia="宋体" w:cs="宋体"/>
          <w:b/>
          <w:bCs/>
          <w:color w:val="auto"/>
          <w:sz w:val="21"/>
          <w:szCs w:val="21"/>
          <w:highlight w:val="none"/>
        </w:rPr>
        <w:t>符合性响应证明材料</w:t>
      </w:r>
    </w:p>
    <w:p w14:paraId="1E758C48">
      <w:pPr>
        <w:keepNext w:val="0"/>
        <w:keepLines w:val="0"/>
        <w:pageBreakBefore w:val="0"/>
        <w:widowControl w:val="0"/>
        <w:kinsoku/>
        <w:wordWrap/>
        <w:overflowPunct/>
        <w:topLinePunct w:val="0"/>
        <w:autoSpaceDE/>
        <w:autoSpaceDN/>
        <w:bidi w:val="0"/>
        <w:adjustRightInd/>
        <w:snapToGrid/>
        <w:spacing w:line="31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1.</w:t>
      </w:r>
      <w:r>
        <w:rPr>
          <w:rFonts w:hint="eastAsia" w:ascii="宋体" w:hAnsi="宋体" w:eastAsia="宋体" w:cs="宋体"/>
          <w:color w:val="auto"/>
          <w:sz w:val="21"/>
          <w:szCs w:val="21"/>
          <w:highlight w:val="none"/>
          <w:lang w:val="en-US"/>
        </w:rPr>
        <w:t>响应函</w:t>
      </w:r>
      <w:r>
        <w:rPr>
          <w:rFonts w:hint="eastAsia" w:ascii="宋体" w:hAnsi="宋体" w:eastAsia="宋体" w:cs="宋体"/>
          <w:color w:val="auto"/>
          <w:sz w:val="21"/>
          <w:szCs w:val="21"/>
          <w:highlight w:val="none"/>
        </w:rPr>
        <w:t>及响应函附录</w:t>
      </w:r>
      <w:r>
        <w:rPr>
          <w:rFonts w:hint="eastAsia" w:ascii="宋体" w:hAnsi="宋体" w:eastAsia="宋体" w:cs="宋体"/>
          <w:color w:val="auto"/>
          <w:sz w:val="21"/>
          <w:szCs w:val="21"/>
          <w:highlight w:val="none"/>
          <w:lang w:val="en-US"/>
        </w:rPr>
        <w:t>（格式见附件）</w:t>
      </w:r>
      <w:r>
        <w:rPr>
          <w:rFonts w:hint="eastAsia" w:ascii="宋体" w:hAnsi="宋体" w:eastAsia="宋体" w:cs="宋体"/>
          <w:b/>
          <w:bCs/>
          <w:color w:val="auto"/>
          <w:sz w:val="21"/>
          <w:szCs w:val="21"/>
          <w:highlight w:val="none"/>
          <w:lang w:val="en-US"/>
        </w:rPr>
        <w:t>（必须提供）</w:t>
      </w:r>
      <w:r>
        <w:rPr>
          <w:rFonts w:hint="eastAsia" w:ascii="宋体" w:hAnsi="宋体" w:eastAsia="宋体" w:cs="宋体"/>
          <w:color w:val="auto"/>
          <w:sz w:val="21"/>
          <w:szCs w:val="21"/>
          <w:highlight w:val="none"/>
          <w:lang w:val="en-US" w:eastAsia="zh-CN"/>
        </w:rPr>
        <w:t>；</w:t>
      </w:r>
    </w:p>
    <w:p w14:paraId="34F8533F">
      <w:pPr>
        <w:keepNext w:val="0"/>
        <w:keepLines w:val="0"/>
        <w:pageBreakBefore w:val="0"/>
        <w:widowControl w:val="0"/>
        <w:kinsoku/>
        <w:wordWrap/>
        <w:overflowPunct/>
        <w:topLinePunct w:val="0"/>
        <w:autoSpaceDE/>
        <w:autoSpaceDN/>
        <w:bidi w:val="0"/>
        <w:adjustRightInd/>
        <w:snapToGrid/>
        <w:spacing w:line="310" w:lineRule="exact"/>
        <w:ind w:left="0" w:leftChars="0" w:firstLine="420" w:firstLineChars="200"/>
        <w:textAlignment w:val="auto"/>
        <w:rPr>
          <w:rFonts w:hint="eastAsia" w:ascii="宋体" w:hAnsi="宋体" w:eastAsia="宋体" w:cs="宋体"/>
          <w:bCs/>
          <w:color w:val="auto"/>
          <w:kern w:val="0"/>
          <w:sz w:val="21"/>
          <w:szCs w:val="21"/>
          <w:highlight w:val="none"/>
          <w:lang w:eastAsia="zh-CN"/>
        </w:rPr>
      </w:pPr>
      <w:r>
        <w:rPr>
          <w:rFonts w:hint="eastAsia" w:ascii="宋体" w:hAnsi="宋体" w:eastAsia="宋体" w:cs="宋体"/>
          <w:bCs/>
          <w:color w:val="auto"/>
          <w:kern w:val="0"/>
          <w:sz w:val="21"/>
          <w:szCs w:val="21"/>
          <w:highlight w:val="none"/>
          <w:lang w:val="en-US" w:eastAsia="zh-CN"/>
        </w:rPr>
        <w:t>2.</w:t>
      </w:r>
      <w:r>
        <w:rPr>
          <w:rFonts w:hint="eastAsia" w:ascii="宋体" w:hAnsi="宋体" w:eastAsia="宋体" w:cs="宋体"/>
          <w:bCs/>
          <w:color w:val="auto"/>
          <w:kern w:val="0"/>
          <w:sz w:val="21"/>
          <w:szCs w:val="21"/>
          <w:highlight w:val="none"/>
        </w:rPr>
        <w:t>已标价工程量清单</w:t>
      </w:r>
      <w:r>
        <w:rPr>
          <w:rFonts w:hint="eastAsia" w:ascii="宋体" w:hAnsi="宋体" w:eastAsia="宋体" w:cs="宋体"/>
          <w:b/>
          <w:bCs w:val="0"/>
          <w:color w:val="auto"/>
          <w:kern w:val="0"/>
          <w:sz w:val="21"/>
          <w:szCs w:val="21"/>
          <w:highlight w:val="none"/>
        </w:rPr>
        <w:t>（必须提供）</w:t>
      </w:r>
      <w:r>
        <w:rPr>
          <w:rFonts w:hint="eastAsia" w:ascii="宋体" w:hAnsi="宋体" w:eastAsia="宋体" w:cs="宋体"/>
          <w:b w:val="0"/>
          <w:bCs/>
          <w:color w:val="auto"/>
          <w:kern w:val="0"/>
          <w:sz w:val="21"/>
          <w:szCs w:val="21"/>
          <w:highlight w:val="none"/>
          <w:lang w:eastAsia="zh-CN"/>
        </w:rPr>
        <w:t>；</w:t>
      </w:r>
    </w:p>
    <w:p w14:paraId="1F009FF7">
      <w:pPr>
        <w:keepNext w:val="0"/>
        <w:keepLines w:val="0"/>
        <w:pageBreakBefore w:val="0"/>
        <w:widowControl w:val="0"/>
        <w:kinsoku/>
        <w:wordWrap/>
        <w:overflowPunct/>
        <w:topLinePunct w:val="0"/>
        <w:autoSpaceDE/>
        <w:autoSpaceDN/>
        <w:bidi w:val="0"/>
        <w:adjustRightInd/>
        <w:snapToGrid/>
        <w:spacing w:line="31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3.</w:t>
      </w:r>
      <w:r>
        <w:rPr>
          <w:rFonts w:hint="eastAsia" w:ascii="宋体" w:hAnsi="宋体" w:eastAsia="宋体" w:cs="宋体"/>
          <w:color w:val="auto"/>
          <w:sz w:val="21"/>
          <w:szCs w:val="21"/>
          <w:highlight w:val="none"/>
        </w:rPr>
        <w:t>项目管理机构组成表</w:t>
      </w:r>
      <w:r>
        <w:rPr>
          <w:rFonts w:hint="eastAsia" w:ascii="宋体" w:hAnsi="宋体" w:eastAsia="宋体" w:cs="宋体"/>
          <w:b/>
          <w:bCs/>
          <w:color w:val="auto"/>
          <w:sz w:val="21"/>
          <w:szCs w:val="21"/>
          <w:highlight w:val="none"/>
          <w:lang w:eastAsia="zh-CN"/>
        </w:rPr>
        <w:t>（</w:t>
      </w:r>
      <w:r>
        <w:rPr>
          <w:rFonts w:hint="eastAsia" w:ascii="宋体" w:hAnsi="宋体" w:eastAsia="宋体" w:cs="宋体"/>
          <w:b/>
          <w:bCs/>
          <w:color w:val="auto"/>
          <w:sz w:val="21"/>
          <w:szCs w:val="21"/>
          <w:highlight w:val="none"/>
        </w:rPr>
        <w:t>必须提供)</w:t>
      </w:r>
      <w:r>
        <w:rPr>
          <w:rFonts w:hint="eastAsia" w:ascii="宋体" w:hAnsi="宋体" w:eastAsia="宋体" w:cs="宋体"/>
          <w:color w:val="auto"/>
          <w:sz w:val="21"/>
          <w:szCs w:val="21"/>
          <w:highlight w:val="none"/>
        </w:rPr>
        <w:t>；</w:t>
      </w:r>
    </w:p>
    <w:p w14:paraId="403E8457">
      <w:pPr>
        <w:keepNext w:val="0"/>
        <w:keepLines w:val="0"/>
        <w:pageBreakBefore w:val="0"/>
        <w:widowControl w:val="0"/>
        <w:numPr>
          <w:ilvl w:val="0"/>
          <w:numId w:val="0"/>
        </w:numPr>
        <w:kinsoku/>
        <w:wordWrap/>
        <w:overflowPunct/>
        <w:topLinePunct w:val="0"/>
        <w:autoSpaceDE/>
        <w:autoSpaceDN/>
        <w:bidi w:val="0"/>
        <w:adjustRightInd/>
        <w:snapToGrid/>
        <w:spacing w:line="310" w:lineRule="exact"/>
        <w:ind w:left="0" w:leftChars="0" w:firstLine="420" w:firstLineChars="200"/>
        <w:textAlignment w:val="auto"/>
        <w:rPr>
          <w:rFonts w:hint="eastAsia" w:ascii="宋体" w:hAnsi="宋体" w:eastAsia="宋体" w:cs="宋体"/>
          <w:b/>
          <w:bCs/>
          <w:color w:val="auto"/>
          <w:sz w:val="21"/>
          <w:szCs w:val="21"/>
          <w:highlight w:val="none"/>
          <w:lang w:eastAsia="zh-CN"/>
        </w:rPr>
      </w:pPr>
      <w:r>
        <w:rPr>
          <w:rFonts w:hint="eastAsia" w:ascii="宋体" w:hAnsi="宋体" w:eastAsia="宋体" w:cs="宋体"/>
          <w:color w:val="auto"/>
          <w:sz w:val="21"/>
          <w:szCs w:val="21"/>
          <w:highlight w:val="none"/>
          <w:lang w:val="en-US" w:eastAsia="zh-CN"/>
        </w:rPr>
        <w:t>4.</w:t>
      </w:r>
      <w:r>
        <w:rPr>
          <w:rFonts w:hint="eastAsia" w:ascii="宋体" w:hAnsi="宋体" w:eastAsia="宋体" w:cs="宋体"/>
          <w:bCs/>
          <w:color w:val="auto"/>
          <w:kern w:val="0"/>
          <w:sz w:val="21"/>
          <w:szCs w:val="21"/>
          <w:highlight w:val="none"/>
        </w:rPr>
        <w:t>施工组织设计</w:t>
      </w:r>
      <w:r>
        <w:rPr>
          <w:rFonts w:hint="eastAsia" w:ascii="宋体" w:hAnsi="宋体" w:eastAsia="宋体" w:cs="宋体"/>
          <w:b/>
          <w:bCs/>
          <w:color w:val="auto"/>
          <w:sz w:val="21"/>
          <w:szCs w:val="21"/>
          <w:highlight w:val="none"/>
        </w:rPr>
        <w:t>（</w:t>
      </w:r>
      <w:r>
        <w:rPr>
          <w:rFonts w:hint="eastAsia" w:ascii="宋体" w:hAnsi="宋体" w:eastAsia="宋体" w:cs="宋体"/>
          <w:b/>
          <w:bCs/>
          <w:color w:val="auto"/>
          <w:sz w:val="21"/>
          <w:szCs w:val="21"/>
          <w:highlight w:val="none"/>
          <w:lang w:eastAsia="zh-CN"/>
        </w:rPr>
        <w:t>必须提供</w:t>
      </w:r>
      <w:r>
        <w:rPr>
          <w:rFonts w:hint="eastAsia" w:ascii="宋体" w:hAnsi="宋体" w:eastAsia="宋体" w:cs="宋体"/>
          <w:b/>
          <w:bCs/>
          <w:color w:val="auto"/>
          <w:sz w:val="21"/>
          <w:szCs w:val="21"/>
          <w:highlight w:val="none"/>
        </w:rPr>
        <w:t>）</w:t>
      </w:r>
      <w:r>
        <w:rPr>
          <w:rFonts w:hint="eastAsia" w:ascii="宋体" w:hAnsi="宋体" w:eastAsia="宋体" w:cs="宋体"/>
          <w:b w:val="0"/>
          <w:bCs w:val="0"/>
          <w:color w:val="auto"/>
          <w:sz w:val="21"/>
          <w:szCs w:val="21"/>
          <w:highlight w:val="none"/>
          <w:lang w:eastAsia="zh-CN"/>
        </w:rPr>
        <w:t>；</w:t>
      </w:r>
    </w:p>
    <w:p w14:paraId="12DB83C3">
      <w:pPr>
        <w:keepNext w:val="0"/>
        <w:keepLines w:val="0"/>
        <w:pageBreakBefore w:val="0"/>
        <w:widowControl w:val="0"/>
        <w:kinsoku/>
        <w:wordWrap/>
        <w:overflowPunct/>
        <w:topLinePunct w:val="0"/>
        <w:autoSpaceDE/>
        <w:autoSpaceDN/>
        <w:bidi w:val="0"/>
        <w:adjustRightInd/>
        <w:snapToGrid/>
        <w:spacing w:line="310" w:lineRule="exact"/>
        <w:ind w:left="0" w:leftChars="0" w:firstLine="420" w:firstLineChars="200"/>
        <w:textAlignment w:val="auto"/>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lang w:val="en-US" w:eastAsia="zh-CN"/>
        </w:rPr>
        <w:t>5.</w:t>
      </w:r>
      <w:r>
        <w:rPr>
          <w:rFonts w:hint="eastAsia" w:ascii="宋体" w:hAnsi="宋体" w:eastAsia="宋体" w:cs="宋体"/>
          <w:bCs/>
          <w:color w:val="auto"/>
          <w:kern w:val="0"/>
          <w:sz w:val="21"/>
          <w:szCs w:val="21"/>
          <w:highlight w:val="none"/>
        </w:rPr>
        <w:t>城乡清洁工程渣土清运承诺书</w:t>
      </w:r>
      <w:r>
        <w:rPr>
          <w:rFonts w:hint="eastAsia" w:ascii="宋体" w:hAnsi="宋体" w:eastAsia="宋体" w:cs="宋体"/>
          <w:b/>
          <w:bCs/>
          <w:color w:val="auto"/>
          <w:sz w:val="21"/>
          <w:szCs w:val="21"/>
          <w:highlight w:val="none"/>
        </w:rPr>
        <w:t>（</w:t>
      </w:r>
      <w:r>
        <w:rPr>
          <w:rFonts w:hint="eastAsia" w:ascii="宋体" w:hAnsi="宋体" w:eastAsia="宋体" w:cs="宋体"/>
          <w:b/>
          <w:bCs/>
          <w:color w:val="auto"/>
          <w:sz w:val="21"/>
          <w:szCs w:val="21"/>
          <w:highlight w:val="none"/>
          <w:lang w:eastAsia="zh-CN"/>
        </w:rPr>
        <w:t>必须提供</w:t>
      </w:r>
      <w:r>
        <w:rPr>
          <w:rFonts w:hint="eastAsia" w:ascii="宋体" w:hAnsi="宋体" w:eastAsia="宋体" w:cs="宋体"/>
          <w:b/>
          <w:bCs/>
          <w:color w:val="auto"/>
          <w:sz w:val="21"/>
          <w:szCs w:val="21"/>
          <w:highlight w:val="none"/>
        </w:rPr>
        <w:t>）</w:t>
      </w:r>
      <w:r>
        <w:rPr>
          <w:rFonts w:hint="eastAsia" w:ascii="宋体" w:hAnsi="宋体" w:eastAsia="宋体" w:cs="宋体"/>
          <w:bCs/>
          <w:color w:val="auto"/>
          <w:kern w:val="0"/>
          <w:sz w:val="21"/>
          <w:szCs w:val="21"/>
          <w:highlight w:val="none"/>
          <w:lang w:eastAsia="zh-CN"/>
        </w:rPr>
        <w:t>；</w:t>
      </w:r>
    </w:p>
    <w:p w14:paraId="16EFFBF5">
      <w:pPr>
        <w:keepNext w:val="0"/>
        <w:keepLines w:val="0"/>
        <w:pageBreakBefore w:val="0"/>
        <w:widowControl w:val="0"/>
        <w:kinsoku/>
        <w:wordWrap/>
        <w:overflowPunct/>
        <w:topLinePunct w:val="0"/>
        <w:autoSpaceDE/>
        <w:autoSpaceDN/>
        <w:bidi w:val="0"/>
        <w:adjustRightInd/>
        <w:snapToGrid/>
        <w:spacing w:line="310" w:lineRule="exact"/>
        <w:ind w:left="0" w:leftChars="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6.</w:t>
      </w:r>
      <w:r>
        <w:rPr>
          <w:rFonts w:hint="eastAsia" w:ascii="宋体" w:hAnsi="宋体" w:eastAsia="宋体" w:cs="宋体"/>
          <w:color w:val="auto"/>
          <w:sz w:val="21"/>
          <w:szCs w:val="21"/>
          <w:highlight w:val="none"/>
        </w:rPr>
        <w:t>建设工程项目管理承诺书</w:t>
      </w:r>
      <w:r>
        <w:rPr>
          <w:rFonts w:hint="eastAsia" w:ascii="宋体" w:hAnsi="宋体" w:eastAsia="宋体" w:cs="宋体"/>
          <w:b/>
          <w:bCs/>
          <w:color w:val="auto"/>
          <w:sz w:val="21"/>
          <w:szCs w:val="21"/>
          <w:highlight w:val="none"/>
        </w:rPr>
        <w:t>（</w:t>
      </w:r>
      <w:r>
        <w:rPr>
          <w:rFonts w:hint="eastAsia" w:ascii="宋体" w:hAnsi="宋体" w:eastAsia="宋体" w:cs="宋体"/>
          <w:b/>
          <w:bCs/>
          <w:color w:val="auto"/>
          <w:sz w:val="21"/>
          <w:szCs w:val="21"/>
          <w:highlight w:val="none"/>
          <w:lang w:eastAsia="zh-CN"/>
        </w:rPr>
        <w:t>必须提供</w:t>
      </w:r>
      <w:r>
        <w:rPr>
          <w:rFonts w:hint="eastAsia" w:ascii="宋体" w:hAnsi="宋体" w:eastAsia="宋体" w:cs="宋体"/>
          <w:b/>
          <w:bCs/>
          <w:color w:val="auto"/>
          <w:sz w:val="21"/>
          <w:szCs w:val="21"/>
          <w:highlight w:val="none"/>
        </w:rPr>
        <w:t>）</w:t>
      </w:r>
      <w:r>
        <w:rPr>
          <w:rFonts w:hint="eastAsia" w:ascii="宋体" w:hAnsi="宋体" w:eastAsia="宋体" w:cs="宋体"/>
          <w:b/>
          <w:bCs/>
          <w:color w:val="auto"/>
          <w:sz w:val="21"/>
          <w:szCs w:val="21"/>
          <w:highlight w:val="none"/>
          <w:lang w:eastAsia="zh-CN"/>
        </w:rPr>
        <w:t>。</w:t>
      </w:r>
    </w:p>
    <w:p w14:paraId="0A6A6184">
      <w:pPr>
        <w:keepNext w:val="0"/>
        <w:keepLines w:val="0"/>
        <w:pageBreakBefore w:val="0"/>
        <w:widowControl w:val="0"/>
        <w:numPr>
          <w:ilvl w:val="0"/>
          <w:numId w:val="0"/>
        </w:numPr>
        <w:kinsoku/>
        <w:wordWrap/>
        <w:overflowPunct/>
        <w:topLinePunct w:val="0"/>
        <w:autoSpaceDE/>
        <w:autoSpaceDN/>
        <w:bidi w:val="0"/>
        <w:adjustRightInd/>
        <w:snapToGrid/>
        <w:spacing w:line="310" w:lineRule="exact"/>
        <w:ind w:firstLine="426" w:firstLineChars="202"/>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kern w:val="2"/>
          <w:sz w:val="21"/>
          <w:szCs w:val="21"/>
          <w:highlight w:val="none"/>
          <w:lang w:val="en-US" w:eastAsia="zh-CN" w:bidi="ar-SA"/>
        </w:rPr>
        <w:t>三、</w:t>
      </w:r>
      <w:r>
        <w:rPr>
          <w:rFonts w:hint="eastAsia" w:ascii="宋体" w:hAnsi="宋体" w:eastAsia="宋体" w:cs="宋体"/>
          <w:b/>
          <w:bCs/>
          <w:color w:val="auto"/>
          <w:sz w:val="21"/>
          <w:szCs w:val="21"/>
          <w:highlight w:val="none"/>
        </w:rPr>
        <w:t>其</w:t>
      </w:r>
      <w:r>
        <w:rPr>
          <w:rFonts w:hint="eastAsia" w:ascii="宋体" w:hAnsi="宋体" w:eastAsia="宋体" w:cs="宋体"/>
          <w:b/>
          <w:bCs/>
          <w:color w:val="auto"/>
          <w:sz w:val="21"/>
          <w:szCs w:val="21"/>
          <w:highlight w:val="none"/>
          <w:lang w:eastAsia="zh-CN"/>
        </w:rPr>
        <w:t>他</w:t>
      </w:r>
      <w:r>
        <w:rPr>
          <w:rFonts w:hint="eastAsia" w:ascii="宋体" w:hAnsi="宋体" w:eastAsia="宋体" w:cs="宋体"/>
          <w:b/>
          <w:bCs/>
          <w:color w:val="auto"/>
          <w:sz w:val="21"/>
          <w:szCs w:val="21"/>
          <w:highlight w:val="none"/>
        </w:rPr>
        <w:t>有效证明材料</w:t>
      </w:r>
    </w:p>
    <w:p w14:paraId="3CE61AC4">
      <w:pPr>
        <w:keepNext w:val="0"/>
        <w:keepLines w:val="0"/>
        <w:pageBreakBefore w:val="0"/>
        <w:widowControl w:val="0"/>
        <w:kinsoku/>
        <w:wordWrap/>
        <w:overflowPunct/>
        <w:topLinePunct w:val="0"/>
        <w:autoSpaceDE/>
        <w:autoSpaceDN/>
        <w:bidi w:val="0"/>
        <w:adjustRightInd/>
        <w:snapToGrid/>
        <w:spacing w:line="310" w:lineRule="exact"/>
        <w:ind w:left="0" w:leftChars="0" w:firstLine="420" w:firstLineChars="200"/>
        <w:textAlignment w:val="auto"/>
        <w:rPr>
          <w:rFonts w:hint="eastAsia" w:ascii="宋体" w:hAnsi="宋体" w:eastAsia="宋体" w:cs="宋体"/>
          <w:b/>
          <w:bCs/>
          <w:color w:val="auto"/>
          <w:sz w:val="21"/>
          <w:szCs w:val="21"/>
          <w:highlight w:val="none"/>
        </w:rPr>
      </w:pPr>
      <w:r>
        <w:rPr>
          <w:rFonts w:hint="eastAsia" w:ascii="宋体" w:hAnsi="宋体" w:eastAsia="宋体" w:cs="宋体"/>
          <w:color w:val="auto"/>
          <w:sz w:val="21"/>
          <w:szCs w:val="21"/>
          <w:highlight w:val="none"/>
          <w:lang w:val="en-US" w:eastAsia="zh-CN"/>
        </w:rPr>
        <w:t>1.</w:t>
      </w:r>
      <w:r>
        <w:rPr>
          <w:rFonts w:hint="eastAsia" w:ascii="宋体" w:hAnsi="宋体" w:eastAsia="宋体" w:cs="宋体"/>
          <w:color w:val="auto"/>
          <w:sz w:val="21"/>
          <w:szCs w:val="21"/>
          <w:highlight w:val="none"/>
          <w:lang w:eastAsia="zh-CN"/>
        </w:rPr>
        <w:t>供应商</w:t>
      </w:r>
      <w:r>
        <w:rPr>
          <w:rFonts w:hint="eastAsia" w:ascii="宋体" w:hAnsi="宋体" w:eastAsia="宋体" w:cs="宋体"/>
          <w:color w:val="auto"/>
          <w:sz w:val="21"/>
          <w:szCs w:val="21"/>
          <w:highlight w:val="none"/>
          <w:lang w:val="en-US" w:eastAsia="zh-CN"/>
        </w:rPr>
        <w:t>2021</w:t>
      </w:r>
      <w:r>
        <w:rPr>
          <w:rFonts w:hint="eastAsia" w:ascii="宋体" w:hAnsi="宋体" w:eastAsia="宋体" w:cs="宋体"/>
          <w:color w:val="auto"/>
          <w:sz w:val="21"/>
          <w:szCs w:val="21"/>
          <w:highlight w:val="none"/>
          <w:lang w:eastAsia="zh-CN"/>
        </w:rPr>
        <w:t>年1月1日以来具有同类项目业绩的相关证明材料</w:t>
      </w:r>
      <w:r>
        <w:rPr>
          <w:rFonts w:hint="eastAsia" w:ascii="宋体" w:hAnsi="宋体" w:eastAsia="宋体" w:cs="宋体"/>
          <w:color w:val="auto"/>
          <w:sz w:val="21"/>
          <w:szCs w:val="21"/>
          <w:highlight w:val="none"/>
        </w:rPr>
        <w:t>（无不良记录，以中标、成交通知书或签订的合同</w:t>
      </w:r>
      <w:r>
        <w:rPr>
          <w:rFonts w:hint="eastAsia" w:ascii="宋体" w:hAnsi="宋体" w:eastAsia="宋体" w:cs="宋体"/>
          <w:color w:val="auto"/>
          <w:sz w:val="21"/>
          <w:szCs w:val="21"/>
          <w:highlight w:val="none"/>
          <w:lang w:eastAsia="zh-CN"/>
        </w:rPr>
        <w:t>复印件</w:t>
      </w:r>
      <w:r>
        <w:rPr>
          <w:rFonts w:hint="eastAsia" w:ascii="宋体" w:hAnsi="宋体" w:eastAsia="宋体" w:cs="宋体"/>
          <w:color w:val="auto"/>
          <w:sz w:val="21"/>
          <w:szCs w:val="21"/>
          <w:highlight w:val="none"/>
        </w:rPr>
        <w:t>为准，并能清晰反映</w:t>
      </w:r>
      <w:r>
        <w:rPr>
          <w:rFonts w:hint="eastAsia" w:ascii="宋体" w:hAnsi="宋体" w:eastAsia="宋体" w:cs="宋体"/>
          <w:color w:val="auto"/>
          <w:sz w:val="21"/>
          <w:szCs w:val="21"/>
          <w:highlight w:val="none"/>
          <w:lang w:eastAsia="zh-CN"/>
        </w:rPr>
        <w:t>项目</w:t>
      </w:r>
      <w:r>
        <w:rPr>
          <w:rFonts w:hint="eastAsia" w:ascii="宋体" w:hAnsi="宋体" w:eastAsia="宋体" w:cs="宋体"/>
          <w:color w:val="auto"/>
          <w:sz w:val="21"/>
          <w:szCs w:val="21"/>
          <w:highlight w:val="none"/>
        </w:rPr>
        <w:t>的名称、</w:t>
      </w:r>
      <w:r>
        <w:rPr>
          <w:rFonts w:hint="eastAsia" w:ascii="宋体" w:hAnsi="宋体" w:eastAsia="宋体" w:cs="宋体"/>
          <w:color w:val="auto"/>
          <w:sz w:val="21"/>
          <w:szCs w:val="21"/>
          <w:highlight w:val="none"/>
          <w:lang w:eastAsia="zh-CN"/>
        </w:rPr>
        <w:t>采购内容</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eastAsia="zh-CN"/>
        </w:rPr>
        <w:t>采购</w:t>
      </w:r>
      <w:r>
        <w:rPr>
          <w:rFonts w:hint="eastAsia" w:ascii="宋体" w:hAnsi="宋体" w:eastAsia="宋体" w:cs="宋体"/>
          <w:color w:val="auto"/>
          <w:sz w:val="21"/>
          <w:szCs w:val="21"/>
          <w:highlight w:val="none"/>
        </w:rPr>
        <w:t>金额</w:t>
      </w:r>
      <w:r>
        <w:rPr>
          <w:rFonts w:hint="eastAsia" w:ascii="宋体" w:hAnsi="宋体" w:eastAsia="宋体" w:cs="宋体"/>
          <w:color w:val="auto"/>
          <w:sz w:val="21"/>
          <w:szCs w:val="21"/>
          <w:highlight w:val="none"/>
          <w:lang w:eastAsia="zh-CN"/>
        </w:rPr>
        <w:t>、采购时间</w:t>
      </w:r>
      <w:r>
        <w:rPr>
          <w:rFonts w:hint="eastAsia" w:ascii="宋体" w:hAnsi="宋体" w:eastAsia="宋体" w:cs="宋体"/>
          <w:color w:val="auto"/>
          <w:sz w:val="21"/>
          <w:szCs w:val="21"/>
          <w:highlight w:val="none"/>
        </w:rPr>
        <w:t>）</w:t>
      </w:r>
      <w:r>
        <w:rPr>
          <w:rFonts w:hint="eastAsia" w:ascii="宋体" w:hAnsi="宋体" w:eastAsia="宋体" w:cs="宋体"/>
          <w:b/>
          <w:bCs/>
          <w:color w:val="auto"/>
          <w:sz w:val="21"/>
          <w:szCs w:val="21"/>
          <w:highlight w:val="none"/>
        </w:rPr>
        <w:t>（如有，请提供）；</w:t>
      </w:r>
    </w:p>
    <w:p w14:paraId="1AEDA168">
      <w:pPr>
        <w:keepNext w:val="0"/>
        <w:keepLines w:val="0"/>
        <w:pageBreakBefore w:val="0"/>
        <w:widowControl w:val="0"/>
        <w:kinsoku/>
        <w:wordWrap/>
        <w:overflowPunct/>
        <w:topLinePunct w:val="0"/>
        <w:autoSpaceDE/>
        <w:autoSpaceDN/>
        <w:bidi w:val="0"/>
        <w:adjustRightInd/>
        <w:snapToGrid/>
        <w:spacing w:line="310" w:lineRule="exact"/>
        <w:ind w:left="0" w:leftChars="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供应商相关获奖证书、认证证书等复印件</w:t>
      </w:r>
      <w:r>
        <w:rPr>
          <w:rFonts w:hint="eastAsia" w:ascii="宋体" w:hAnsi="宋体" w:eastAsia="宋体" w:cs="宋体"/>
          <w:b/>
          <w:color w:val="auto"/>
          <w:sz w:val="21"/>
          <w:szCs w:val="21"/>
          <w:highlight w:val="none"/>
        </w:rPr>
        <w:t>（如有，请提供）</w:t>
      </w:r>
      <w:r>
        <w:rPr>
          <w:rFonts w:hint="eastAsia" w:ascii="宋体" w:hAnsi="宋体" w:eastAsia="宋体" w:cs="宋体"/>
          <w:b/>
          <w:color w:val="auto"/>
          <w:sz w:val="21"/>
          <w:szCs w:val="21"/>
          <w:highlight w:val="none"/>
          <w:lang w:eastAsia="zh-CN"/>
        </w:rPr>
        <w:t>；</w:t>
      </w:r>
    </w:p>
    <w:p w14:paraId="7E9C65D5">
      <w:pPr>
        <w:keepNext w:val="0"/>
        <w:keepLines w:val="0"/>
        <w:pageBreakBefore w:val="0"/>
        <w:widowControl w:val="0"/>
        <w:kinsoku/>
        <w:wordWrap/>
        <w:overflowPunct/>
        <w:topLinePunct w:val="0"/>
        <w:autoSpaceDE/>
        <w:autoSpaceDN/>
        <w:bidi w:val="0"/>
        <w:adjustRightInd/>
        <w:snapToGrid/>
        <w:spacing w:line="310" w:lineRule="exact"/>
        <w:ind w:left="0" w:leftChars="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3.</w:t>
      </w:r>
      <w:r>
        <w:rPr>
          <w:rFonts w:hint="eastAsia" w:ascii="宋体" w:hAnsi="宋体" w:eastAsia="宋体" w:cs="宋体"/>
          <w:color w:val="auto"/>
          <w:sz w:val="21"/>
          <w:szCs w:val="21"/>
          <w:highlight w:val="none"/>
        </w:rPr>
        <w:t>供应商可结合本项目的自身情况自行提交</w:t>
      </w:r>
      <w:r>
        <w:rPr>
          <w:rFonts w:hint="eastAsia" w:ascii="宋体" w:hAnsi="宋体" w:cs="宋体"/>
          <w:color w:val="auto"/>
          <w:sz w:val="21"/>
          <w:szCs w:val="21"/>
          <w:highlight w:val="none"/>
          <w:lang w:eastAsia="zh-CN"/>
        </w:rPr>
        <w:t>其他</w:t>
      </w:r>
      <w:r>
        <w:rPr>
          <w:rFonts w:hint="eastAsia" w:ascii="宋体" w:hAnsi="宋体" w:eastAsia="宋体" w:cs="宋体"/>
          <w:color w:val="auto"/>
          <w:sz w:val="21"/>
          <w:szCs w:val="21"/>
          <w:highlight w:val="none"/>
        </w:rPr>
        <w:t>相关证明材料。</w:t>
      </w:r>
    </w:p>
    <w:p w14:paraId="7B693729">
      <w:pPr>
        <w:pStyle w:val="10"/>
        <w:ind w:left="0" w:leftChars="0" w:firstLine="0" w:firstLineChars="0"/>
        <w:rPr>
          <w:rFonts w:hint="eastAsia" w:ascii="宋体" w:hAnsi="宋体" w:eastAsia="宋体" w:cs="宋体"/>
          <w:b/>
          <w:color w:val="auto"/>
          <w:sz w:val="24"/>
          <w:szCs w:val="24"/>
          <w:highlight w:val="none"/>
          <w:lang w:val="en-US" w:eastAsia="zh-CN"/>
        </w:rPr>
      </w:pPr>
      <w:r>
        <w:rPr>
          <w:rFonts w:hint="eastAsia" w:ascii="宋体" w:hAnsi="宋体" w:eastAsia="宋体" w:cs="宋体"/>
          <w:b/>
          <w:color w:val="auto"/>
          <w:sz w:val="24"/>
          <w:szCs w:val="24"/>
          <w:highlight w:val="none"/>
          <w:lang w:val="en-US" w:eastAsia="zh-CN"/>
        </w:rPr>
        <w:t>一、资格性响应证明材料</w:t>
      </w:r>
    </w:p>
    <w:p w14:paraId="0954BAD1">
      <w:pPr>
        <w:numPr>
          <w:ilvl w:val="0"/>
          <w:numId w:val="0"/>
        </w:numPr>
        <w:spacing w:line="440" w:lineRule="atLeast"/>
        <w:rPr>
          <w:rFonts w:hint="eastAsia" w:ascii="宋体" w:hAnsi="宋体" w:eastAsia="宋体" w:cs="宋体"/>
          <w:b/>
          <w:bCs w:val="0"/>
          <w:color w:val="auto"/>
          <w:sz w:val="24"/>
          <w:szCs w:val="24"/>
          <w:highlight w:val="none"/>
        </w:rPr>
      </w:pPr>
      <w:r>
        <w:rPr>
          <w:rFonts w:hint="eastAsia" w:ascii="宋体" w:hAnsi="宋体" w:eastAsia="宋体" w:cs="宋体"/>
          <w:b/>
          <w:bCs w:val="0"/>
          <w:color w:val="auto"/>
          <w:kern w:val="2"/>
          <w:sz w:val="24"/>
          <w:szCs w:val="24"/>
          <w:highlight w:val="none"/>
          <w:lang w:val="en-US" w:eastAsia="zh-CN" w:bidi="ar-SA"/>
        </w:rPr>
        <w:t>1.供应商相应的法定代表人、负责人、自然人身份证正反两面复印件（必须提供）</w:t>
      </w:r>
      <w:r>
        <w:rPr>
          <w:rFonts w:hint="eastAsia" w:ascii="宋体" w:hAnsi="宋体" w:eastAsia="宋体" w:cs="宋体"/>
          <w:b/>
          <w:bCs w:val="0"/>
          <w:color w:val="auto"/>
          <w:sz w:val="24"/>
          <w:szCs w:val="24"/>
          <w:highlight w:val="none"/>
        </w:rPr>
        <w:t>；</w:t>
      </w:r>
    </w:p>
    <w:p w14:paraId="6D6E4490">
      <w:pPr>
        <w:spacing w:line="440" w:lineRule="atLeast"/>
        <w:rPr>
          <w:rFonts w:hint="eastAsia" w:ascii="宋体" w:hAnsi="宋体" w:eastAsia="宋体" w:cs="宋体"/>
          <w:b/>
          <w:bCs w:val="0"/>
          <w:color w:val="auto"/>
          <w:sz w:val="24"/>
          <w:szCs w:val="24"/>
          <w:highlight w:val="none"/>
          <w:lang w:val="en-US" w:eastAsia="zh-CN"/>
        </w:rPr>
      </w:pPr>
    </w:p>
    <w:p w14:paraId="58C348EF">
      <w:pPr>
        <w:spacing w:line="440" w:lineRule="atLeast"/>
        <w:rPr>
          <w:rFonts w:hint="eastAsia" w:ascii="宋体" w:hAnsi="宋体" w:eastAsia="宋体" w:cs="宋体"/>
          <w:b/>
          <w:bCs w:val="0"/>
          <w:color w:val="auto"/>
          <w:sz w:val="24"/>
          <w:szCs w:val="24"/>
          <w:highlight w:val="none"/>
          <w:lang w:val="en-US" w:eastAsia="zh-CN"/>
        </w:rPr>
      </w:pPr>
    </w:p>
    <w:p w14:paraId="6D5C5DAD">
      <w:pPr>
        <w:spacing w:line="440" w:lineRule="atLeast"/>
        <w:rPr>
          <w:rFonts w:hint="eastAsia" w:ascii="宋体" w:hAnsi="宋体" w:eastAsia="宋体" w:cs="宋体"/>
          <w:b/>
          <w:bCs w:val="0"/>
          <w:color w:val="auto"/>
          <w:sz w:val="24"/>
          <w:szCs w:val="24"/>
          <w:highlight w:val="none"/>
        </w:rPr>
      </w:pPr>
      <w:r>
        <w:rPr>
          <w:rFonts w:hint="eastAsia" w:ascii="宋体" w:hAnsi="宋体" w:eastAsia="宋体" w:cs="宋体"/>
          <w:b/>
          <w:bCs w:val="0"/>
          <w:color w:val="auto"/>
          <w:sz w:val="24"/>
          <w:szCs w:val="24"/>
          <w:highlight w:val="none"/>
          <w:lang w:val="en-US" w:eastAsia="zh-CN"/>
        </w:rPr>
        <w:t>2</w:t>
      </w:r>
      <w:r>
        <w:rPr>
          <w:rFonts w:hint="eastAsia" w:ascii="宋体" w:hAnsi="宋体" w:eastAsia="宋体" w:cs="宋体"/>
          <w:b/>
          <w:bCs w:val="0"/>
          <w:color w:val="auto"/>
          <w:sz w:val="24"/>
          <w:szCs w:val="24"/>
          <w:highlight w:val="none"/>
        </w:rPr>
        <w:t>.供应商的授权委托书原件、委托代理人身份证正反面复印件以及由县级以上（含县级）社会养老保险经办机构出具的供应商为委托代理人交纳的响应文件递交截止时间前半年内任意连续三个月社保证明复印件；（委托代理时必须提供）。除供应商为以下三种情形的：</w:t>
      </w:r>
    </w:p>
    <w:p w14:paraId="5125670E">
      <w:pPr>
        <w:spacing w:line="440" w:lineRule="atLeast"/>
        <w:rPr>
          <w:rFonts w:hint="eastAsia" w:ascii="宋体" w:hAnsi="宋体" w:eastAsia="宋体" w:cs="宋体"/>
          <w:b/>
          <w:bCs w:val="0"/>
          <w:color w:val="auto"/>
          <w:sz w:val="24"/>
          <w:szCs w:val="24"/>
          <w:highlight w:val="none"/>
        </w:rPr>
      </w:pPr>
      <w:r>
        <w:rPr>
          <w:rFonts w:hint="eastAsia" w:ascii="宋体" w:hAnsi="宋体" w:eastAsia="宋体" w:cs="宋体"/>
          <w:b/>
          <w:bCs w:val="0"/>
          <w:color w:val="auto"/>
          <w:sz w:val="24"/>
          <w:szCs w:val="24"/>
          <w:highlight w:val="none"/>
        </w:rPr>
        <w:t>①如供应商为截标时间前60日以内成立的公司，可以提供供应商与委托代理人签订的劳动合同复印件代替社保证明复印件；</w:t>
      </w:r>
    </w:p>
    <w:p w14:paraId="6D2814C4">
      <w:pPr>
        <w:spacing w:line="440" w:lineRule="atLeast"/>
        <w:rPr>
          <w:rFonts w:hint="eastAsia" w:ascii="宋体" w:hAnsi="宋体" w:eastAsia="宋体" w:cs="宋体"/>
          <w:b/>
          <w:bCs w:val="0"/>
          <w:color w:val="auto"/>
          <w:sz w:val="24"/>
          <w:szCs w:val="24"/>
          <w:highlight w:val="none"/>
        </w:rPr>
      </w:pPr>
      <w:r>
        <w:rPr>
          <w:rFonts w:hint="eastAsia" w:ascii="宋体" w:hAnsi="宋体" w:eastAsia="宋体" w:cs="宋体"/>
          <w:b/>
          <w:bCs w:val="0"/>
          <w:color w:val="auto"/>
          <w:sz w:val="24"/>
          <w:szCs w:val="24"/>
          <w:highlight w:val="none"/>
        </w:rPr>
        <w:t>②如供应商为事业单位，可以提供事业单位机构编制管理证复印件或事业单位机构为其发放工资的工资条复印件代替社保证明复印件；</w:t>
      </w:r>
    </w:p>
    <w:p w14:paraId="0A83FD9C">
      <w:pPr>
        <w:spacing w:line="440" w:lineRule="atLeast"/>
        <w:rPr>
          <w:rFonts w:hint="eastAsia" w:ascii="宋体" w:hAnsi="宋体" w:eastAsia="宋体" w:cs="宋体"/>
          <w:b/>
          <w:bCs w:val="0"/>
          <w:color w:val="auto"/>
          <w:sz w:val="24"/>
          <w:szCs w:val="24"/>
          <w:highlight w:val="none"/>
        </w:rPr>
      </w:pPr>
      <w:r>
        <w:rPr>
          <w:rFonts w:hint="eastAsia" w:ascii="宋体" w:hAnsi="宋体" w:eastAsia="宋体" w:cs="宋体"/>
          <w:b/>
          <w:bCs w:val="0"/>
          <w:color w:val="auto"/>
          <w:sz w:val="24"/>
          <w:szCs w:val="24"/>
          <w:highlight w:val="none"/>
        </w:rPr>
        <w:t>③如委托代理人为免缴纳社保人员，提供免缴纳社保的证明材料复印件及供应商与委托代理人签订的劳动合同复印件代替社保证明复印件。</w:t>
      </w:r>
    </w:p>
    <w:p w14:paraId="2C08E5C0">
      <w:pPr>
        <w:spacing w:line="440" w:lineRule="atLeast"/>
        <w:rPr>
          <w:rFonts w:hint="eastAsia" w:ascii="宋体" w:hAnsi="宋体" w:eastAsia="宋体" w:cs="宋体"/>
          <w:b/>
          <w:bCs w:val="0"/>
          <w:color w:val="auto"/>
          <w:sz w:val="24"/>
          <w:szCs w:val="24"/>
          <w:highlight w:val="none"/>
          <w:lang w:eastAsia="zh-CN"/>
        </w:rPr>
      </w:pPr>
      <w:r>
        <w:rPr>
          <w:rFonts w:hint="eastAsia" w:ascii="宋体" w:hAnsi="宋体" w:eastAsia="宋体" w:cs="宋体"/>
          <w:b/>
          <w:bCs w:val="0"/>
          <w:color w:val="auto"/>
          <w:sz w:val="24"/>
          <w:szCs w:val="24"/>
          <w:highlight w:val="none"/>
        </w:rPr>
        <w:t>【属自然人的应提供由县级以上（含县级）社会养老保险经办机构出具的自然人本人及委托代理人所交纳的响应文件递交截止时间前半年内任意连续三个月社保证明复印件】（委托代理时必须提供）</w:t>
      </w:r>
      <w:r>
        <w:rPr>
          <w:rFonts w:hint="eastAsia" w:ascii="宋体" w:hAnsi="宋体" w:cs="宋体"/>
          <w:b/>
          <w:bCs w:val="0"/>
          <w:color w:val="auto"/>
          <w:sz w:val="24"/>
          <w:szCs w:val="24"/>
          <w:highlight w:val="none"/>
          <w:lang w:eastAsia="zh-CN"/>
        </w:rPr>
        <w:t>；</w:t>
      </w:r>
    </w:p>
    <w:p w14:paraId="066BFB25">
      <w:pPr>
        <w:spacing w:line="440" w:lineRule="atLeast"/>
        <w:rPr>
          <w:rFonts w:hint="eastAsia" w:ascii="宋体" w:hAnsi="宋体" w:eastAsia="宋体" w:cs="宋体"/>
          <w:b/>
          <w:color w:val="auto"/>
          <w:sz w:val="21"/>
          <w:szCs w:val="21"/>
          <w:highlight w:val="none"/>
        </w:rPr>
      </w:pPr>
    </w:p>
    <w:p w14:paraId="7EE122E3">
      <w:pPr>
        <w:pStyle w:val="11"/>
        <w:rPr>
          <w:rFonts w:hint="eastAsia" w:ascii="宋体" w:hAnsi="宋体" w:eastAsia="宋体" w:cs="宋体"/>
          <w:b/>
          <w:color w:val="auto"/>
          <w:sz w:val="21"/>
          <w:szCs w:val="21"/>
          <w:highlight w:val="none"/>
        </w:rPr>
      </w:pPr>
    </w:p>
    <w:p w14:paraId="7CAF9D33">
      <w:pPr>
        <w:rPr>
          <w:rFonts w:hint="eastAsia" w:ascii="宋体" w:hAnsi="宋体" w:eastAsia="宋体" w:cs="宋体"/>
          <w:b/>
          <w:color w:val="auto"/>
          <w:sz w:val="21"/>
          <w:szCs w:val="21"/>
          <w:highlight w:val="none"/>
        </w:rPr>
      </w:pPr>
    </w:p>
    <w:p w14:paraId="45E6224A">
      <w:pPr>
        <w:pStyle w:val="3"/>
        <w:tabs>
          <w:tab w:val="left" w:pos="567"/>
        </w:tabs>
        <w:rPr>
          <w:rFonts w:hint="eastAsia" w:ascii="宋体" w:hAnsi="宋体" w:eastAsia="宋体" w:cs="宋体"/>
          <w:color w:val="auto"/>
          <w:sz w:val="21"/>
          <w:szCs w:val="21"/>
          <w:highlight w:val="none"/>
        </w:rPr>
      </w:pPr>
    </w:p>
    <w:p w14:paraId="4B2A5780">
      <w:pPr>
        <w:rPr>
          <w:rFonts w:hint="eastAsia" w:ascii="宋体" w:hAnsi="宋体" w:eastAsia="宋体" w:cs="宋体"/>
          <w:color w:val="auto"/>
          <w:sz w:val="21"/>
          <w:szCs w:val="21"/>
          <w:highlight w:val="none"/>
        </w:rPr>
      </w:pPr>
    </w:p>
    <w:p w14:paraId="4DA51EA5">
      <w:pPr>
        <w:pStyle w:val="3"/>
        <w:rPr>
          <w:rFonts w:hint="eastAsia" w:ascii="宋体" w:hAnsi="宋体" w:eastAsia="宋体" w:cs="宋体"/>
          <w:color w:val="auto"/>
          <w:sz w:val="21"/>
          <w:szCs w:val="21"/>
          <w:highlight w:val="none"/>
        </w:rPr>
      </w:pPr>
    </w:p>
    <w:p w14:paraId="785B737D">
      <w:pPr>
        <w:rPr>
          <w:rFonts w:hint="eastAsia" w:ascii="宋体" w:hAnsi="宋体" w:eastAsia="宋体" w:cs="宋体"/>
          <w:color w:val="auto"/>
          <w:sz w:val="21"/>
          <w:szCs w:val="21"/>
          <w:highlight w:val="none"/>
        </w:rPr>
      </w:pPr>
    </w:p>
    <w:p w14:paraId="7A56F2E0">
      <w:pPr>
        <w:pStyle w:val="22"/>
        <w:rPr>
          <w:rFonts w:hint="eastAsia" w:ascii="宋体" w:hAnsi="宋体" w:eastAsia="宋体" w:cs="宋体"/>
          <w:color w:val="auto"/>
          <w:sz w:val="21"/>
          <w:szCs w:val="21"/>
          <w:highlight w:val="none"/>
        </w:rPr>
      </w:pPr>
    </w:p>
    <w:p w14:paraId="07459555">
      <w:pPr>
        <w:pStyle w:val="22"/>
        <w:rPr>
          <w:rFonts w:hint="eastAsia" w:ascii="宋体" w:hAnsi="宋体" w:eastAsia="宋体" w:cs="宋体"/>
          <w:color w:val="auto"/>
          <w:sz w:val="21"/>
          <w:szCs w:val="21"/>
          <w:highlight w:val="none"/>
        </w:rPr>
      </w:pPr>
    </w:p>
    <w:p w14:paraId="2A354D09">
      <w:pPr>
        <w:pStyle w:val="22"/>
        <w:rPr>
          <w:rFonts w:hint="eastAsia" w:ascii="宋体" w:hAnsi="宋体" w:eastAsia="宋体" w:cs="宋体"/>
          <w:color w:val="auto"/>
          <w:sz w:val="21"/>
          <w:szCs w:val="21"/>
          <w:highlight w:val="none"/>
        </w:rPr>
      </w:pPr>
    </w:p>
    <w:p w14:paraId="31DDF8EE">
      <w:pPr>
        <w:pStyle w:val="11"/>
        <w:rPr>
          <w:rFonts w:hint="eastAsia" w:ascii="宋体" w:hAnsi="宋体" w:eastAsia="宋体" w:cs="宋体"/>
          <w:b/>
          <w:color w:val="auto"/>
          <w:sz w:val="21"/>
          <w:szCs w:val="21"/>
          <w:highlight w:val="none"/>
        </w:rPr>
      </w:pPr>
    </w:p>
    <w:p w14:paraId="2975A542">
      <w:pPr>
        <w:pStyle w:val="11"/>
        <w:rPr>
          <w:rFonts w:hint="eastAsia" w:ascii="宋体" w:hAnsi="宋体" w:eastAsia="宋体" w:cs="宋体"/>
          <w:b/>
          <w:color w:val="auto"/>
          <w:sz w:val="21"/>
          <w:szCs w:val="21"/>
          <w:highlight w:val="none"/>
        </w:rPr>
      </w:pPr>
    </w:p>
    <w:p w14:paraId="36D280B9">
      <w:pPr>
        <w:pStyle w:val="11"/>
        <w:rPr>
          <w:rFonts w:hint="eastAsia" w:ascii="宋体" w:hAnsi="宋体" w:eastAsia="宋体" w:cs="宋体"/>
          <w:b/>
          <w:color w:val="auto"/>
          <w:sz w:val="21"/>
          <w:szCs w:val="21"/>
          <w:highlight w:val="none"/>
        </w:rPr>
      </w:pPr>
    </w:p>
    <w:p w14:paraId="08769287">
      <w:pPr>
        <w:pStyle w:val="11"/>
        <w:rPr>
          <w:rFonts w:hint="eastAsia" w:ascii="宋体" w:hAnsi="宋体" w:eastAsia="宋体" w:cs="宋体"/>
          <w:b/>
          <w:color w:val="auto"/>
          <w:sz w:val="21"/>
          <w:szCs w:val="21"/>
          <w:highlight w:val="none"/>
        </w:rPr>
      </w:pPr>
    </w:p>
    <w:p w14:paraId="2A44A675">
      <w:pPr>
        <w:pStyle w:val="11"/>
        <w:rPr>
          <w:rFonts w:hint="eastAsia" w:ascii="宋体" w:hAnsi="宋体" w:eastAsia="宋体" w:cs="宋体"/>
          <w:b/>
          <w:color w:val="auto"/>
          <w:sz w:val="21"/>
          <w:szCs w:val="21"/>
          <w:highlight w:val="none"/>
        </w:rPr>
      </w:pPr>
    </w:p>
    <w:p w14:paraId="1274F521">
      <w:pPr>
        <w:pStyle w:val="11"/>
        <w:rPr>
          <w:rFonts w:hint="eastAsia" w:ascii="宋体" w:hAnsi="宋体" w:eastAsia="宋体" w:cs="宋体"/>
          <w:b/>
          <w:color w:val="auto"/>
          <w:sz w:val="21"/>
          <w:szCs w:val="21"/>
          <w:highlight w:val="none"/>
        </w:rPr>
      </w:pPr>
    </w:p>
    <w:p w14:paraId="722AEA0F">
      <w:pPr>
        <w:pStyle w:val="11"/>
        <w:rPr>
          <w:rFonts w:hint="eastAsia" w:ascii="宋体" w:hAnsi="宋体" w:eastAsia="宋体" w:cs="宋体"/>
          <w:b/>
          <w:color w:val="auto"/>
          <w:sz w:val="21"/>
          <w:szCs w:val="21"/>
          <w:highlight w:val="none"/>
        </w:rPr>
      </w:pPr>
    </w:p>
    <w:p w14:paraId="6F9DEB74">
      <w:pPr>
        <w:pStyle w:val="11"/>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 xml:space="preserve">附件：            </w:t>
      </w:r>
    </w:p>
    <w:p w14:paraId="2F063150">
      <w:pPr>
        <w:pStyle w:val="11"/>
        <w:ind w:firstLine="472" w:firstLineChars="196"/>
        <w:jc w:val="center"/>
        <w:rPr>
          <w:rFonts w:hint="eastAsia" w:ascii="宋体" w:hAnsi="宋体" w:eastAsia="宋体" w:cs="宋体"/>
          <w:b/>
          <w:color w:val="auto"/>
          <w:sz w:val="24"/>
          <w:szCs w:val="24"/>
          <w:highlight w:val="none"/>
        </w:rPr>
      </w:pPr>
      <w:bookmarkStart w:id="843" w:name="_Toc964_WPSOffice_Level1"/>
      <w:bookmarkStart w:id="844" w:name="_Toc5420_WPSOffice_Level1"/>
      <w:r>
        <w:rPr>
          <w:rFonts w:hint="eastAsia" w:ascii="宋体" w:hAnsi="宋体" w:eastAsia="宋体" w:cs="宋体"/>
          <w:b/>
          <w:color w:val="auto"/>
          <w:sz w:val="24"/>
          <w:szCs w:val="24"/>
          <w:highlight w:val="none"/>
        </w:rPr>
        <w:t>授权委托书（格式一）</w:t>
      </w:r>
      <w:bookmarkEnd w:id="843"/>
      <w:bookmarkEnd w:id="844"/>
    </w:p>
    <w:p w14:paraId="5EE92117">
      <w:pPr>
        <w:spacing w:line="400" w:lineRule="exact"/>
        <w:rPr>
          <w:rFonts w:hint="eastAsia" w:ascii="宋体" w:hAnsi="宋体" w:eastAsia="宋体" w:cs="宋体"/>
          <w:color w:val="auto"/>
          <w:sz w:val="21"/>
          <w:szCs w:val="21"/>
          <w:highlight w:val="none"/>
        </w:rPr>
      </w:pPr>
    </w:p>
    <w:p w14:paraId="0BB19AA6">
      <w:pPr>
        <w:spacing w:line="400" w:lineRule="exac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致：</w:t>
      </w:r>
      <w:r>
        <w:rPr>
          <w:rFonts w:hint="eastAsia" w:ascii="宋体" w:hAnsi="宋体" w:cs="宋体"/>
          <w:color w:val="auto"/>
          <w:sz w:val="21"/>
          <w:szCs w:val="21"/>
          <w:highlight w:val="none"/>
          <w:u w:val="single"/>
          <w:lang w:eastAsia="zh-CN"/>
        </w:rPr>
        <w:t>广西高质建设管理咨询有限公司</w:t>
      </w:r>
    </w:p>
    <w:p w14:paraId="58A7DE79">
      <w:pPr>
        <w:pStyle w:val="11"/>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我</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kern w:val="0"/>
          <w:sz w:val="21"/>
          <w:szCs w:val="21"/>
          <w:highlight w:val="none"/>
        </w:rPr>
        <w:t>（姓名）系</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kern w:val="0"/>
          <w:sz w:val="21"/>
          <w:szCs w:val="21"/>
          <w:highlight w:val="none"/>
        </w:rPr>
        <w:t>（供应商名称）的法定代表人（负责人），现授权委托本单位在职职工</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kern w:val="0"/>
          <w:sz w:val="21"/>
          <w:szCs w:val="21"/>
          <w:highlight w:val="none"/>
        </w:rPr>
        <w:t>（姓 名）以我公司名义参加</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sz w:val="21"/>
          <w:szCs w:val="21"/>
          <w:highlight w:val="none"/>
          <w:u w:val="single"/>
        </w:rPr>
        <w:t xml:space="preserve">（项目名称及项目编号）        </w:t>
      </w:r>
      <w:r>
        <w:rPr>
          <w:rFonts w:hint="eastAsia" w:ascii="宋体" w:hAnsi="宋体" w:eastAsia="宋体" w:cs="宋体"/>
          <w:color w:val="auto"/>
          <w:sz w:val="21"/>
          <w:szCs w:val="21"/>
          <w:highlight w:val="none"/>
        </w:rPr>
        <w:t>项目的磋商活动，并代表我方全权办理针对上述项目的磋商、签约等具体事务和签署相关文件。</w:t>
      </w:r>
    </w:p>
    <w:p w14:paraId="150D6C0D">
      <w:pPr>
        <w:pStyle w:val="11"/>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我方对被授权人的签字事项负全部责任。</w:t>
      </w:r>
    </w:p>
    <w:p w14:paraId="057A0E2B">
      <w:pPr>
        <w:pStyle w:val="11"/>
        <w:spacing w:line="400" w:lineRule="exact"/>
        <w:ind w:firstLine="420" w:firstLineChars="200"/>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授权委托代理期限：从</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年</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 xml:space="preserve">月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 xml:space="preserve"> 日起至</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年</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 xml:space="preserve">月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日止。</w:t>
      </w:r>
    </w:p>
    <w:p w14:paraId="091F0596">
      <w:pPr>
        <w:pStyle w:val="11"/>
        <w:spacing w:line="400" w:lineRule="exact"/>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 xml:space="preserve">                                                                                             </w:t>
      </w:r>
    </w:p>
    <w:p w14:paraId="075B1584">
      <w:pPr>
        <w:spacing w:line="400" w:lineRule="exact"/>
        <w:ind w:firstLine="420" w:firstLineChars="200"/>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 xml:space="preserve">代理人无转委托权,特此委托。 </w:t>
      </w:r>
    </w:p>
    <w:p w14:paraId="73E574EA">
      <w:pPr>
        <w:spacing w:line="400" w:lineRule="exact"/>
        <w:ind w:firstLine="420" w:firstLineChars="200"/>
        <w:rPr>
          <w:rFonts w:hint="eastAsia" w:ascii="宋体" w:hAnsi="宋体" w:eastAsia="宋体" w:cs="宋体"/>
          <w:color w:val="auto"/>
          <w:kern w:val="0"/>
          <w:sz w:val="21"/>
          <w:szCs w:val="21"/>
          <w:highlight w:val="none"/>
        </w:rPr>
      </w:pPr>
    </w:p>
    <w:p w14:paraId="0EE6C79B">
      <w:pPr>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我已在下面签字，以资证明。</w:t>
      </w:r>
    </w:p>
    <w:p w14:paraId="3E36055A">
      <w:pPr>
        <w:spacing w:line="400" w:lineRule="exact"/>
        <w:ind w:firstLine="420" w:firstLineChars="200"/>
        <w:rPr>
          <w:rFonts w:hint="eastAsia" w:ascii="宋体" w:hAnsi="宋体" w:eastAsia="宋体" w:cs="宋体"/>
          <w:color w:val="auto"/>
          <w:sz w:val="21"/>
          <w:szCs w:val="21"/>
          <w:highlight w:val="none"/>
        </w:rPr>
      </w:pPr>
    </w:p>
    <w:p w14:paraId="732E9624">
      <w:pPr>
        <w:spacing w:line="400" w:lineRule="exact"/>
        <w:ind w:firstLine="420" w:firstLineChars="200"/>
        <w:rPr>
          <w:rFonts w:hint="eastAsia" w:ascii="宋体" w:hAnsi="宋体" w:eastAsia="宋体" w:cs="宋体"/>
          <w:color w:val="auto"/>
          <w:sz w:val="21"/>
          <w:szCs w:val="21"/>
          <w:highlight w:val="none"/>
        </w:rPr>
      </w:pPr>
    </w:p>
    <w:p w14:paraId="46172D4E">
      <w:pPr>
        <w:snapToGrid w:val="0"/>
        <w:spacing w:line="400" w:lineRule="exact"/>
        <w:ind w:firstLine="420"/>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lang w:eastAsia="zh-CN"/>
        </w:rPr>
        <w:t>供应商</w:t>
      </w:r>
      <w:r>
        <w:rPr>
          <w:rFonts w:hint="eastAsia" w:ascii="宋体" w:hAnsi="宋体" w:eastAsia="宋体" w:cs="宋体"/>
          <w:color w:val="auto"/>
          <w:sz w:val="21"/>
          <w:szCs w:val="21"/>
          <w:highlight w:val="none"/>
          <w:lang w:val="en-US" w:eastAsia="zh-CN"/>
        </w:rPr>
        <w:t>[公章</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CA签章</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u w:val="single"/>
        </w:rPr>
        <w:t xml:space="preserve">                             </w:t>
      </w:r>
    </w:p>
    <w:p w14:paraId="4A70808A">
      <w:pPr>
        <w:snapToGrid w:val="0"/>
        <w:spacing w:line="400" w:lineRule="exact"/>
        <w:ind w:firstLine="420"/>
        <w:rPr>
          <w:rFonts w:hint="eastAsia" w:ascii="宋体" w:hAnsi="宋体" w:eastAsia="宋体" w:cs="宋体"/>
          <w:color w:val="auto"/>
          <w:sz w:val="21"/>
          <w:szCs w:val="21"/>
          <w:highlight w:val="none"/>
        </w:rPr>
      </w:pPr>
    </w:p>
    <w:p w14:paraId="4E699725">
      <w:pPr>
        <w:snapToGrid w:val="0"/>
        <w:spacing w:line="400" w:lineRule="exact"/>
        <w:ind w:firstLine="42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法定代表人（负责人）签字（或</w:t>
      </w:r>
      <w:r>
        <w:rPr>
          <w:rFonts w:hint="eastAsia" w:ascii="宋体" w:hAnsi="宋体" w:eastAsia="宋体" w:cs="宋体"/>
          <w:color w:val="auto"/>
          <w:sz w:val="21"/>
          <w:szCs w:val="21"/>
          <w:highlight w:val="none"/>
          <w:lang w:eastAsia="zh-CN"/>
        </w:rPr>
        <w:t>个人</w:t>
      </w:r>
      <w:r>
        <w:rPr>
          <w:rFonts w:hint="eastAsia" w:ascii="宋体" w:hAnsi="宋体" w:eastAsia="宋体" w:cs="宋体"/>
          <w:color w:val="auto"/>
          <w:sz w:val="21"/>
          <w:szCs w:val="21"/>
          <w:highlight w:val="none"/>
          <w:lang w:val="en-US" w:eastAsia="zh-CN"/>
        </w:rPr>
        <w:t>CA签章</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 xml:space="preserve">     　　 </w:t>
      </w:r>
    </w:p>
    <w:p w14:paraId="0AA011FC">
      <w:pPr>
        <w:snapToGrid w:val="0"/>
        <w:spacing w:line="400" w:lineRule="exact"/>
        <w:ind w:firstLine="42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年</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月</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日</w:t>
      </w:r>
    </w:p>
    <w:p w14:paraId="3EEA417A">
      <w:pPr>
        <w:pStyle w:val="8"/>
        <w:rPr>
          <w:rFonts w:hint="eastAsia"/>
          <w:color w:val="auto"/>
          <w:highlight w:val="none"/>
        </w:rPr>
      </w:pPr>
    </w:p>
    <w:p w14:paraId="12721782">
      <w:pPr>
        <w:snapToGrid w:val="0"/>
        <w:spacing w:line="400" w:lineRule="exact"/>
        <w:ind w:firstLine="420"/>
        <w:rPr>
          <w:rFonts w:hint="eastAsia" w:ascii="宋体" w:hAnsi="宋体" w:eastAsia="宋体" w:cs="宋体"/>
          <w:color w:val="auto"/>
          <w:sz w:val="21"/>
          <w:szCs w:val="21"/>
          <w:highlight w:val="none"/>
        </w:rPr>
      </w:pPr>
    </w:p>
    <w:p w14:paraId="6998332A">
      <w:pPr>
        <w:pStyle w:val="8"/>
        <w:rPr>
          <w:rFonts w:hint="eastAsia" w:ascii="宋体" w:hAnsi="宋体" w:eastAsia="宋体" w:cs="宋体"/>
          <w:color w:val="auto"/>
          <w:sz w:val="21"/>
          <w:szCs w:val="21"/>
          <w:highlight w:val="none"/>
        </w:rPr>
      </w:pPr>
    </w:p>
    <w:p w14:paraId="00398ABE">
      <w:pPr>
        <w:pStyle w:val="11"/>
        <w:spacing w:line="340" w:lineRule="exact"/>
        <w:ind w:firstLine="420" w:firstLineChars="200"/>
        <w:rPr>
          <w:rFonts w:hint="eastAsia" w:ascii="宋体" w:hAnsi="宋体" w:eastAsia="宋体" w:cs="宋体"/>
          <w:color w:val="auto"/>
          <w:sz w:val="21"/>
          <w:szCs w:val="21"/>
          <w:highlight w:val="none"/>
        </w:rPr>
      </w:pPr>
    </w:p>
    <w:p w14:paraId="6EE1D9C7">
      <w:pPr>
        <w:pStyle w:val="11"/>
        <w:spacing w:line="340" w:lineRule="exact"/>
        <w:ind w:firstLine="420" w:firstLineChars="200"/>
        <w:rPr>
          <w:rFonts w:hint="eastAsia" w:ascii="宋体" w:hAnsi="宋体" w:eastAsia="宋体" w:cs="宋体"/>
          <w:color w:val="auto"/>
          <w:sz w:val="21"/>
          <w:szCs w:val="21"/>
          <w:highlight w:val="none"/>
        </w:rPr>
      </w:pPr>
    </w:p>
    <w:p w14:paraId="6CDDACEC">
      <w:pPr>
        <w:pStyle w:val="11"/>
        <w:spacing w:line="340" w:lineRule="exact"/>
        <w:ind w:firstLine="420" w:firstLineChars="200"/>
        <w:rPr>
          <w:rFonts w:hint="eastAsia" w:ascii="宋体" w:hAnsi="宋体" w:eastAsia="宋体" w:cs="宋体"/>
          <w:color w:val="auto"/>
          <w:sz w:val="21"/>
          <w:szCs w:val="21"/>
          <w:highlight w:val="none"/>
        </w:rPr>
      </w:pPr>
    </w:p>
    <w:p w14:paraId="2C43D2DD">
      <w:pPr>
        <w:pStyle w:val="11"/>
        <w:spacing w:line="340" w:lineRule="exact"/>
        <w:ind w:firstLine="420" w:firstLineChars="200"/>
        <w:rPr>
          <w:rFonts w:hint="eastAsia" w:ascii="宋体" w:hAnsi="宋体" w:eastAsia="宋体" w:cs="宋体"/>
          <w:color w:val="auto"/>
          <w:sz w:val="21"/>
          <w:szCs w:val="21"/>
          <w:highlight w:val="none"/>
        </w:rPr>
      </w:pPr>
    </w:p>
    <w:p w14:paraId="36EEA804">
      <w:pPr>
        <w:pStyle w:val="11"/>
        <w:spacing w:line="340" w:lineRule="exact"/>
        <w:ind w:firstLine="420" w:firstLineChars="200"/>
        <w:rPr>
          <w:rFonts w:hint="eastAsia" w:ascii="宋体" w:hAnsi="宋体" w:eastAsia="宋体" w:cs="宋体"/>
          <w:color w:val="auto"/>
          <w:sz w:val="21"/>
          <w:szCs w:val="21"/>
          <w:highlight w:val="none"/>
        </w:rPr>
      </w:pPr>
    </w:p>
    <w:p w14:paraId="3F7FECDF">
      <w:pPr>
        <w:pStyle w:val="11"/>
        <w:spacing w:line="340" w:lineRule="exact"/>
        <w:ind w:firstLine="420" w:firstLineChars="200"/>
        <w:rPr>
          <w:rFonts w:hint="eastAsia" w:ascii="宋体" w:hAnsi="宋体" w:eastAsia="宋体" w:cs="宋体"/>
          <w:color w:val="auto"/>
          <w:sz w:val="21"/>
          <w:szCs w:val="21"/>
          <w:highlight w:val="none"/>
        </w:rPr>
      </w:pPr>
    </w:p>
    <w:p w14:paraId="53C0658B">
      <w:pPr>
        <w:pStyle w:val="11"/>
        <w:spacing w:line="340" w:lineRule="exact"/>
        <w:ind w:firstLine="420" w:firstLineChars="200"/>
        <w:rPr>
          <w:rFonts w:hint="eastAsia" w:ascii="宋体" w:hAnsi="宋体" w:eastAsia="宋体" w:cs="宋体"/>
          <w:color w:val="auto"/>
          <w:sz w:val="21"/>
          <w:szCs w:val="21"/>
          <w:highlight w:val="none"/>
        </w:rPr>
      </w:pPr>
    </w:p>
    <w:p w14:paraId="02CD1A53">
      <w:pPr>
        <w:pStyle w:val="11"/>
        <w:spacing w:line="340" w:lineRule="exact"/>
        <w:ind w:firstLine="420" w:firstLineChars="200"/>
        <w:rPr>
          <w:rFonts w:hint="eastAsia" w:ascii="宋体" w:hAnsi="宋体" w:eastAsia="宋体" w:cs="宋体"/>
          <w:color w:val="auto"/>
          <w:sz w:val="21"/>
          <w:szCs w:val="21"/>
          <w:highlight w:val="none"/>
        </w:rPr>
      </w:pPr>
    </w:p>
    <w:p w14:paraId="58703348">
      <w:pPr>
        <w:pStyle w:val="11"/>
        <w:spacing w:line="340" w:lineRule="exact"/>
        <w:ind w:firstLine="420" w:firstLineChars="200"/>
        <w:rPr>
          <w:rFonts w:hint="eastAsia" w:ascii="宋体" w:hAnsi="宋体" w:eastAsia="宋体" w:cs="宋体"/>
          <w:color w:val="auto"/>
          <w:sz w:val="21"/>
          <w:szCs w:val="21"/>
          <w:highlight w:val="none"/>
        </w:rPr>
      </w:pPr>
    </w:p>
    <w:p w14:paraId="39663240">
      <w:pPr>
        <w:pStyle w:val="11"/>
        <w:spacing w:line="340" w:lineRule="exact"/>
        <w:ind w:firstLine="420" w:firstLineChars="200"/>
        <w:rPr>
          <w:rFonts w:hint="eastAsia" w:ascii="宋体" w:hAnsi="宋体" w:eastAsia="宋体" w:cs="宋体"/>
          <w:color w:val="auto"/>
          <w:sz w:val="21"/>
          <w:szCs w:val="21"/>
          <w:highlight w:val="none"/>
        </w:rPr>
      </w:pPr>
    </w:p>
    <w:p w14:paraId="28BBE213">
      <w:pPr>
        <w:pStyle w:val="11"/>
        <w:spacing w:line="340" w:lineRule="exact"/>
        <w:ind w:firstLine="420" w:firstLineChars="200"/>
        <w:rPr>
          <w:rFonts w:hint="eastAsia" w:ascii="宋体" w:hAnsi="宋体" w:eastAsia="宋体" w:cs="宋体"/>
          <w:color w:val="auto"/>
          <w:sz w:val="21"/>
          <w:szCs w:val="21"/>
          <w:highlight w:val="none"/>
        </w:rPr>
      </w:pPr>
    </w:p>
    <w:p w14:paraId="32F70488">
      <w:pPr>
        <w:pStyle w:val="11"/>
        <w:spacing w:line="340" w:lineRule="exact"/>
        <w:ind w:firstLine="420" w:firstLineChars="200"/>
        <w:rPr>
          <w:rFonts w:hint="eastAsia" w:ascii="宋体" w:hAnsi="宋体" w:eastAsia="宋体" w:cs="宋体"/>
          <w:color w:val="auto"/>
          <w:sz w:val="21"/>
          <w:szCs w:val="21"/>
          <w:highlight w:val="none"/>
        </w:rPr>
      </w:pPr>
    </w:p>
    <w:p w14:paraId="017EF57E">
      <w:pPr>
        <w:pStyle w:val="6"/>
        <w:rPr>
          <w:rFonts w:hint="eastAsia" w:ascii="宋体" w:hAnsi="宋体" w:eastAsia="宋体" w:cs="宋体"/>
          <w:color w:val="auto"/>
          <w:sz w:val="21"/>
          <w:szCs w:val="21"/>
          <w:highlight w:val="none"/>
        </w:rPr>
      </w:pPr>
    </w:p>
    <w:p w14:paraId="0F99E2A0">
      <w:pPr>
        <w:rPr>
          <w:rFonts w:hint="eastAsia" w:ascii="宋体" w:hAnsi="宋体" w:eastAsia="宋体" w:cs="宋体"/>
          <w:b/>
          <w:color w:val="auto"/>
          <w:sz w:val="21"/>
          <w:szCs w:val="21"/>
          <w:highlight w:val="none"/>
        </w:rPr>
      </w:pPr>
      <w:bookmarkStart w:id="845" w:name="_Toc21370_WPSOffice_Level1"/>
      <w:bookmarkStart w:id="846" w:name="_Toc6975_WPSOffice_Level1"/>
      <w:r>
        <w:rPr>
          <w:rFonts w:hint="eastAsia" w:ascii="宋体" w:hAnsi="宋体" w:eastAsia="宋体" w:cs="宋体"/>
          <w:b/>
          <w:color w:val="auto"/>
          <w:sz w:val="21"/>
          <w:szCs w:val="21"/>
          <w:highlight w:val="none"/>
        </w:rPr>
        <w:br w:type="page"/>
      </w:r>
    </w:p>
    <w:p w14:paraId="6FAC9AE9">
      <w:pPr>
        <w:pStyle w:val="11"/>
        <w:jc w:val="center"/>
        <w:rPr>
          <w:rFonts w:hint="eastAsia" w:ascii="宋体" w:hAnsi="宋体" w:eastAsia="宋体" w:cs="宋体"/>
          <w:b/>
          <w:color w:val="auto"/>
          <w:sz w:val="21"/>
          <w:szCs w:val="21"/>
          <w:highlight w:val="none"/>
        </w:rPr>
      </w:pPr>
    </w:p>
    <w:p w14:paraId="127BC3C0">
      <w:pPr>
        <w:pStyle w:val="11"/>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授权委托书（格式二）</w:t>
      </w:r>
      <w:bookmarkEnd w:id="845"/>
      <w:bookmarkEnd w:id="846"/>
    </w:p>
    <w:p w14:paraId="78C96B3A">
      <w:pPr>
        <w:pStyle w:val="11"/>
        <w:jc w:val="both"/>
        <w:rPr>
          <w:rFonts w:hint="eastAsia" w:ascii="宋体" w:hAnsi="宋体" w:eastAsia="宋体" w:cs="宋体"/>
          <w:b/>
          <w:color w:val="auto"/>
          <w:sz w:val="21"/>
          <w:szCs w:val="21"/>
          <w:highlight w:val="none"/>
        </w:rPr>
      </w:pPr>
    </w:p>
    <w:p w14:paraId="3775E51C">
      <w:pPr>
        <w:rPr>
          <w:rFonts w:hint="eastAsia" w:ascii="宋体" w:hAnsi="宋体" w:eastAsia="宋体" w:cs="宋体"/>
          <w:color w:val="auto"/>
          <w:sz w:val="21"/>
          <w:szCs w:val="21"/>
          <w:highlight w:val="none"/>
        </w:rPr>
      </w:pPr>
      <w:r>
        <w:rPr>
          <w:rFonts w:hint="eastAsia" w:ascii="宋体" w:hAnsi="宋体" w:eastAsia="宋体" w:cs="宋体"/>
          <w:b/>
          <w:color w:val="auto"/>
          <w:sz w:val="21"/>
          <w:szCs w:val="21"/>
          <w:highlight w:val="none"/>
        </w:rPr>
        <w:t>致</w:t>
      </w:r>
      <w:r>
        <w:rPr>
          <w:rFonts w:hint="eastAsia" w:ascii="宋体" w:hAnsi="宋体" w:eastAsia="宋体" w:cs="宋体"/>
          <w:color w:val="auto"/>
          <w:sz w:val="21"/>
          <w:szCs w:val="21"/>
          <w:highlight w:val="none"/>
        </w:rPr>
        <w:t>：</w:t>
      </w:r>
      <w:r>
        <w:rPr>
          <w:rFonts w:hint="eastAsia" w:hAnsi="宋体" w:cs="宋体"/>
          <w:color w:val="auto"/>
          <w:sz w:val="21"/>
          <w:szCs w:val="21"/>
          <w:highlight w:val="none"/>
          <w:u w:val="single"/>
          <w:lang w:eastAsia="zh-CN"/>
        </w:rPr>
        <w:t>广西高质建设管理咨询有限公司</w:t>
      </w:r>
    </w:p>
    <w:p w14:paraId="07AABE4E">
      <w:pPr>
        <w:pStyle w:val="11"/>
        <w:spacing w:line="34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我</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kern w:val="0"/>
          <w:sz w:val="21"/>
          <w:szCs w:val="21"/>
          <w:highlight w:val="none"/>
        </w:rPr>
        <w:t>（姓名）系自然人，现授权委托</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kern w:val="0"/>
          <w:sz w:val="21"/>
          <w:szCs w:val="21"/>
          <w:highlight w:val="none"/>
        </w:rPr>
        <w:t>（姓 名）以本人名义参加</w:t>
      </w:r>
      <w:r>
        <w:rPr>
          <w:rFonts w:hint="eastAsia" w:ascii="宋体" w:hAnsi="宋体" w:eastAsia="宋体" w:cs="宋体"/>
          <w:color w:val="auto"/>
          <w:kern w:val="0"/>
          <w:sz w:val="21"/>
          <w:szCs w:val="21"/>
          <w:highlight w:val="none"/>
          <w:u w:val="single"/>
        </w:rPr>
        <w:t xml:space="preserve">      </w:t>
      </w:r>
      <w:r>
        <w:rPr>
          <w:rFonts w:hint="eastAsia" w:ascii="宋体" w:hAnsi="宋体" w:eastAsia="宋体" w:cs="宋体"/>
          <w:color w:val="auto"/>
          <w:sz w:val="21"/>
          <w:szCs w:val="21"/>
          <w:highlight w:val="none"/>
          <w:u w:val="single"/>
        </w:rPr>
        <w:t xml:space="preserve">（项目名称及项目编号）        </w:t>
      </w:r>
      <w:r>
        <w:rPr>
          <w:rFonts w:hint="eastAsia" w:ascii="宋体" w:hAnsi="宋体" w:eastAsia="宋体" w:cs="宋体"/>
          <w:color w:val="auto"/>
          <w:sz w:val="21"/>
          <w:szCs w:val="21"/>
          <w:highlight w:val="none"/>
        </w:rPr>
        <w:t>项目的磋商活动，并代表本人全权办理针对上述项目的磋商、签约等具体事务和签署相关文件。</w:t>
      </w:r>
    </w:p>
    <w:p w14:paraId="4A1DA9DB">
      <w:pPr>
        <w:pStyle w:val="11"/>
        <w:spacing w:line="34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本人对被授权人的签字事项负全部责任。</w:t>
      </w:r>
    </w:p>
    <w:p w14:paraId="2F4FE7BC">
      <w:pPr>
        <w:pStyle w:val="11"/>
        <w:spacing w:line="340" w:lineRule="exact"/>
        <w:ind w:firstLine="420" w:firstLineChars="200"/>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授权委托代理期限：从</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年</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 xml:space="preserve">月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 xml:space="preserve"> 日起至</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年</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 xml:space="preserve">月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日止。</w:t>
      </w:r>
    </w:p>
    <w:p w14:paraId="23BEEBDE">
      <w:pPr>
        <w:pStyle w:val="11"/>
        <w:spacing w:line="340" w:lineRule="exact"/>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 xml:space="preserve">                                                                                             </w:t>
      </w:r>
    </w:p>
    <w:p w14:paraId="77E1C6C0">
      <w:pPr>
        <w:spacing w:line="340" w:lineRule="exact"/>
        <w:ind w:firstLine="420" w:firstLineChars="200"/>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 xml:space="preserve">代理人无转委托权,特此委托。 </w:t>
      </w:r>
    </w:p>
    <w:p w14:paraId="53ED7659">
      <w:pPr>
        <w:spacing w:line="340" w:lineRule="exact"/>
        <w:ind w:firstLine="420" w:firstLineChars="200"/>
        <w:rPr>
          <w:rFonts w:hint="eastAsia" w:ascii="宋体" w:hAnsi="宋体" w:eastAsia="宋体" w:cs="宋体"/>
          <w:color w:val="auto"/>
          <w:kern w:val="0"/>
          <w:sz w:val="21"/>
          <w:szCs w:val="21"/>
          <w:highlight w:val="none"/>
        </w:rPr>
      </w:pPr>
    </w:p>
    <w:p w14:paraId="5D150281">
      <w:pPr>
        <w:spacing w:line="34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我已在下面签字，以资证明。</w:t>
      </w:r>
    </w:p>
    <w:p w14:paraId="07C61581">
      <w:pPr>
        <w:spacing w:line="340" w:lineRule="exact"/>
        <w:ind w:firstLine="420" w:firstLineChars="200"/>
        <w:rPr>
          <w:rFonts w:hint="eastAsia" w:ascii="宋体" w:hAnsi="宋体" w:eastAsia="宋体" w:cs="宋体"/>
          <w:color w:val="auto"/>
          <w:sz w:val="21"/>
          <w:szCs w:val="21"/>
          <w:highlight w:val="none"/>
        </w:rPr>
      </w:pPr>
    </w:p>
    <w:p w14:paraId="19B4F2C7">
      <w:pPr>
        <w:snapToGrid w:val="0"/>
        <w:spacing w:line="340" w:lineRule="exact"/>
        <w:ind w:firstLine="42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自然人签字并在签名处加盖大拇指指印</w:t>
      </w:r>
      <w:r>
        <w:rPr>
          <w:rFonts w:hint="eastAsia" w:ascii="宋体" w:hAnsi="宋体" w:eastAsia="宋体" w:cs="宋体"/>
          <w:color w:val="auto"/>
          <w:sz w:val="21"/>
          <w:szCs w:val="21"/>
          <w:highlight w:val="none"/>
          <w:lang w:eastAsia="zh-CN"/>
        </w:rPr>
        <w:t>或个人</w:t>
      </w:r>
      <w:r>
        <w:rPr>
          <w:rFonts w:hint="eastAsia" w:ascii="宋体" w:hAnsi="宋体" w:eastAsia="宋体" w:cs="宋体"/>
          <w:color w:val="auto"/>
          <w:sz w:val="21"/>
          <w:szCs w:val="21"/>
          <w:highlight w:val="none"/>
          <w:lang w:val="en-US" w:eastAsia="zh-CN"/>
        </w:rPr>
        <w:t>CA签章</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 xml:space="preserve">     </w:t>
      </w:r>
    </w:p>
    <w:p w14:paraId="09153CFC">
      <w:pPr>
        <w:snapToGrid w:val="0"/>
        <w:spacing w:line="340" w:lineRule="exact"/>
        <w:ind w:firstLine="42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年</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月</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日</w:t>
      </w:r>
    </w:p>
    <w:p w14:paraId="4375FA21">
      <w:pPr>
        <w:pStyle w:val="8"/>
        <w:rPr>
          <w:rFonts w:hint="eastAsia"/>
          <w:color w:val="auto"/>
          <w:highlight w:val="none"/>
        </w:rPr>
      </w:pPr>
    </w:p>
    <w:p w14:paraId="4BD53418">
      <w:pPr>
        <w:pStyle w:val="11"/>
        <w:spacing w:line="400" w:lineRule="exact"/>
        <w:ind w:left="420" w:leftChars="200"/>
        <w:rPr>
          <w:rFonts w:hint="eastAsia" w:ascii="宋体" w:hAnsi="宋体" w:eastAsia="宋体" w:cs="宋体"/>
          <w:color w:val="auto"/>
          <w:sz w:val="21"/>
          <w:szCs w:val="21"/>
          <w:highlight w:val="none"/>
        </w:rPr>
      </w:pPr>
    </w:p>
    <w:p w14:paraId="206C28B7">
      <w:pPr>
        <w:rPr>
          <w:rFonts w:hint="eastAsia" w:ascii="宋体" w:hAnsi="宋体" w:eastAsia="宋体" w:cs="宋体"/>
          <w:b/>
          <w:color w:val="auto"/>
          <w:sz w:val="21"/>
          <w:szCs w:val="21"/>
          <w:highlight w:val="none"/>
        </w:rPr>
      </w:pPr>
    </w:p>
    <w:p w14:paraId="7D79051F">
      <w:pPr>
        <w:pStyle w:val="8"/>
        <w:rPr>
          <w:rFonts w:hint="eastAsia" w:ascii="宋体" w:hAnsi="宋体" w:eastAsia="宋体" w:cs="宋体"/>
          <w:b/>
          <w:color w:val="auto"/>
          <w:sz w:val="21"/>
          <w:szCs w:val="21"/>
          <w:highlight w:val="none"/>
        </w:rPr>
      </w:pPr>
    </w:p>
    <w:p w14:paraId="19945EB7">
      <w:pPr>
        <w:pStyle w:val="8"/>
        <w:rPr>
          <w:rFonts w:hint="eastAsia" w:ascii="宋体" w:hAnsi="宋体" w:eastAsia="宋体" w:cs="宋体"/>
          <w:b/>
          <w:color w:val="auto"/>
          <w:sz w:val="21"/>
          <w:szCs w:val="21"/>
          <w:highlight w:val="none"/>
        </w:rPr>
      </w:pPr>
    </w:p>
    <w:p w14:paraId="276A625A">
      <w:pPr>
        <w:pStyle w:val="8"/>
        <w:rPr>
          <w:rFonts w:hint="eastAsia" w:ascii="宋体" w:hAnsi="宋体" w:eastAsia="宋体" w:cs="宋体"/>
          <w:b/>
          <w:color w:val="auto"/>
          <w:sz w:val="21"/>
          <w:szCs w:val="21"/>
          <w:highlight w:val="none"/>
        </w:rPr>
      </w:pPr>
    </w:p>
    <w:p w14:paraId="18AED047">
      <w:pPr>
        <w:pStyle w:val="8"/>
        <w:rPr>
          <w:rFonts w:hint="eastAsia" w:ascii="宋体" w:hAnsi="宋体" w:eastAsia="宋体" w:cs="宋体"/>
          <w:b/>
          <w:color w:val="auto"/>
          <w:sz w:val="21"/>
          <w:szCs w:val="21"/>
          <w:highlight w:val="none"/>
        </w:rPr>
      </w:pPr>
    </w:p>
    <w:p w14:paraId="1ABE2FBD">
      <w:pPr>
        <w:pStyle w:val="8"/>
        <w:rPr>
          <w:rFonts w:hint="eastAsia" w:ascii="宋体" w:hAnsi="宋体" w:eastAsia="宋体" w:cs="宋体"/>
          <w:b/>
          <w:color w:val="auto"/>
          <w:sz w:val="21"/>
          <w:szCs w:val="21"/>
          <w:highlight w:val="none"/>
        </w:rPr>
      </w:pPr>
    </w:p>
    <w:p w14:paraId="12B78C8E">
      <w:pPr>
        <w:pStyle w:val="8"/>
        <w:rPr>
          <w:rFonts w:hint="eastAsia" w:ascii="宋体" w:hAnsi="宋体" w:eastAsia="宋体" w:cs="宋体"/>
          <w:b/>
          <w:color w:val="auto"/>
          <w:sz w:val="21"/>
          <w:szCs w:val="21"/>
          <w:highlight w:val="none"/>
        </w:rPr>
      </w:pPr>
    </w:p>
    <w:p w14:paraId="17B772C9">
      <w:pPr>
        <w:pStyle w:val="8"/>
        <w:rPr>
          <w:rFonts w:hint="eastAsia" w:ascii="宋体" w:hAnsi="宋体" w:eastAsia="宋体" w:cs="宋体"/>
          <w:b/>
          <w:color w:val="auto"/>
          <w:sz w:val="21"/>
          <w:szCs w:val="21"/>
          <w:highlight w:val="none"/>
        </w:rPr>
      </w:pPr>
    </w:p>
    <w:p w14:paraId="0CADE6F9">
      <w:pPr>
        <w:pStyle w:val="8"/>
        <w:rPr>
          <w:rFonts w:hint="eastAsia" w:ascii="宋体" w:hAnsi="宋体" w:eastAsia="宋体" w:cs="宋体"/>
          <w:b/>
          <w:color w:val="auto"/>
          <w:sz w:val="21"/>
          <w:szCs w:val="21"/>
          <w:highlight w:val="none"/>
        </w:rPr>
      </w:pPr>
    </w:p>
    <w:p w14:paraId="7BF88E73">
      <w:pPr>
        <w:pStyle w:val="8"/>
        <w:rPr>
          <w:rFonts w:hint="eastAsia" w:ascii="宋体" w:hAnsi="宋体" w:eastAsia="宋体" w:cs="宋体"/>
          <w:b/>
          <w:color w:val="auto"/>
          <w:sz w:val="21"/>
          <w:szCs w:val="21"/>
          <w:highlight w:val="none"/>
        </w:rPr>
      </w:pPr>
    </w:p>
    <w:p w14:paraId="752822DA">
      <w:pPr>
        <w:pStyle w:val="8"/>
        <w:rPr>
          <w:rFonts w:hint="eastAsia" w:ascii="宋体" w:hAnsi="宋体" w:eastAsia="宋体" w:cs="宋体"/>
          <w:b/>
          <w:color w:val="auto"/>
          <w:sz w:val="21"/>
          <w:szCs w:val="21"/>
          <w:highlight w:val="none"/>
        </w:rPr>
      </w:pPr>
    </w:p>
    <w:p w14:paraId="49BE8D1C">
      <w:pPr>
        <w:pStyle w:val="8"/>
        <w:rPr>
          <w:rFonts w:hint="eastAsia" w:ascii="宋体" w:hAnsi="宋体" w:eastAsia="宋体" w:cs="宋体"/>
          <w:b/>
          <w:color w:val="auto"/>
          <w:sz w:val="21"/>
          <w:szCs w:val="21"/>
          <w:highlight w:val="none"/>
        </w:rPr>
      </w:pPr>
    </w:p>
    <w:p w14:paraId="29C4D68D">
      <w:pPr>
        <w:pStyle w:val="8"/>
        <w:rPr>
          <w:rFonts w:hint="eastAsia" w:ascii="宋体" w:hAnsi="宋体" w:eastAsia="宋体" w:cs="宋体"/>
          <w:b/>
          <w:color w:val="auto"/>
          <w:sz w:val="21"/>
          <w:szCs w:val="21"/>
          <w:highlight w:val="none"/>
        </w:rPr>
      </w:pPr>
    </w:p>
    <w:p w14:paraId="5BC788BD">
      <w:pPr>
        <w:pStyle w:val="8"/>
        <w:rPr>
          <w:rFonts w:hint="eastAsia" w:ascii="宋体" w:hAnsi="宋体" w:eastAsia="宋体" w:cs="宋体"/>
          <w:b/>
          <w:color w:val="auto"/>
          <w:sz w:val="21"/>
          <w:szCs w:val="21"/>
          <w:highlight w:val="none"/>
        </w:rPr>
      </w:pPr>
    </w:p>
    <w:p w14:paraId="4BC41A82">
      <w:pPr>
        <w:pStyle w:val="8"/>
        <w:rPr>
          <w:rFonts w:hint="eastAsia" w:ascii="宋体" w:hAnsi="宋体" w:eastAsia="宋体" w:cs="宋体"/>
          <w:b/>
          <w:color w:val="auto"/>
          <w:sz w:val="21"/>
          <w:szCs w:val="21"/>
          <w:highlight w:val="none"/>
        </w:rPr>
      </w:pPr>
    </w:p>
    <w:p w14:paraId="754745E8">
      <w:pPr>
        <w:rPr>
          <w:rFonts w:hint="eastAsia" w:ascii="宋体" w:hAnsi="宋体" w:eastAsia="宋体" w:cs="宋体"/>
          <w:b/>
          <w:color w:val="auto"/>
          <w:sz w:val="21"/>
          <w:szCs w:val="21"/>
          <w:highlight w:val="none"/>
        </w:rPr>
      </w:pPr>
    </w:p>
    <w:p w14:paraId="0FB74BC0">
      <w:pPr>
        <w:pStyle w:val="8"/>
        <w:rPr>
          <w:rFonts w:hint="eastAsia" w:ascii="宋体" w:hAnsi="宋体" w:eastAsia="宋体" w:cs="宋体"/>
          <w:b/>
          <w:color w:val="auto"/>
          <w:sz w:val="21"/>
          <w:szCs w:val="21"/>
          <w:highlight w:val="none"/>
        </w:rPr>
      </w:pPr>
    </w:p>
    <w:p w14:paraId="2BA05E2F">
      <w:pPr>
        <w:rPr>
          <w:rFonts w:hint="eastAsia" w:ascii="宋体" w:hAnsi="宋体" w:eastAsia="宋体" w:cs="宋体"/>
          <w:color w:val="auto"/>
          <w:sz w:val="21"/>
          <w:szCs w:val="21"/>
          <w:highlight w:val="none"/>
        </w:rPr>
      </w:pPr>
    </w:p>
    <w:p w14:paraId="79B6F8A4">
      <w:pPr>
        <w:pStyle w:val="8"/>
        <w:rPr>
          <w:rFonts w:hint="eastAsia"/>
          <w:color w:val="auto"/>
          <w:highlight w:val="none"/>
        </w:rPr>
      </w:pPr>
    </w:p>
    <w:p w14:paraId="04B076EB">
      <w:pPr>
        <w:rPr>
          <w:rFonts w:hint="eastAsia"/>
          <w:color w:val="auto"/>
          <w:highlight w:val="none"/>
        </w:rPr>
      </w:pPr>
    </w:p>
    <w:p w14:paraId="6F2EA163">
      <w:pPr>
        <w:rPr>
          <w:rFonts w:hint="eastAsia"/>
          <w:color w:val="auto"/>
          <w:highlight w:val="none"/>
        </w:rPr>
      </w:pPr>
    </w:p>
    <w:p w14:paraId="562C23B7">
      <w:pPr>
        <w:rPr>
          <w:rFonts w:hint="eastAsia"/>
          <w:color w:val="auto"/>
          <w:highlight w:val="none"/>
        </w:rPr>
      </w:pPr>
    </w:p>
    <w:p w14:paraId="297B572A">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lang w:val="en-US" w:eastAsia="zh-CN"/>
        </w:rPr>
        <w:t>3</w:t>
      </w:r>
      <w:r>
        <w:rPr>
          <w:rFonts w:hint="eastAsia" w:ascii="宋体" w:hAnsi="宋体" w:eastAsia="宋体" w:cs="宋体"/>
          <w:b/>
          <w:color w:val="auto"/>
          <w:sz w:val="24"/>
          <w:szCs w:val="24"/>
          <w:highlight w:val="none"/>
        </w:rPr>
        <w:t>.供应商参加政府采购活动前3年内在经营活动中没有重大违法记录及有关信用信息的书面声明（必须提供）；</w:t>
      </w:r>
    </w:p>
    <w:p w14:paraId="060A2C63">
      <w:pPr>
        <w:pStyle w:val="11"/>
        <w:spacing w:line="400" w:lineRule="exact"/>
        <w:ind w:left="420" w:leftChars="200" w:firstLine="103" w:firstLineChars="49"/>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 xml:space="preserve">                       </w:t>
      </w:r>
    </w:p>
    <w:p w14:paraId="4C603201">
      <w:pPr>
        <w:pStyle w:val="11"/>
        <w:spacing w:line="400" w:lineRule="exact"/>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附件：</w:t>
      </w:r>
    </w:p>
    <w:p w14:paraId="1731CF69">
      <w:pPr>
        <w:pStyle w:val="11"/>
        <w:spacing w:line="400" w:lineRule="exact"/>
        <w:jc w:val="center"/>
        <w:rPr>
          <w:rFonts w:hint="eastAsia" w:ascii="宋体" w:hAnsi="宋体" w:eastAsia="宋体" w:cs="宋体"/>
          <w:b/>
          <w:color w:val="auto"/>
          <w:sz w:val="21"/>
          <w:szCs w:val="21"/>
          <w:highlight w:val="none"/>
        </w:rPr>
      </w:pPr>
      <w:bookmarkStart w:id="847" w:name="_Toc30890_WPSOffice_Level1"/>
      <w:bookmarkStart w:id="848" w:name="_Toc30304_WPSOffice_Level1"/>
      <w:r>
        <w:rPr>
          <w:rFonts w:hint="eastAsia" w:ascii="宋体" w:hAnsi="宋体" w:eastAsia="宋体" w:cs="宋体"/>
          <w:b/>
          <w:color w:val="auto"/>
          <w:sz w:val="21"/>
          <w:szCs w:val="21"/>
          <w:highlight w:val="none"/>
        </w:rPr>
        <w:t>声   明</w:t>
      </w:r>
      <w:bookmarkEnd w:id="847"/>
      <w:bookmarkEnd w:id="848"/>
    </w:p>
    <w:p w14:paraId="6D4C8A6F">
      <w:pPr>
        <w:pStyle w:val="11"/>
        <w:spacing w:line="400" w:lineRule="exact"/>
        <w:jc w:val="both"/>
        <w:rPr>
          <w:rFonts w:hint="eastAsia" w:ascii="宋体" w:hAnsi="宋体" w:eastAsia="宋体" w:cs="宋体"/>
          <w:b/>
          <w:color w:val="auto"/>
          <w:sz w:val="21"/>
          <w:szCs w:val="21"/>
          <w:highlight w:val="none"/>
        </w:rPr>
      </w:pPr>
    </w:p>
    <w:p w14:paraId="55A590CC">
      <w:pPr>
        <w:rPr>
          <w:rFonts w:hint="eastAsia" w:ascii="宋体" w:hAnsi="宋体" w:eastAsia="宋体" w:cs="宋体"/>
          <w:color w:val="auto"/>
          <w:sz w:val="21"/>
          <w:szCs w:val="21"/>
          <w:highlight w:val="none"/>
          <w:u w:val="single"/>
        </w:rPr>
      </w:pPr>
      <w:r>
        <w:rPr>
          <w:rFonts w:hint="eastAsia" w:ascii="宋体" w:hAnsi="宋体" w:eastAsia="宋体" w:cs="宋体"/>
          <w:b/>
          <w:color w:val="auto"/>
          <w:sz w:val="21"/>
          <w:szCs w:val="21"/>
          <w:highlight w:val="none"/>
        </w:rPr>
        <w:t>致</w:t>
      </w:r>
      <w:r>
        <w:rPr>
          <w:rFonts w:hint="eastAsia" w:ascii="宋体" w:hAnsi="宋体" w:eastAsia="宋体" w:cs="宋体"/>
          <w:color w:val="auto"/>
          <w:sz w:val="21"/>
          <w:szCs w:val="21"/>
          <w:highlight w:val="none"/>
        </w:rPr>
        <w:t>：</w:t>
      </w:r>
      <w:r>
        <w:rPr>
          <w:rFonts w:hint="eastAsia" w:hAnsi="宋体" w:cs="宋体"/>
          <w:color w:val="auto"/>
          <w:sz w:val="21"/>
          <w:szCs w:val="21"/>
          <w:highlight w:val="none"/>
          <w:u w:val="single"/>
          <w:lang w:eastAsia="zh-CN"/>
        </w:rPr>
        <w:t>广西高质建设管理咨询有限公司</w:t>
      </w:r>
    </w:p>
    <w:p w14:paraId="7E4F14CD">
      <w:pPr>
        <w:pStyle w:val="8"/>
        <w:rPr>
          <w:rFonts w:hint="eastAsia" w:ascii="宋体" w:hAnsi="宋体" w:eastAsia="宋体" w:cs="宋体"/>
          <w:color w:val="auto"/>
          <w:sz w:val="21"/>
          <w:szCs w:val="21"/>
          <w:highlight w:val="none"/>
        </w:rPr>
      </w:pPr>
    </w:p>
    <w:p w14:paraId="04C8154B">
      <w:pPr>
        <w:pStyle w:val="11"/>
        <w:spacing w:line="40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我（公司）郑重声明，在参加本项目政府采购活动前3年内在经营活动中没有重大违法记录（重大违法记录是指供应商因违法经营受到刑事处罚或者责令停产停业、吊销许可证或者执照、较大数额罚款等行政处罚），未被列入失信被执行人、重大税收违法案件当事人名单、政府采购严重违法失信行为记录名单，完全符合《中华人民共和国政府采购法》第二十二条规定的供应商资格条件，我方对此声明负全部法律责任。</w:t>
      </w:r>
    </w:p>
    <w:p w14:paraId="7E15F8BD">
      <w:pPr>
        <w:rPr>
          <w:rFonts w:hint="eastAsia" w:ascii="宋体" w:hAnsi="宋体" w:eastAsia="宋体" w:cs="宋体"/>
          <w:color w:val="auto"/>
          <w:sz w:val="21"/>
          <w:szCs w:val="21"/>
          <w:highlight w:val="none"/>
        </w:rPr>
      </w:pPr>
    </w:p>
    <w:p w14:paraId="7F00AB49">
      <w:pPr>
        <w:snapToGrid w:val="0"/>
        <w:spacing w:line="400" w:lineRule="exact"/>
        <w:ind w:firstLine="1890" w:firstLineChars="9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eastAsia="zh-CN"/>
        </w:rPr>
        <w:t>供应商</w:t>
      </w:r>
      <w:r>
        <w:rPr>
          <w:rFonts w:hint="eastAsia" w:ascii="宋体" w:hAnsi="宋体" w:eastAsia="宋体" w:cs="宋体"/>
          <w:color w:val="auto"/>
          <w:sz w:val="21"/>
          <w:szCs w:val="21"/>
          <w:highlight w:val="none"/>
          <w:lang w:val="en-US" w:eastAsia="zh-CN"/>
        </w:rPr>
        <w:t>[</w:t>
      </w:r>
      <w:r>
        <w:rPr>
          <w:rFonts w:hint="eastAsia" w:ascii="宋体" w:hAnsi="宋体" w:eastAsia="宋体" w:cs="宋体"/>
          <w:color w:val="auto"/>
          <w:sz w:val="21"/>
          <w:szCs w:val="21"/>
          <w:highlight w:val="none"/>
        </w:rPr>
        <w:t>公章</w:t>
      </w:r>
      <w:r>
        <w:rPr>
          <w:rFonts w:hint="eastAsia" w:ascii="宋体" w:hAnsi="宋体" w:eastAsia="宋体" w:cs="宋体"/>
          <w:color w:val="auto"/>
          <w:sz w:val="21"/>
          <w:szCs w:val="21"/>
          <w:highlight w:val="none"/>
          <w:lang w:val="en-US" w:eastAsia="zh-CN"/>
        </w:rPr>
        <w:t>(CA签章)</w:t>
      </w:r>
      <w:r>
        <w:rPr>
          <w:rFonts w:hint="eastAsia" w:ascii="宋体" w:hAnsi="宋体" w:eastAsia="宋体" w:cs="宋体"/>
          <w:color w:val="auto"/>
          <w:sz w:val="21"/>
          <w:szCs w:val="21"/>
          <w:highlight w:val="none"/>
        </w:rPr>
        <w:t>，自然人</w:t>
      </w:r>
      <w:r>
        <w:rPr>
          <w:rFonts w:hint="eastAsia" w:ascii="宋体" w:hAnsi="宋体" w:eastAsia="宋体" w:cs="宋体"/>
          <w:color w:val="auto"/>
          <w:sz w:val="21"/>
          <w:szCs w:val="21"/>
          <w:highlight w:val="none"/>
          <w:lang w:eastAsia="zh-CN"/>
        </w:rPr>
        <w:t>签字或个人</w:t>
      </w:r>
      <w:r>
        <w:rPr>
          <w:rFonts w:hint="eastAsia" w:ascii="宋体" w:hAnsi="宋体" w:eastAsia="宋体" w:cs="宋体"/>
          <w:color w:val="auto"/>
          <w:sz w:val="21"/>
          <w:szCs w:val="21"/>
          <w:highlight w:val="none"/>
          <w:lang w:val="en-US" w:eastAsia="zh-CN"/>
        </w:rPr>
        <w:t>CA签章]</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u w:val="single"/>
        </w:rPr>
        <w:t xml:space="preserve">      </w:t>
      </w:r>
      <w:r>
        <w:rPr>
          <w:rFonts w:hint="eastAsia" w:ascii="宋体" w:hAnsi="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p>
    <w:p w14:paraId="41FC0B70">
      <w:pPr>
        <w:pStyle w:val="11"/>
        <w:ind w:firstLine="3990" w:firstLineChars="1900"/>
        <w:rPr>
          <w:rFonts w:hint="eastAsia" w:ascii="宋体" w:hAnsi="宋体" w:eastAsia="宋体" w:cs="宋体"/>
          <w:color w:val="auto"/>
          <w:sz w:val="21"/>
          <w:szCs w:val="21"/>
          <w:highlight w:val="none"/>
        </w:rPr>
      </w:pPr>
    </w:p>
    <w:p w14:paraId="66749FE7">
      <w:pPr>
        <w:pStyle w:val="11"/>
        <w:ind w:firstLine="3990" w:firstLineChars="1900"/>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日          期：</w:t>
      </w:r>
      <w:r>
        <w:rPr>
          <w:rFonts w:hint="eastAsia" w:ascii="宋体" w:hAnsi="宋体" w:eastAsia="宋体" w:cs="宋体"/>
          <w:color w:val="auto"/>
          <w:sz w:val="21"/>
          <w:szCs w:val="21"/>
          <w:highlight w:val="none"/>
          <w:u w:val="single"/>
        </w:rPr>
        <w:t xml:space="preserve">                            </w:t>
      </w:r>
    </w:p>
    <w:p w14:paraId="0F759374">
      <w:pPr>
        <w:pStyle w:val="11"/>
        <w:spacing w:line="340" w:lineRule="exact"/>
        <w:rPr>
          <w:rFonts w:hint="eastAsia" w:ascii="宋体" w:hAnsi="宋体" w:eastAsia="宋体" w:cs="宋体"/>
          <w:b/>
          <w:color w:val="auto"/>
          <w:sz w:val="21"/>
          <w:szCs w:val="21"/>
          <w:highlight w:val="none"/>
        </w:rPr>
      </w:pPr>
    </w:p>
    <w:p w14:paraId="7FACF3CF">
      <w:pPr>
        <w:pStyle w:val="11"/>
        <w:spacing w:line="340" w:lineRule="exact"/>
        <w:rPr>
          <w:rFonts w:hint="eastAsia" w:ascii="宋体" w:hAnsi="宋体" w:eastAsia="宋体" w:cs="宋体"/>
          <w:b/>
          <w:color w:val="auto"/>
          <w:sz w:val="21"/>
          <w:szCs w:val="21"/>
          <w:highlight w:val="none"/>
          <w:lang w:val="en-US" w:eastAsia="zh-CN"/>
        </w:rPr>
      </w:pPr>
    </w:p>
    <w:p w14:paraId="57F368DB">
      <w:pPr>
        <w:pStyle w:val="11"/>
        <w:spacing w:line="340" w:lineRule="exact"/>
        <w:rPr>
          <w:rFonts w:hint="eastAsia" w:ascii="宋体" w:hAnsi="宋体" w:eastAsia="宋体" w:cs="宋体"/>
          <w:b/>
          <w:color w:val="auto"/>
          <w:sz w:val="24"/>
          <w:szCs w:val="24"/>
          <w:highlight w:val="none"/>
          <w:lang w:val="en-US" w:eastAsia="zh-CN"/>
        </w:rPr>
      </w:pPr>
    </w:p>
    <w:p w14:paraId="7171F5A4">
      <w:pPr>
        <w:pStyle w:val="11"/>
        <w:spacing w:line="340" w:lineRule="exact"/>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lang w:val="en-US" w:eastAsia="zh-CN"/>
        </w:rPr>
        <w:t>4</w:t>
      </w:r>
      <w:r>
        <w:rPr>
          <w:rFonts w:hint="eastAsia" w:ascii="宋体" w:hAnsi="宋体" w:eastAsia="宋体" w:cs="宋体"/>
          <w:b/>
          <w:color w:val="auto"/>
          <w:sz w:val="24"/>
          <w:szCs w:val="24"/>
          <w:highlight w:val="none"/>
        </w:rPr>
        <w:t>.供应商的法人或者其他组织营业执照等证明文件复印件（必须提供，自然人除外）；</w:t>
      </w:r>
    </w:p>
    <w:p w14:paraId="69CF777B">
      <w:pPr>
        <w:tabs>
          <w:tab w:val="left" w:pos="1305"/>
        </w:tabs>
        <w:spacing w:line="340" w:lineRule="exact"/>
        <w:rPr>
          <w:rFonts w:hint="eastAsia" w:ascii="宋体" w:hAnsi="宋体" w:eastAsia="宋体" w:cs="宋体"/>
          <w:b/>
          <w:color w:val="auto"/>
          <w:sz w:val="21"/>
          <w:szCs w:val="21"/>
          <w:highlight w:val="none"/>
        </w:rPr>
      </w:pPr>
    </w:p>
    <w:p w14:paraId="7D0F7C96">
      <w:pPr>
        <w:tabs>
          <w:tab w:val="left" w:pos="1305"/>
        </w:tabs>
        <w:spacing w:line="400" w:lineRule="exact"/>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注：①法人包括企业法人、机关法人、事业单位法人和社会团体法人；其他组织主要包括合伙企业、非企业专业服务机构、个体工商户、农村承包经营户。②如供应商为企业（包括合伙企业），应提供工商部门注册的有效“企业法人营业执照”或“营业执照</w:t>
      </w:r>
      <w:r>
        <w:rPr>
          <w:rFonts w:hint="eastAsia" w:ascii="宋体" w:hAnsi="宋体" w:eastAsia="宋体" w:cs="宋体"/>
          <w:b/>
          <w:color w:val="auto"/>
          <w:sz w:val="21"/>
          <w:szCs w:val="21"/>
          <w:highlight w:val="none"/>
          <w:lang w:eastAsia="zh-CN"/>
        </w:rPr>
        <w:t>”</w:t>
      </w:r>
      <w:r>
        <w:rPr>
          <w:rFonts w:hint="eastAsia" w:ascii="宋体" w:hAnsi="宋体" w:eastAsia="宋体" w:cs="宋体"/>
          <w:b/>
          <w:color w:val="auto"/>
          <w:sz w:val="21"/>
          <w:szCs w:val="21"/>
          <w:highlight w:val="none"/>
        </w:rPr>
        <w:t>；供应商为事业单位，应提供有效的“事业单位法人证书”；供应商为非企业专业服务机构的，应提供执业许可证等证明文件；供应商为个体工商户，应提供有效的“个体工商户营业执照”。</w:t>
      </w:r>
    </w:p>
    <w:p w14:paraId="79C07648">
      <w:pPr>
        <w:rPr>
          <w:rFonts w:hint="eastAsia" w:ascii="宋体" w:hAnsi="宋体" w:eastAsia="宋体" w:cs="宋体"/>
          <w:b/>
          <w:bCs/>
          <w:color w:val="auto"/>
          <w:sz w:val="21"/>
          <w:szCs w:val="21"/>
          <w:highlight w:val="none"/>
        </w:rPr>
      </w:pPr>
    </w:p>
    <w:p w14:paraId="795181B7">
      <w:pPr>
        <w:pStyle w:val="8"/>
        <w:rPr>
          <w:rFonts w:hint="eastAsia" w:ascii="宋体" w:hAnsi="宋体" w:eastAsia="宋体" w:cs="宋体"/>
          <w:b/>
          <w:bCs/>
          <w:color w:val="auto"/>
          <w:sz w:val="21"/>
          <w:szCs w:val="21"/>
          <w:highlight w:val="none"/>
        </w:rPr>
      </w:pPr>
    </w:p>
    <w:p w14:paraId="5616E609">
      <w:pPr>
        <w:rPr>
          <w:rFonts w:hint="eastAsia"/>
          <w:color w:val="auto"/>
          <w:highlight w:val="none"/>
        </w:rPr>
      </w:pPr>
    </w:p>
    <w:p w14:paraId="1C5FEAC4">
      <w:pPr>
        <w:pStyle w:val="11"/>
        <w:numPr>
          <w:ilvl w:val="0"/>
          <w:numId w:val="0"/>
        </w:numPr>
        <w:spacing w:line="340" w:lineRule="exact"/>
        <w:rPr>
          <w:rFonts w:hint="eastAsia" w:ascii="宋体" w:hAnsi="宋体" w:eastAsia="宋体" w:cs="宋体"/>
          <w:b/>
          <w:color w:val="auto"/>
          <w:sz w:val="21"/>
          <w:szCs w:val="21"/>
          <w:highlight w:val="none"/>
          <w:lang w:val="en-US" w:eastAsia="zh-CN"/>
        </w:rPr>
      </w:pPr>
    </w:p>
    <w:p w14:paraId="5F3F77B8">
      <w:pPr>
        <w:pStyle w:val="5"/>
        <w:rPr>
          <w:rFonts w:hint="eastAsia" w:ascii="宋体" w:hAnsi="宋体" w:eastAsia="宋体" w:cs="宋体"/>
          <w:b/>
          <w:color w:val="auto"/>
          <w:sz w:val="21"/>
          <w:szCs w:val="21"/>
          <w:highlight w:val="none"/>
          <w:lang w:val="en-US" w:eastAsia="zh-CN"/>
        </w:rPr>
      </w:pPr>
    </w:p>
    <w:p w14:paraId="18E480F5">
      <w:pPr>
        <w:rPr>
          <w:rFonts w:hint="eastAsia" w:ascii="宋体" w:hAnsi="宋体" w:eastAsia="宋体" w:cs="宋体"/>
          <w:b/>
          <w:color w:val="auto"/>
          <w:sz w:val="21"/>
          <w:szCs w:val="21"/>
          <w:highlight w:val="none"/>
          <w:lang w:val="en-US" w:eastAsia="zh-CN"/>
        </w:rPr>
      </w:pPr>
    </w:p>
    <w:p w14:paraId="07C27EFA">
      <w:pPr>
        <w:pStyle w:val="3"/>
        <w:rPr>
          <w:rFonts w:hint="eastAsia" w:ascii="宋体" w:hAnsi="宋体" w:eastAsia="宋体" w:cs="宋体"/>
          <w:b/>
          <w:color w:val="auto"/>
          <w:sz w:val="21"/>
          <w:szCs w:val="21"/>
          <w:highlight w:val="none"/>
          <w:lang w:val="en-US" w:eastAsia="zh-CN"/>
        </w:rPr>
      </w:pPr>
    </w:p>
    <w:p w14:paraId="11641620">
      <w:pPr>
        <w:rPr>
          <w:rFonts w:hint="eastAsia" w:ascii="宋体" w:hAnsi="宋体" w:eastAsia="宋体" w:cs="宋体"/>
          <w:b/>
          <w:color w:val="auto"/>
          <w:sz w:val="21"/>
          <w:szCs w:val="21"/>
          <w:highlight w:val="none"/>
          <w:lang w:val="en-US" w:eastAsia="zh-CN"/>
        </w:rPr>
      </w:pPr>
    </w:p>
    <w:p w14:paraId="2DED203D">
      <w:pPr>
        <w:rPr>
          <w:rFonts w:hint="eastAsia" w:ascii="宋体" w:hAnsi="宋体" w:eastAsia="宋体" w:cs="宋体"/>
          <w:b/>
          <w:color w:val="auto"/>
          <w:sz w:val="24"/>
          <w:szCs w:val="24"/>
          <w:highlight w:val="none"/>
          <w:lang w:val="en-US" w:eastAsia="zh-CN"/>
        </w:rPr>
      </w:pPr>
      <w:r>
        <w:rPr>
          <w:rFonts w:hint="eastAsia" w:ascii="宋体" w:hAnsi="宋体" w:eastAsia="宋体" w:cs="宋体"/>
          <w:b/>
          <w:color w:val="auto"/>
          <w:sz w:val="24"/>
          <w:szCs w:val="24"/>
          <w:highlight w:val="none"/>
          <w:lang w:val="en-US" w:eastAsia="zh-CN"/>
        </w:rPr>
        <w:br w:type="page"/>
      </w:r>
    </w:p>
    <w:p w14:paraId="14374754">
      <w:pPr>
        <w:pStyle w:val="11"/>
        <w:numPr>
          <w:ilvl w:val="0"/>
          <w:numId w:val="0"/>
        </w:numPr>
        <w:spacing w:line="340" w:lineRule="exact"/>
        <w:rPr>
          <w:rFonts w:hint="eastAsia" w:ascii="宋体" w:hAnsi="宋体" w:eastAsia="宋体" w:cs="宋体"/>
          <w:b/>
          <w:color w:val="auto"/>
          <w:sz w:val="24"/>
          <w:szCs w:val="24"/>
          <w:highlight w:val="none"/>
          <w:lang w:val="en-US" w:eastAsia="zh-CN"/>
        </w:rPr>
      </w:pPr>
      <w:r>
        <w:rPr>
          <w:rFonts w:hint="eastAsia" w:ascii="宋体" w:hAnsi="宋体" w:eastAsia="宋体" w:cs="宋体"/>
          <w:b/>
          <w:color w:val="auto"/>
          <w:sz w:val="24"/>
          <w:szCs w:val="24"/>
          <w:highlight w:val="none"/>
          <w:lang w:val="en-US" w:eastAsia="zh-CN"/>
        </w:rPr>
        <w:t>5.供应商相应有效的企业资质证书副本及安全生产许可证副本复印件、拟投入项目经理的注册建造师执业资格证书及安全生产考核合格证书（B类）复印件（必须提供）；</w:t>
      </w:r>
    </w:p>
    <w:p w14:paraId="6F34FD69">
      <w:pPr>
        <w:pStyle w:val="6"/>
        <w:numPr>
          <w:ilvl w:val="0"/>
          <w:numId w:val="0"/>
        </w:numPr>
        <w:ind w:leftChars="200"/>
        <w:rPr>
          <w:rFonts w:hint="eastAsia" w:ascii="宋体" w:hAnsi="宋体" w:eastAsia="宋体" w:cs="宋体"/>
          <w:color w:val="auto"/>
          <w:sz w:val="21"/>
          <w:szCs w:val="21"/>
          <w:highlight w:val="none"/>
          <w:lang w:val="en-US" w:eastAsia="zh-CN"/>
        </w:rPr>
      </w:pPr>
    </w:p>
    <w:p w14:paraId="64810205">
      <w:pPr>
        <w:pStyle w:val="11"/>
        <w:spacing w:line="340" w:lineRule="exact"/>
        <w:rPr>
          <w:rFonts w:hint="eastAsia" w:ascii="宋体" w:hAnsi="宋体" w:eastAsia="宋体" w:cs="宋体"/>
          <w:b/>
          <w:color w:val="auto"/>
          <w:sz w:val="21"/>
          <w:szCs w:val="21"/>
          <w:highlight w:val="none"/>
          <w:lang w:val="en-US" w:eastAsia="zh-CN"/>
        </w:rPr>
      </w:pPr>
    </w:p>
    <w:p w14:paraId="7FCDAEBB">
      <w:pPr>
        <w:pStyle w:val="11"/>
        <w:spacing w:line="340" w:lineRule="exact"/>
        <w:rPr>
          <w:rFonts w:hint="eastAsia" w:ascii="宋体" w:hAnsi="宋体" w:eastAsia="宋体" w:cs="宋体"/>
          <w:b/>
          <w:color w:val="auto"/>
          <w:sz w:val="21"/>
          <w:szCs w:val="21"/>
          <w:highlight w:val="none"/>
          <w:lang w:val="en-US" w:eastAsia="zh-CN"/>
        </w:rPr>
      </w:pPr>
    </w:p>
    <w:p w14:paraId="5FC10056">
      <w:pPr>
        <w:pStyle w:val="5"/>
        <w:rPr>
          <w:rFonts w:hint="eastAsia"/>
          <w:color w:val="auto"/>
          <w:highlight w:val="none"/>
          <w:lang w:val="en-US" w:eastAsia="zh-CN"/>
        </w:rPr>
      </w:pPr>
    </w:p>
    <w:p w14:paraId="5EC92B64">
      <w:pPr>
        <w:pStyle w:val="5"/>
        <w:rPr>
          <w:rFonts w:hint="eastAsia"/>
          <w:color w:val="auto"/>
          <w:highlight w:val="none"/>
          <w:lang w:val="en-US" w:eastAsia="zh-CN"/>
        </w:rPr>
      </w:pPr>
    </w:p>
    <w:p w14:paraId="6FD7C679">
      <w:pPr>
        <w:pStyle w:val="11"/>
        <w:spacing w:line="340" w:lineRule="exact"/>
        <w:rPr>
          <w:rFonts w:hint="eastAsia" w:ascii="宋体" w:hAnsi="宋体" w:eastAsia="宋体" w:cs="宋体"/>
          <w:b/>
          <w:color w:val="auto"/>
          <w:sz w:val="24"/>
          <w:szCs w:val="24"/>
          <w:highlight w:val="none"/>
          <w:lang w:val="en-US" w:eastAsia="zh-CN"/>
        </w:rPr>
      </w:pPr>
      <w:r>
        <w:rPr>
          <w:rFonts w:hint="eastAsia" w:hAnsi="宋体" w:cs="宋体"/>
          <w:b/>
          <w:color w:val="auto"/>
          <w:sz w:val="24"/>
          <w:szCs w:val="24"/>
          <w:highlight w:val="none"/>
          <w:lang w:val="en-US" w:eastAsia="zh-CN"/>
        </w:rPr>
        <w:t>6</w:t>
      </w:r>
      <w:r>
        <w:rPr>
          <w:rFonts w:hint="eastAsia" w:ascii="宋体" w:hAnsi="宋体" w:eastAsia="宋体" w:cs="宋体"/>
          <w:b/>
          <w:color w:val="auto"/>
          <w:sz w:val="24"/>
          <w:szCs w:val="24"/>
          <w:highlight w:val="none"/>
          <w:lang w:val="en-US" w:eastAsia="zh-CN"/>
        </w:rPr>
        <w:t>.项目经理无在建工程承诺书（格式自拟，必须提供）；</w:t>
      </w:r>
    </w:p>
    <w:p w14:paraId="339CF169">
      <w:pPr>
        <w:pStyle w:val="11"/>
        <w:spacing w:line="340" w:lineRule="exact"/>
        <w:rPr>
          <w:rFonts w:hint="eastAsia" w:ascii="宋体" w:hAnsi="宋体" w:eastAsia="宋体" w:cs="宋体"/>
          <w:b/>
          <w:color w:val="auto"/>
          <w:sz w:val="24"/>
          <w:szCs w:val="24"/>
          <w:highlight w:val="none"/>
          <w:lang w:val="en-US" w:eastAsia="zh-CN"/>
        </w:rPr>
      </w:pPr>
    </w:p>
    <w:p w14:paraId="3C998E0B">
      <w:pPr>
        <w:rPr>
          <w:rFonts w:hint="eastAsia" w:ascii="宋体" w:hAnsi="宋体" w:eastAsia="宋体" w:cs="宋体"/>
          <w:color w:val="auto"/>
          <w:sz w:val="24"/>
          <w:szCs w:val="24"/>
          <w:highlight w:val="none"/>
          <w:lang w:val="en-US" w:eastAsia="zh-CN"/>
        </w:rPr>
      </w:pPr>
    </w:p>
    <w:p w14:paraId="0A53E5D9">
      <w:pPr>
        <w:pStyle w:val="8"/>
        <w:rPr>
          <w:rFonts w:hint="eastAsia"/>
          <w:color w:val="auto"/>
          <w:highlight w:val="none"/>
          <w:lang w:val="en-US" w:eastAsia="zh-CN"/>
        </w:rPr>
      </w:pPr>
    </w:p>
    <w:p w14:paraId="3CD8034A">
      <w:pPr>
        <w:rPr>
          <w:rFonts w:hint="eastAsia"/>
          <w:color w:val="auto"/>
          <w:highlight w:val="none"/>
          <w:lang w:val="en-US" w:eastAsia="zh-CN"/>
        </w:rPr>
      </w:pPr>
    </w:p>
    <w:p w14:paraId="1113D95C">
      <w:pPr>
        <w:rPr>
          <w:rFonts w:hint="eastAsia"/>
          <w:color w:val="auto"/>
          <w:highlight w:val="none"/>
          <w:lang w:val="en-US" w:eastAsia="zh-CN"/>
        </w:rPr>
      </w:pPr>
    </w:p>
    <w:p w14:paraId="6A14D955">
      <w:pPr>
        <w:pStyle w:val="8"/>
        <w:rPr>
          <w:rFonts w:hint="eastAsia"/>
          <w:color w:val="auto"/>
          <w:sz w:val="24"/>
          <w:szCs w:val="24"/>
          <w:highlight w:val="none"/>
          <w:lang w:val="en-US" w:eastAsia="zh-CN"/>
        </w:rPr>
      </w:pPr>
    </w:p>
    <w:p w14:paraId="3DD1FD5F">
      <w:pPr>
        <w:pStyle w:val="11"/>
        <w:spacing w:line="340" w:lineRule="exact"/>
        <w:rPr>
          <w:rFonts w:hint="eastAsia" w:ascii="宋体" w:hAnsi="宋体" w:eastAsia="宋体" w:cs="宋体"/>
          <w:b/>
          <w:color w:val="auto"/>
          <w:sz w:val="24"/>
          <w:szCs w:val="24"/>
          <w:highlight w:val="none"/>
          <w:lang w:val="en-US" w:eastAsia="zh-CN"/>
        </w:rPr>
      </w:pPr>
      <w:r>
        <w:rPr>
          <w:rFonts w:hint="eastAsia" w:hAnsi="宋体" w:cs="宋体"/>
          <w:b/>
          <w:color w:val="auto"/>
          <w:sz w:val="24"/>
          <w:szCs w:val="24"/>
          <w:highlight w:val="none"/>
          <w:lang w:val="en-US" w:eastAsia="zh-CN"/>
        </w:rPr>
        <w:t>7</w:t>
      </w:r>
      <w:r>
        <w:rPr>
          <w:rFonts w:hint="eastAsia" w:ascii="宋体" w:hAnsi="宋体" w:eastAsia="宋体" w:cs="宋体"/>
          <w:b/>
          <w:color w:val="auto"/>
          <w:sz w:val="24"/>
          <w:szCs w:val="24"/>
          <w:highlight w:val="none"/>
          <w:lang w:val="en-US" w:eastAsia="zh-CN"/>
        </w:rPr>
        <w:t>.供应商2022年度以来任意一个年度内的财务状况报告（必须提供，可以是供应商自行编制也可以是通过第三方审计公司编制，如为自行编制至少须提供现金流量表、负债表及利润表）；</w:t>
      </w:r>
    </w:p>
    <w:p w14:paraId="3CD66FA9">
      <w:pPr>
        <w:pStyle w:val="6"/>
        <w:numPr>
          <w:ilvl w:val="0"/>
          <w:numId w:val="0"/>
        </w:numPr>
        <w:rPr>
          <w:rFonts w:hint="eastAsia" w:ascii="宋体" w:hAnsi="宋体" w:eastAsia="宋体" w:cs="宋体"/>
          <w:b/>
          <w:color w:val="auto"/>
          <w:sz w:val="24"/>
          <w:szCs w:val="24"/>
          <w:highlight w:val="none"/>
          <w:lang w:val="en-US" w:eastAsia="zh-CN"/>
        </w:rPr>
      </w:pPr>
    </w:p>
    <w:p w14:paraId="3EA13BA5">
      <w:pPr>
        <w:pStyle w:val="8"/>
        <w:rPr>
          <w:rFonts w:hint="eastAsia" w:ascii="宋体" w:hAnsi="宋体" w:eastAsia="宋体" w:cs="宋体"/>
          <w:color w:val="auto"/>
          <w:sz w:val="24"/>
          <w:szCs w:val="24"/>
          <w:highlight w:val="none"/>
          <w:lang w:val="en-US" w:eastAsia="zh-CN"/>
        </w:rPr>
      </w:pPr>
    </w:p>
    <w:p w14:paraId="2CA6E3AD">
      <w:pPr>
        <w:rPr>
          <w:rFonts w:hint="eastAsia" w:ascii="宋体" w:hAnsi="宋体" w:eastAsia="宋体" w:cs="宋体"/>
          <w:color w:val="auto"/>
          <w:sz w:val="24"/>
          <w:szCs w:val="24"/>
          <w:highlight w:val="none"/>
          <w:lang w:val="en-US" w:eastAsia="zh-CN"/>
        </w:rPr>
      </w:pPr>
    </w:p>
    <w:p w14:paraId="6D19EE25">
      <w:pPr>
        <w:pStyle w:val="3"/>
        <w:rPr>
          <w:rFonts w:hint="eastAsia"/>
          <w:color w:val="auto"/>
          <w:highlight w:val="none"/>
          <w:lang w:val="en-US" w:eastAsia="zh-CN"/>
        </w:rPr>
      </w:pPr>
    </w:p>
    <w:p w14:paraId="4DDDFBC9">
      <w:pPr>
        <w:rPr>
          <w:rFonts w:hint="eastAsia"/>
          <w:color w:val="auto"/>
          <w:highlight w:val="none"/>
          <w:lang w:val="en-US" w:eastAsia="zh-CN"/>
        </w:rPr>
      </w:pPr>
    </w:p>
    <w:p w14:paraId="6A8175EB">
      <w:pPr>
        <w:rPr>
          <w:rFonts w:hint="eastAsia"/>
          <w:color w:val="auto"/>
          <w:sz w:val="24"/>
          <w:szCs w:val="24"/>
          <w:highlight w:val="none"/>
          <w:lang w:val="en-US" w:eastAsia="zh-CN"/>
        </w:rPr>
      </w:pPr>
    </w:p>
    <w:p w14:paraId="54AA45BB">
      <w:pPr>
        <w:pStyle w:val="6"/>
        <w:numPr>
          <w:ilvl w:val="0"/>
          <w:numId w:val="0"/>
        </w:numPr>
        <w:rPr>
          <w:rFonts w:hint="eastAsia" w:ascii="宋体" w:hAnsi="宋体" w:eastAsia="宋体" w:cs="宋体"/>
          <w:b/>
          <w:color w:val="auto"/>
          <w:sz w:val="24"/>
          <w:szCs w:val="24"/>
          <w:highlight w:val="none"/>
          <w:lang w:val="en-US" w:eastAsia="zh-CN"/>
        </w:rPr>
      </w:pPr>
      <w:r>
        <w:rPr>
          <w:rFonts w:hint="eastAsia" w:ascii="宋体" w:hAnsi="宋体" w:cs="宋体"/>
          <w:b/>
          <w:color w:val="auto"/>
          <w:sz w:val="24"/>
          <w:szCs w:val="24"/>
          <w:highlight w:val="none"/>
          <w:lang w:val="en-US" w:eastAsia="zh-CN"/>
        </w:rPr>
        <w:t>8</w:t>
      </w:r>
      <w:r>
        <w:rPr>
          <w:rFonts w:hint="eastAsia" w:ascii="宋体" w:hAnsi="宋体" w:eastAsia="宋体" w:cs="宋体"/>
          <w:b/>
          <w:color w:val="auto"/>
          <w:sz w:val="24"/>
          <w:szCs w:val="24"/>
          <w:highlight w:val="none"/>
          <w:lang w:val="en-US" w:eastAsia="zh-CN"/>
        </w:rPr>
        <w:t>.供应商近半年内任意一个月或任一季度依法缴纳税收的证明材料[增值税缴纳发票(税收完税证明)或企业所得税完税证明或税务部门出具的免税证明]复印件（必须提供）</w:t>
      </w:r>
      <w:r>
        <w:rPr>
          <w:rFonts w:hint="eastAsia" w:ascii="宋体" w:hAnsi="宋体" w:cs="宋体"/>
          <w:b/>
          <w:color w:val="auto"/>
          <w:sz w:val="24"/>
          <w:szCs w:val="24"/>
          <w:highlight w:val="none"/>
          <w:lang w:val="en-US" w:eastAsia="zh-CN"/>
        </w:rPr>
        <w:t>；</w:t>
      </w:r>
    </w:p>
    <w:p w14:paraId="35208CDF">
      <w:pPr>
        <w:numPr>
          <w:ilvl w:val="0"/>
          <w:numId w:val="0"/>
        </w:numPr>
        <w:ind w:left="420" w:leftChars="0"/>
        <w:jc w:val="center"/>
        <w:rPr>
          <w:rFonts w:hint="eastAsia" w:ascii="宋体" w:hAnsi="宋体" w:eastAsia="宋体" w:cs="宋体"/>
          <w:b/>
          <w:bCs/>
          <w:color w:val="auto"/>
          <w:sz w:val="21"/>
          <w:szCs w:val="21"/>
          <w:highlight w:val="none"/>
          <w:lang w:eastAsia="zh-CN"/>
        </w:rPr>
      </w:pPr>
    </w:p>
    <w:p w14:paraId="394C82FB">
      <w:pPr>
        <w:numPr>
          <w:ilvl w:val="0"/>
          <w:numId w:val="0"/>
        </w:numPr>
        <w:ind w:left="420" w:leftChars="0"/>
        <w:jc w:val="center"/>
        <w:rPr>
          <w:rFonts w:hint="eastAsia" w:ascii="宋体" w:hAnsi="宋体" w:eastAsia="宋体" w:cs="宋体"/>
          <w:b/>
          <w:bCs/>
          <w:color w:val="auto"/>
          <w:sz w:val="21"/>
          <w:szCs w:val="21"/>
          <w:highlight w:val="none"/>
          <w:lang w:eastAsia="zh-CN"/>
        </w:rPr>
      </w:pPr>
    </w:p>
    <w:p w14:paraId="4AE7EE7B">
      <w:pPr>
        <w:pStyle w:val="22"/>
        <w:rPr>
          <w:rFonts w:hint="eastAsia" w:ascii="宋体" w:hAnsi="宋体" w:eastAsia="宋体" w:cs="宋体"/>
          <w:b/>
          <w:bCs/>
          <w:color w:val="auto"/>
          <w:sz w:val="21"/>
          <w:szCs w:val="21"/>
          <w:highlight w:val="none"/>
          <w:lang w:eastAsia="zh-CN"/>
        </w:rPr>
      </w:pPr>
    </w:p>
    <w:p w14:paraId="006A23CB">
      <w:pPr>
        <w:pStyle w:val="22"/>
        <w:rPr>
          <w:rFonts w:hint="eastAsia" w:ascii="宋体" w:hAnsi="宋体" w:eastAsia="宋体" w:cs="宋体"/>
          <w:b/>
          <w:bCs/>
          <w:color w:val="auto"/>
          <w:sz w:val="21"/>
          <w:szCs w:val="21"/>
          <w:highlight w:val="none"/>
          <w:lang w:eastAsia="zh-CN"/>
        </w:rPr>
      </w:pPr>
    </w:p>
    <w:p w14:paraId="48E011F8">
      <w:pPr>
        <w:pStyle w:val="22"/>
        <w:rPr>
          <w:rFonts w:hint="eastAsia" w:ascii="宋体" w:hAnsi="宋体" w:eastAsia="宋体" w:cs="宋体"/>
          <w:b/>
          <w:bCs/>
          <w:color w:val="auto"/>
          <w:sz w:val="21"/>
          <w:szCs w:val="21"/>
          <w:highlight w:val="none"/>
          <w:lang w:eastAsia="zh-CN"/>
        </w:rPr>
      </w:pPr>
    </w:p>
    <w:p w14:paraId="5BF555E1">
      <w:pPr>
        <w:pStyle w:val="22"/>
        <w:rPr>
          <w:rFonts w:hint="eastAsia" w:ascii="宋体" w:hAnsi="宋体" w:eastAsia="宋体" w:cs="宋体"/>
          <w:b/>
          <w:bCs/>
          <w:color w:val="auto"/>
          <w:sz w:val="21"/>
          <w:szCs w:val="21"/>
          <w:highlight w:val="none"/>
          <w:lang w:eastAsia="zh-CN"/>
        </w:rPr>
      </w:pPr>
    </w:p>
    <w:p w14:paraId="36FE0B23">
      <w:pPr>
        <w:pStyle w:val="22"/>
        <w:rPr>
          <w:rFonts w:hint="eastAsia" w:ascii="宋体" w:hAnsi="宋体" w:eastAsia="宋体" w:cs="宋体"/>
          <w:b/>
          <w:bCs/>
          <w:color w:val="auto"/>
          <w:sz w:val="21"/>
          <w:szCs w:val="21"/>
          <w:highlight w:val="none"/>
          <w:lang w:eastAsia="zh-CN"/>
        </w:rPr>
      </w:pPr>
    </w:p>
    <w:p w14:paraId="09131761">
      <w:pPr>
        <w:pStyle w:val="22"/>
        <w:rPr>
          <w:rFonts w:hint="eastAsia" w:ascii="宋体" w:hAnsi="宋体" w:eastAsia="宋体" w:cs="宋体"/>
          <w:b/>
          <w:bCs/>
          <w:color w:val="auto"/>
          <w:sz w:val="21"/>
          <w:szCs w:val="21"/>
          <w:highlight w:val="none"/>
          <w:lang w:eastAsia="zh-CN"/>
        </w:rPr>
      </w:pPr>
    </w:p>
    <w:p w14:paraId="77DBFDED">
      <w:pPr>
        <w:pStyle w:val="22"/>
        <w:rPr>
          <w:rFonts w:hint="eastAsia" w:ascii="宋体" w:hAnsi="宋体" w:eastAsia="宋体" w:cs="宋体"/>
          <w:b/>
          <w:bCs/>
          <w:color w:val="auto"/>
          <w:sz w:val="21"/>
          <w:szCs w:val="21"/>
          <w:highlight w:val="none"/>
          <w:lang w:eastAsia="zh-CN"/>
        </w:rPr>
      </w:pPr>
    </w:p>
    <w:p w14:paraId="2E0EC1DF">
      <w:pPr>
        <w:pStyle w:val="22"/>
        <w:rPr>
          <w:rFonts w:hint="eastAsia" w:ascii="宋体" w:hAnsi="宋体" w:eastAsia="宋体" w:cs="宋体"/>
          <w:b/>
          <w:bCs/>
          <w:color w:val="auto"/>
          <w:sz w:val="21"/>
          <w:szCs w:val="21"/>
          <w:highlight w:val="none"/>
          <w:lang w:eastAsia="zh-CN"/>
        </w:rPr>
      </w:pPr>
    </w:p>
    <w:p w14:paraId="38155207">
      <w:pPr>
        <w:pStyle w:val="22"/>
        <w:rPr>
          <w:rFonts w:hint="eastAsia" w:ascii="宋体" w:hAnsi="宋体" w:eastAsia="宋体" w:cs="宋体"/>
          <w:b/>
          <w:bCs/>
          <w:color w:val="auto"/>
          <w:sz w:val="21"/>
          <w:szCs w:val="21"/>
          <w:highlight w:val="none"/>
          <w:lang w:eastAsia="zh-CN"/>
        </w:rPr>
      </w:pPr>
    </w:p>
    <w:p w14:paraId="293969EE">
      <w:pPr>
        <w:pStyle w:val="22"/>
        <w:rPr>
          <w:rFonts w:hint="eastAsia" w:ascii="宋体" w:hAnsi="宋体" w:eastAsia="宋体" w:cs="宋体"/>
          <w:b/>
          <w:bCs/>
          <w:color w:val="auto"/>
          <w:sz w:val="21"/>
          <w:szCs w:val="21"/>
          <w:highlight w:val="none"/>
          <w:lang w:eastAsia="zh-CN"/>
        </w:rPr>
      </w:pPr>
    </w:p>
    <w:p w14:paraId="37EE40A9">
      <w:pPr>
        <w:pStyle w:val="22"/>
        <w:rPr>
          <w:rFonts w:hint="eastAsia" w:ascii="宋体" w:hAnsi="宋体" w:eastAsia="宋体" w:cs="宋体"/>
          <w:b/>
          <w:bCs/>
          <w:color w:val="auto"/>
          <w:sz w:val="21"/>
          <w:szCs w:val="21"/>
          <w:highlight w:val="none"/>
          <w:lang w:eastAsia="zh-CN"/>
        </w:rPr>
      </w:pPr>
    </w:p>
    <w:p w14:paraId="363F0643">
      <w:pPr>
        <w:pStyle w:val="22"/>
        <w:rPr>
          <w:rFonts w:hint="eastAsia" w:ascii="宋体" w:hAnsi="宋体" w:eastAsia="宋体" w:cs="宋体"/>
          <w:b/>
          <w:bCs/>
          <w:color w:val="auto"/>
          <w:sz w:val="21"/>
          <w:szCs w:val="21"/>
          <w:highlight w:val="none"/>
          <w:lang w:eastAsia="zh-CN"/>
        </w:rPr>
      </w:pPr>
    </w:p>
    <w:p w14:paraId="0EBC9044">
      <w:pPr>
        <w:pStyle w:val="22"/>
        <w:rPr>
          <w:rFonts w:hint="eastAsia" w:ascii="宋体" w:hAnsi="宋体" w:eastAsia="宋体" w:cs="宋体"/>
          <w:b/>
          <w:bCs/>
          <w:color w:val="auto"/>
          <w:sz w:val="21"/>
          <w:szCs w:val="21"/>
          <w:highlight w:val="none"/>
          <w:lang w:eastAsia="zh-CN"/>
        </w:rPr>
      </w:pPr>
    </w:p>
    <w:p w14:paraId="5B5DD480">
      <w:pPr>
        <w:rPr>
          <w:rFonts w:hint="eastAsia" w:ascii="宋体" w:hAnsi="宋体" w:eastAsia="宋体" w:cs="宋体"/>
          <w:b/>
          <w:bCs/>
          <w:iCs/>
          <w:color w:val="auto"/>
          <w:kern w:val="2"/>
          <w:sz w:val="24"/>
          <w:szCs w:val="24"/>
          <w:highlight w:val="none"/>
          <w:lang w:val="en-US" w:eastAsia="zh-CN" w:bidi="ar-SA"/>
        </w:rPr>
      </w:pPr>
      <w:r>
        <w:rPr>
          <w:rFonts w:hint="eastAsia" w:ascii="宋体" w:hAnsi="宋体" w:eastAsia="宋体" w:cs="宋体"/>
          <w:b/>
          <w:bCs/>
          <w:iCs/>
          <w:color w:val="auto"/>
          <w:kern w:val="2"/>
          <w:sz w:val="24"/>
          <w:szCs w:val="24"/>
          <w:highlight w:val="none"/>
          <w:lang w:val="en-US" w:eastAsia="zh-CN" w:bidi="ar-SA"/>
        </w:rPr>
        <w:br w:type="page"/>
      </w:r>
    </w:p>
    <w:p w14:paraId="52329B2D">
      <w:pPr>
        <w:spacing w:line="240" w:lineRule="auto"/>
        <w:rPr>
          <w:rFonts w:hint="eastAsia" w:ascii="宋体" w:hAnsi="宋体" w:eastAsia="宋体" w:cs="宋体"/>
          <w:b/>
          <w:bCs/>
          <w:iCs/>
          <w:color w:val="auto"/>
          <w:kern w:val="2"/>
          <w:sz w:val="24"/>
          <w:szCs w:val="24"/>
          <w:highlight w:val="none"/>
          <w:lang w:val="en-US" w:eastAsia="zh-CN" w:bidi="ar-SA"/>
        </w:rPr>
      </w:pPr>
      <w:r>
        <w:rPr>
          <w:rFonts w:hint="eastAsia" w:ascii="宋体" w:hAnsi="宋体" w:eastAsia="宋体" w:cs="宋体"/>
          <w:b/>
          <w:bCs/>
          <w:iCs/>
          <w:color w:val="auto"/>
          <w:kern w:val="2"/>
          <w:sz w:val="24"/>
          <w:szCs w:val="24"/>
          <w:highlight w:val="none"/>
          <w:lang w:val="en-US" w:eastAsia="zh-CN" w:bidi="ar-SA"/>
        </w:rPr>
        <w:t>9.《中小企业声明函》或《残疾人福利性单位声明函》或省级以上监狱管理局、戒毒管理局（含新疆生产建设兵团）出具的属于监狱企业的证明文件复印件（必须提供其中一项）。</w:t>
      </w:r>
    </w:p>
    <w:p w14:paraId="6A23C201">
      <w:pPr>
        <w:jc w:val="center"/>
        <w:outlineLvl w:val="9"/>
        <w:rPr>
          <w:rStyle w:val="40"/>
          <w:rFonts w:hint="eastAsia" w:ascii="宋体" w:hAnsi="宋体" w:eastAsia="宋体" w:cs="宋体"/>
          <w:b/>
          <w:bCs/>
          <w:color w:val="auto"/>
          <w:kern w:val="0"/>
          <w:sz w:val="21"/>
          <w:szCs w:val="21"/>
          <w:highlight w:val="none"/>
        </w:rPr>
      </w:pPr>
    </w:p>
    <w:p w14:paraId="52060095">
      <w:pPr>
        <w:jc w:val="center"/>
        <w:outlineLvl w:val="9"/>
        <w:rPr>
          <w:rStyle w:val="40"/>
          <w:rFonts w:hint="eastAsia" w:ascii="宋体" w:hAnsi="宋体" w:eastAsia="宋体" w:cs="宋体"/>
          <w:b/>
          <w:bCs/>
          <w:color w:val="auto"/>
          <w:kern w:val="0"/>
          <w:sz w:val="21"/>
          <w:szCs w:val="21"/>
          <w:highlight w:val="none"/>
        </w:rPr>
      </w:pPr>
      <w:r>
        <w:rPr>
          <w:rStyle w:val="40"/>
          <w:rFonts w:hint="eastAsia" w:ascii="宋体" w:hAnsi="宋体" w:eastAsia="宋体" w:cs="宋体"/>
          <w:b/>
          <w:bCs/>
          <w:color w:val="auto"/>
          <w:kern w:val="0"/>
          <w:sz w:val="21"/>
          <w:szCs w:val="21"/>
          <w:highlight w:val="none"/>
          <w:lang w:eastAsia="zh-CN"/>
        </w:rPr>
        <w:t>（</w:t>
      </w:r>
      <w:r>
        <w:rPr>
          <w:rStyle w:val="40"/>
          <w:rFonts w:hint="eastAsia" w:ascii="宋体" w:hAnsi="宋体" w:eastAsia="宋体" w:cs="宋体"/>
          <w:b/>
          <w:bCs/>
          <w:color w:val="auto"/>
          <w:kern w:val="0"/>
          <w:sz w:val="21"/>
          <w:szCs w:val="21"/>
          <w:highlight w:val="none"/>
          <w:lang w:val="en-US" w:eastAsia="zh-CN"/>
        </w:rPr>
        <w:t>1</w:t>
      </w:r>
      <w:r>
        <w:rPr>
          <w:rStyle w:val="40"/>
          <w:rFonts w:hint="eastAsia" w:ascii="宋体" w:hAnsi="宋体" w:eastAsia="宋体" w:cs="宋体"/>
          <w:b/>
          <w:bCs/>
          <w:color w:val="auto"/>
          <w:kern w:val="0"/>
          <w:sz w:val="21"/>
          <w:szCs w:val="21"/>
          <w:highlight w:val="none"/>
          <w:lang w:eastAsia="zh-CN"/>
        </w:rPr>
        <w:t>）</w:t>
      </w:r>
      <w:r>
        <w:rPr>
          <w:rStyle w:val="40"/>
          <w:rFonts w:hint="eastAsia" w:ascii="宋体" w:hAnsi="宋体" w:eastAsia="宋体" w:cs="宋体"/>
          <w:b/>
          <w:bCs/>
          <w:color w:val="auto"/>
          <w:kern w:val="0"/>
          <w:sz w:val="21"/>
          <w:szCs w:val="21"/>
          <w:highlight w:val="none"/>
        </w:rPr>
        <w:t>中小企业声明函（工程）</w:t>
      </w:r>
    </w:p>
    <w:p w14:paraId="7C755B8D">
      <w:pPr>
        <w:pStyle w:val="41"/>
        <w:ind w:left="63" w:right="63"/>
        <w:rPr>
          <w:rFonts w:hint="eastAsia" w:ascii="宋体" w:hAnsi="宋体" w:eastAsia="宋体" w:cs="宋体"/>
          <w:color w:val="auto"/>
          <w:sz w:val="21"/>
          <w:szCs w:val="21"/>
          <w:highlight w:val="none"/>
        </w:rPr>
      </w:pPr>
    </w:p>
    <w:p w14:paraId="297C31EB">
      <w:pPr>
        <w:keepNext w:val="0"/>
        <w:keepLines w:val="0"/>
        <w:pageBreakBefore w:val="0"/>
        <w:widowControl w:val="0"/>
        <w:kinsoku/>
        <w:wordWrap/>
        <w:overflowPunct/>
        <w:topLinePunct w:val="0"/>
        <w:autoSpaceDE/>
        <w:autoSpaceDN/>
        <w:bidi w:val="0"/>
        <w:adjustRightInd/>
        <w:snapToGrid/>
        <w:spacing w:line="360" w:lineRule="exact"/>
        <w:ind w:firstLine="482"/>
        <w:jc w:val="left"/>
        <w:textAlignment w:val="auto"/>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本公司郑重声明，根据《政府采购促进中小企业发展管理办法》（财库﹝2020﹞46 号）的规定，本公司参加</w:t>
      </w:r>
      <w:r>
        <w:rPr>
          <w:rStyle w:val="40"/>
          <w:rFonts w:hint="eastAsia" w:ascii="宋体" w:hAnsi="宋体" w:eastAsia="宋体" w:cs="宋体"/>
          <w:color w:val="auto"/>
          <w:kern w:val="0"/>
          <w:sz w:val="21"/>
          <w:szCs w:val="21"/>
          <w:highlight w:val="none"/>
          <w:u w:val="single" w:color="000000"/>
        </w:rPr>
        <w:t>（单位名称）</w:t>
      </w:r>
      <w:r>
        <w:rPr>
          <w:rStyle w:val="40"/>
          <w:rFonts w:hint="eastAsia" w:ascii="宋体" w:hAnsi="宋体" w:eastAsia="宋体" w:cs="宋体"/>
          <w:color w:val="auto"/>
          <w:kern w:val="0"/>
          <w:sz w:val="21"/>
          <w:szCs w:val="21"/>
          <w:highlight w:val="none"/>
        </w:rPr>
        <w:t>的</w:t>
      </w:r>
      <w:r>
        <w:rPr>
          <w:rStyle w:val="40"/>
          <w:rFonts w:hint="eastAsia" w:ascii="宋体" w:hAnsi="宋体" w:eastAsia="宋体" w:cs="宋体"/>
          <w:color w:val="auto"/>
          <w:kern w:val="0"/>
          <w:sz w:val="21"/>
          <w:szCs w:val="21"/>
          <w:highlight w:val="none"/>
          <w:u w:val="single" w:color="000000"/>
        </w:rPr>
        <w:t>（项目名称）</w:t>
      </w:r>
      <w:r>
        <w:rPr>
          <w:rStyle w:val="40"/>
          <w:rFonts w:hint="eastAsia" w:ascii="宋体" w:hAnsi="宋体" w:eastAsia="宋体" w:cs="宋体"/>
          <w:color w:val="auto"/>
          <w:kern w:val="0"/>
          <w:sz w:val="21"/>
          <w:szCs w:val="21"/>
          <w:highlight w:val="none"/>
        </w:rPr>
        <w:t>采购活动，</w:t>
      </w:r>
      <w:r>
        <w:rPr>
          <w:rStyle w:val="40"/>
          <w:rFonts w:hint="eastAsia" w:ascii="宋体" w:hAnsi="宋体" w:eastAsia="宋体" w:cs="宋体"/>
          <w:color w:val="auto"/>
          <w:kern w:val="0"/>
          <w:sz w:val="21"/>
          <w:szCs w:val="21"/>
          <w:highlight w:val="none"/>
          <w:lang w:val="en-US" w:eastAsia="zh-CN"/>
        </w:rPr>
        <w:t>工程的施工单位</w:t>
      </w:r>
      <w:r>
        <w:rPr>
          <w:rStyle w:val="40"/>
          <w:rFonts w:hint="eastAsia" w:ascii="宋体" w:hAnsi="宋体" w:eastAsia="宋体" w:cs="宋体"/>
          <w:color w:val="auto"/>
          <w:kern w:val="0"/>
          <w:sz w:val="21"/>
          <w:szCs w:val="21"/>
          <w:highlight w:val="none"/>
        </w:rPr>
        <w:t>全部</w:t>
      </w:r>
      <w:r>
        <w:rPr>
          <w:rStyle w:val="40"/>
          <w:rFonts w:hint="eastAsia" w:ascii="宋体" w:hAnsi="宋体" w:eastAsia="宋体" w:cs="宋体"/>
          <w:color w:val="auto"/>
          <w:kern w:val="0"/>
          <w:sz w:val="21"/>
          <w:szCs w:val="21"/>
          <w:highlight w:val="none"/>
          <w:lang w:val="en-US" w:eastAsia="zh-CN"/>
        </w:rPr>
        <w:t>为</w:t>
      </w:r>
      <w:r>
        <w:rPr>
          <w:rStyle w:val="40"/>
          <w:rFonts w:hint="eastAsia" w:ascii="宋体" w:hAnsi="宋体" w:eastAsia="宋体" w:cs="宋体"/>
          <w:color w:val="auto"/>
          <w:kern w:val="0"/>
          <w:sz w:val="21"/>
          <w:szCs w:val="21"/>
          <w:highlight w:val="none"/>
        </w:rPr>
        <w:t>符合政策要求的中小企业。相关企业（含联合体中的中小企业、签订分包意向协议的中小企业）的具体情况如下：</w:t>
      </w:r>
    </w:p>
    <w:p w14:paraId="35A888FA">
      <w:pPr>
        <w:keepNext w:val="0"/>
        <w:keepLines w:val="0"/>
        <w:pageBreakBefore w:val="0"/>
        <w:widowControl w:val="0"/>
        <w:kinsoku/>
        <w:wordWrap/>
        <w:overflowPunct/>
        <w:topLinePunct w:val="0"/>
        <w:autoSpaceDE/>
        <w:autoSpaceDN/>
        <w:bidi w:val="0"/>
        <w:adjustRightInd/>
        <w:snapToGrid/>
        <w:spacing w:line="360" w:lineRule="exact"/>
        <w:ind w:firstLine="482"/>
        <w:jc w:val="left"/>
        <w:textAlignment w:val="auto"/>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 xml:space="preserve">1. </w:t>
      </w:r>
      <w:r>
        <w:rPr>
          <w:rStyle w:val="40"/>
          <w:rFonts w:hint="eastAsia" w:ascii="宋体" w:hAnsi="宋体" w:eastAsia="宋体" w:cs="宋体"/>
          <w:color w:val="auto"/>
          <w:kern w:val="0"/>
          <w:sz w:val="21"/>
          <w:szCs w:val="21"/>
          <w:highlight w:val="none"/>
          <w:u w:val="single" w:color="000000"/>
        </w:rPr>
        <w:t xml:space="preserve">（标的名称） </w:t>
      </w:r>
      <w:r>
        <w:rPr>
          <w:rStyle w:val="40"/>
          <w:rFonts w:hint="eastAsia" w:ascii="宋体" w:hAnsi="宋体" w:eastAsia="宋体" w:cs="宋体"/>
          <w:color w:val="auto"/>
          <w:kern w:val="0"/>
          <w:sz w:val="21"/>
          <w:szCs w:val="21"/>
          <w:highlight w:val="none"/>
        </w:rPr>
        <w:t xml:space="preserve">，属于 </w:t>
      </w:r>
      <w:r>
        <w:rPr>
          <w:rStyle w:val="40"/>
          <w:rFonts w:hint="eastAsia" w:ascii="宋体" w:hAnsi="宋体" w:eastAsia="宋体" w:cs="宋体"/>
          <w:color w:val="auto"/>
          <w:kern w:val="0"/>
          <w:sz w:val="21"/>
          <w:szCs w:val="21"/>
          <w:highlight w:val="none"/>
          <w:u w:val="single" w:color="000000"/>
        </w:rPr>
        <w:t xml:space="preserve">（招标文件中明确的所属行业） </w:t>
      </w:r>
      <w:r>
        <w:rPr>
          <w:rStyle w:val="40"/>
          <w:rFonts w:hint="eastAsia" w:ascii="宋体" w:hAnsi="宋体" w:eastAsia="宋体" w:cs="宋体"/>
          <w:color w:val="auto"/>
          <w:kern w:val="0"/>
          <w:sz w:val="21"/>
          <w:szCs w:val="21"/>
          <w:highlight w:val="none"/>
        </w:rPr>
        <w:t>； 承接企业为</w:t>
      </w:r>
      <w:r>
        <w:rPr>
          <w:rStyle w:val="40"/>
          <w:rFonts w:hint="eastAsia" w:ascii="宋体" w:hAnsi="宋体" w:eastAsia="宋体" w:cs="宋体"/>
          <w:color w:val="auto"/>
          <w:kern w:val="0"/>
          <w:sz w:val="21"/>
          <w:szCs w:val="21"/>
          <w:highlight w:val="none"/>
          <w:u w:val="single" w:color="000000"/>
        </w:rPr>
        <w:t>（企业名称）</w:t>
      </w:r>
      <w:r>
        <w:rPr>
          <w:rStyle w:val="40"/>
          <w:rFonts w:hint="eastAsia" w:ascii="宋体" w:hAnsi="宋体" w:eastAsia="宋体" w:cs="宋体"/>
          <w:color w:val="auto"/>
          <w:kern w:val="0"/>
          <w:sz w:val="21"/>
          <w:szCs w:val="21"/>
          <w:highlight w:val="none"/>
        </w:rPr>
        <w:t>，从业人员</w:t>
      </w:r>
      <w:r>
        <w:rPr>
          <w:rStyle w:val="40"/>
          <w:rFonts w:hint="eastAsia" w:ascii="宋体" w:hAnsi="宋体" w:eastAsia="宋体" w:cs="宋体"/>
          <w:color w:val="auto"/>
          <w:kern w:val="0"/>
          <w:sz w:val="21"/>
          <w:szCs w:val="21"/>
          <w:highlight w:val="none"/>
          <w:u w:val="single" w:color="000000"/>
        </w:rPr>
        <w:t xml:space="preserve">    </w:t>
      </w:r>
      <w:r>
        <w:rPr>
          <w:rStyle w:val="40"/>
          <w:rFonts w:hint="eastAsia" w:ascii="宋体" w:hAnsi="宋体" w:eastAsia="宋体" w:cs="宋体"/>
          <w:color w:val="auto"/>
          <w:kern w:val="0"/>
          <w:sz w:val="21"/>
          <w:szCs w:val="21"/>
          <w:highlight w:val="none"/>
        </w:rPr>
        <w:t>人，营业收入为</w:t>
      </w:r>
      <w:r>
        <w:rPr>
          <w:rStyle w:val="40"/>
          <w:rFonts w:hint="eastAsia" w:ascii="宋体" w:hAnsi="宋体" w:eastAsia="宋体" w:cs="宋体"/>
          <w:color w:val="auto"/>
          <w:kern w:val="0"/>
          <w:sz w:val="21"/>
          <w:szCs w:val="21"/>
          <w:highlight w:val="none"/>
          <w:u w:val="single" w:color="000000"/>
        </w:rPr>
        <w:t xml:space="preserve">    </w:t>
      </w:r>
      <w:r>
        <w:rPr>
          <w:rStyle w:val="40"/>
          <w:rFonts w:hint="eastAsia" w:ascii="宋体" w:hAnsi="宋体" w:eastAsia="宋体" w:cs="宋体"/>
          <w:color w:val="auto"/>
          <w:kern w:val="0"/>
          <w:sz w:val="21"/>
          <w:szCs w:val="21"/>
          <w:highlight w:val="none"/>
        </w:rPr>
        <w:t>万元，资产总额为</w:t>
      </w:r>
      <w:r>
        <w:rPr>
          <w:rStyle w:val="40"/>
          <w:rFonts w:hint="eastAsia" w:ascii="宋体" w:hAnsi="宋体" w:eastAsia="宋体" w:cs="宋体"/>
          <w:color w:val="auto"/>
          <w:kern w:val="0"/>
          <w:sz w:val="21"/>
          <w:szCs w:val="21"/>
          <w:highlight w:val="none"/>
          <w:u w:val="single" w:color="000000"/>
        </w:rPr>
        <w:t xml:space="preserve">    </w:t>
      </w:r>
      <w:r>
        <w:rPr>
          <w:rStyle w:val="40"/>
          <w:rFonts w:hint="eastAsia" w:ascii="宋体" w:hAnsi="宋体" w:eastAsia="宋体" w:cs="宋体"/>
          <w:color w:val="auto"/>
          <w:kern w:val="0"/>
          <w:sz w:val="21"/>
          <w:szCs w:val="21"/>
          <w:highlight w:val="none"/>
        </w:rPr>
        <w:t>万元，属于</w:t>
      </w:r>
      <w:r>
        <w:rPr>
          <w:rStyle w:val="40"/>
          <w:rFonts w:hint="eastAsia" w:ascii="宋体" w:hAnsi="宋体" w:eastAsia="宋体" w:cs="宋体"/>
          <w:color w:val="auto"/>
          <w:kern w:val="0"/>
          <w:sz w:val="21"/>
          <w:szCs w:val="21"/>
          <w:highlight w:val="none"/>
          <w:u w:val="single" w:color="000000"/>
        </w:rPr>
        <w:t>（中型企业、 小型企业、微型企业）</w:t>
      </w:r>
      <w:r>
        <w:rPr>
          <w:rStyle w:val="40"/>
          <w:rFonts w:hint="eastAsia" w:ascii="宋体" w:hAnsi="宋体" w:eastAsia="宋体" w:cs="宋体"/>
          <w:color w:val="auto"/>
          <w:kern w:val="0"/>
          <w:sz w:val="21"/>
          <w:szCs w:val="21"/>
          <w:highlight w:val="none"/>
        </w:rPr>
        <w:t xml:space="preserve">； </w:t>
      </w:r>
    </w:p>
    <w:p w14:paraId="14136920">
      <w:pPr>
        <w:keepNext w:val="0"/>
        <w:keepLines w:val="0"/>
        <w:pageBreakBefore w:val="0"/>
        <w:widowControl w:val="0"/>
        <w:kinsoku/>
        <w:wordWrap/>
        <w:overflowPunct/>
        <w:topLinePunct w:val="0"/>
        <w:autoSpaceDE/>
        <w:autoSpaceDN/>
        <w:bidi w:val="0"/>
        <w:adjustRightInd/>
        <w:snapToGrid/>
        <w:spacing w:line="360" w:lineRule="exact"/>
        <w:ind w:firstLine="482"/>
        <w:jc w:val="left"/>
        <w:textAlignment w:val="auto"/>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以上企业，不属于大企业的分支机构，不存在控股股东 为大企业的情形，也不存在与大企业的负责人为同一人的情形。</w:t>
      </w:r>
    </w:p>
    <w:p w14:paraId="361C2F37">
      <w:pPr>
        <w:keepNext w:val="0"/>
        <w:keepLines w:val="0"/>
        <w:pageBreakBefore w:val="0"/>
        <w:widowControl w:val="0"/>
        <w:kinsoku/>
        <w:wordWrap/>
        <w:overflowPunct/>
        <w:topLinePunct w:val="0"/>
        <w:autoSpaceDE/>
        <w:autoSpaceDN/>
        <w:bidi w:val="0"/>
        <w:adjustRightInd/>
        <w:snapToGrid/>
        <w:spacing w:line="360" w:lineRule="exact"/>
        <w:ind w:firstLine="482"/>
        <w:jc w:val="left"/>
        <w:textAlignment w:val="auto"/>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 xml:space="preserve">本企业对上述声明内容的真实性负责。如有虚假，将依法承担相应责任。 </w:t>
      </w:r>
    </w:p>
    <w:p w14:paraId="0260433D">
      <w:pPr>
        <w:keepNext w:val="0"/>
        <w:keepLines w:val="0"/>
        <w:pageBreakBefore w:val="0"/>
        <w:widowControl w:val="0"/>
        <w:kinsoku/>
        <w:wordWrap/>
        <w:overflowPunct/>
        <w:topLinePunct w:val="0"/>
        <w:autoSpaceDE/>
        <w:autoSpaceDN/>
        <w:bidi w:val="0"/>
        <w:adjustRightInd/>
        <w:snapToGrid/>
        <w:spacing w:line="360" w:lineRule="exact"/>
        <w:ind w:firstLine="482"/>
        <w:jc w:val="left"/>
        <w:textAlignment w:val="auto"/>
        <w:rPr>
          <w:rStyle w:val="40"/>
          <w:rFonts w:hint="eastAsia" w:ascii="宋体" w:hAnsi="宋体" w:eastAsia="宋体" w:cs="宋体"/>
          <w:color w:val="auto"/>
          <w:kern w:val="0"/>
          <w:sz w:val="21"/>
          <w:szCs w:val="21"/>
          <w:highlight w:val="none"/>
        </w:rPr>
      </w:pPr>
    </w:p>
    <w:p w14:paraId="3FE525C2">
      <w:pPr>
        <w:widowControl/>
        <w:ind w:firstLine="3990" w:firstLineChars="1900"/>
        <w:jc w:val="left"/>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eastAsia="zh-CN"/>
        </w:rPr>
        <w:t>供应商</w:t>
      </w:r>
      <w:r>
        <w:rPr>
          <w:rFonts w:hint="eastAsia" w:ascii="宋体" w:hAnsi="宋体" w:eastAsia="宋体" w:cs="宋体"/>
          <w:color w:val="auto"/>
          <w:sz w:val="21"/>
          <w:szCs w:val="21"/>
          <w:highlight w:val="none"/>
          <w:lang w:val="en-US" w:eastAsia="zh-CN"/>
        </w:rPr>
        <w:t>[</w:t>
      </w:r>
      <w:r>
        <w:rPr>
          <w:rFonts w:hint="eastAsia" w:ascii="宋体" w:hAnsi="宋体" w:eastAsia="宋体" w:cs="宋体"/>
          <w:color w:val="auto"/>
          <w:sz w:val="21"/>
          <w:szCs w:val="21"/>
          <w:highlight w:val="none"/>
        </w:rPr>
        <w:t>公章</w:t>
      </w:r>
      <w:r>
        <w:rPr>
          <w:rFonts w:hint="eastAsia" w:ascii="宋体" w:hAnsi="宋体" w:eastAsia="宋体" w:cs="宋体"/>
          <w:color w:val="auto"/>
          <w:sz w:val="21"/>
          <w:szCs w:val="21"/>
          <w:highlight w:val="none"/>
          <w:lang w:val="en-US" w:eastAsia="zh-CN"/>
        </w:rPr>
        <w:t>(CA签章)]</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u w:val="single"/>
        </w:rPr>
        <w:t xml:space="preserve">     </w:t>
      </w:r>
      <w:r>
        <w:rPr>
          <w:rFonts w:hint="eastAsia" w:ascii="宋体" w:hAnsi="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p>
    <w:p w14:paraId="3A3C62E9">
      <w:pPr>
        <w:pStyle w:val="11"/>
        <w:spacing w:line="300" w:lineRule="exact"/>
        <w:ind w:left="2940" w:leftChars="1400" w:firstLine="630" w:firstLineChars="300"/>
        <w:rPr>
          <w:rFonts w:hint="eastAsia" w:ascii="宋体" w:hAnsi="宋体" w:eastAsia="宋体" w:cs="宋体"/>
          <w:color w:val="auto"/>
          <w:sz w:val="21"/>
          <w:szCs w:val="21"/>
          <w:highlight w:val="none"/>
        </w:rPr>
      </w:pPr>
    </w:p>
    <w:p w14:paraId="742850FB">
      <w:pPr>
        <w:keepNext w:val="0"/>
        <w:keepLines w:val="0"/>
        <w:pageBreakBefore w:val="0"/>
        <w:widowControl w:val="0"/>
        <w:numPr>
          <w:ilvl w:val="0"/>
          <w:numId w:val="0"/>
        </w:numPr>
        <w:kinsoku/>
        <w:wordWrap/>
        <w:overflowPunct/>
        <w:topLinePunct w:val="0"/>
        <w:autoSpaceDE/>
        <w:autoSpaceDN/>
        <w:bidi w:val="0"/>
        <w:adjustRightInd/>
        <w:snapToGrid/>
        <w:spacing w:line="340" w:lineRule="exact"/>
        <w:ind w:left="420" w:leftChars="0" w:firstLine="3570" w:firstLineChars="1700"/>
        <w:jc w:val="both"/>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日     期：</w:t>
      </w:r>
      <w:r>
        <w:rPr>
          <w:rFonts w:hint="eastAsia" w:ascii="宋体" w:hAnsi="宋体" w:eastAsia="宋体" w:cs="宋体"/>
          <w:color w:val="auto"/>
          <w:sz w:val="21"/>
          <w:szCs w:val="21"/>
          <w:highlight w:val="none"/>
          <w:u w:val="single"/>
        </w:rPr>
        <w:t xml:space="preserve">                         </w:t>
      </w:r>
    </w:p>
    <w:p w14:paraId="0E121991">
      <w:pPr>
        <w:keepNext w:val="0"/>
        <w:keepLines w:val="0"/>
        <w:pageBreakBefore w:val="0"/>
        <w:widowControl w:val="0"/>
        <w:kinsoku/>
        <w:wordWrap/>
        <w:overflowPunct/>
        <w:topLinePunct w:val="0"/>
        <w:autoSpaceDE/>
        <w:autoSpaceDN/>
        <w:bidi w:val="0"/>
        <w:adjustRightInd/>
        <w:snapToGrid/>
        <w:spacing w:line="360" w:lineRule="exact"/>
        <w:ind w:firstLine="482"/>
        <w:jc w:val="left"/>
        <w:textAlignment w:val="auto"/>
        <w:rPr>
          <w:rStyle w:val="40"/>
          <w:rFonts w:hint="eastAsia" w:ascii="宋体" w:hAnsi="宋体" w:eastAsia="宋体" w:cs="宋体"/>
          <w:color w:val="auto"/>
          <w:kern w:val="0"/>
          <w:sz w:val="21"/>
          <w:szCs w:val="21"/>
          <w:highlight w:val="none"/>
        </w:rPr>
      </w:pPr>
    </w:p>
    <w:p w14:paraId="4F2BB51E">
      <w:pPr>
        <w:pStyle w:val="16"/>
        <w:rPr>
          <w:rFonts w:hint="eastAsia" w:ascii="宋体" w:hAnsi="宋体" w:eastAsia="宋体" w:cs="宋体"/>
          <w:b/>
          <w:color w:val="auto"/>
          <w:sz w:val="21"/>
          <w:szCs w:val="21"/>
          <w:highlight w:val="none"/>
        </w:rPr>
      </w:pPr>
    </w:p>
    <w:p w14:paraId="6275BA8E">
      <w:pPr>
        <w:pStyle w:val="16"/>
        <w:rPr>
          <w:rFonts w:hint="eastAsia" w:ascii="宋体" w:hAnsi="宋体" w:eastAsia="宋体" w:cs="宋体"/>
          <w:b/>
          <w:color w:val="auto"/>
          <w:sz w:val="21"/>
          <w:szCs w:val="21"/>
          <w:highlight w:val="none"/>
        </w:rPr>
      </w:pPr>
    </w:p>
    <w:p w14:paraId="39EF3A98">
      <w:pPr>
        <w:pStyle w:val="16"/>
        <w:rPr>
          <w:rFonts w:hint="eastAsia" w:ascii="宋体" w:hAnsi="宋体" w:eastAsia="宋体" w:cs="宋体"/>
          <w:b/>
          <w:color w:val="auto"/>
          <w:sz w:val="21"/>
          <w:szCs w:val="21"/>
          <w:highlight w:val="none"/>
        </w:rPr>
      </w:pPr>
    </w:p>
    <w:p w14:paraId="79BF2EBE">
      <w:pPr>
        <w:pStyle w:val="16"/>
        <w:rPr>
          <w:rFonts w:hint="eastAsia" w:ascii="宋体" w:hAnsi="宋体" w:eastAsia="宋体" w:cs="宋体"/>
          <w:b/>
          <w:color w:val="auto"/>
          <w:sz w:val="21"/>
          <w:szCs w:val="21"/>
          <w:highlight w:val="none"/>
        </w:rPr>
      </w:pPr>
    </w:p>
    <w:p w14:paraId="1B5F61BA">
      <w:pPr>
        <w:pStyle w:val="16"/>
        <w:rPr>
          <w:rFonts w:hint="eastAsia" w:ascii="宋体" w:hAnsi="宋体" w:eastAsia="宋体" w:cs="宋体"/>
          <w:b/>
          <w:color w:val="auto"/>
          <w:sz w:val="21"/>
          <w:szCs w:val="21"/>
          <w:highlight w:val="none"/>
        </w:rPr>
      </w:pPr>
    </w:p>
    <w:p w14:paraId="767ED0F7">
      <w:pPr>
        <w:pStyle w:val="16"/>
        <w:rPr>
          <w:rFonts w:hint="eastAsia" w:ascii="宋体" w:hAnsi="宋体" w:eastAsia="宋体" w:cs="宋体"/>
          <w:b/>
          <w:color w:val="auto"/>
          <w:sz w:val="21"/>
          <w:szCs w:val="21"/>
          <w:highlight w:val="none"/>
        </w:rPr>
      </w:pPr>
    </w:p>
    <w:p w14:paraId="1D705B63">
      <w:pPr>
        <w:pStyle w:val="16"/>
        <w:rPr>
          <w:rFonts w:hint="eastAsia" w:ascii="宋体" w:hAnsi="宋体" w:eastAsia="宋体" w:cs="宋体"/>
          <w:b/>
          <w:color w:val="auto"/>
          <w:sz w:val="21"/>
          <w:szCs w:val="21"/>
          <w:highlight w:val="none"/>
        </w:rPr>
      </w:pPr>
    </w:p>
    <w:p w14:paraId="4075D357">
      <w:pPr>
        <w:pStyle w:val="16"/>
        <w:rPr>
          <w:rFonts w:hint="eastAsia" w:ascii="宋体" w:hAnsi="宋体" w:eastAsia="宋体" w:cs="宋体"/>
          <w:b/>
          <w:color w:val="auto"/>
          <w:sz w:val="21"/>
          <w:szCs w:val="21"/>
          <w:highlight w:val="none"/>
        </w:rPr>
      </w:pPr>
    </w:p>
    <w:p w14:paraId="122DEE83">
      <w:pPr>
        <w:pStyle w:val="16"/>
        <w:rPr>
          <w:rFonts w:hint="eastAsia" w:ascii="宋体" w:hAnsi="宋体" w:eastAsia="宋体" w:cs="宋体"/>
          <w:b/>
          <w:color w:val="auto"/>
          <w:sz w:val="21"/>
          <w:szCs w:val="21"/>
          <w:highlight w:val="none"/>
        </w:rPr>
      </w:pPr>
    </w:p>
    <w:p w14:paraId="4F97A493">
      <w:pPr>
        <w:pStyle w:val="16"/>
        <w:rPr>
          <w:rFonts w:hint="eastAsia" w:ascii="宋体" w:hAnsi="宋体" w:eastAsia="宋体" w:cs="宋体"/>
          <w:b/>
          <w:color w:val="auto"/>
          <w:sz w:val="21"/>
          <w:szCs w:val="21"/>
          <w:highlight w:val="none"/>
        </w:rPr>
      </w:pPr>
    </w:p>
    <w:p w14:paraId="05D3A49C">
      <w:pPr>
        <w:pStyle w:val="16"/>
        <w:rPr>
          <w:rFonts w:hint="eastAsia" w:ascii="宋体" w:hAnsi="宋体" w:eastAsia="宋体" w:cs="宋体"/>
          <w:b/>
          <w:bCs/>
          <w:color w:val="auto"/>
          <w:sz w:val="21"/>
          <w:szCs w:val="21"/>
          <w:highlight w:val="none"/>
        </w:rPr>
      </w:pPr>
      <w:r>
        <w:rPr>
          <w:rFonts w:hint="eastAsia" w:ascii="宋体" w:hAnsi="宋体" w:eastAsia="宋体" w:cs="宋体"/>
          <w:b/>
          <w:color w:val="auto"/>
          <w:sz w:val="21"/>
          <w:szCs w:val="21"/>
          <w:highlight w:val="none"/>
        </w:rPr>
        <w:t>备注：供应商应按照</w:t>
      </w:r>
      <w:r>
        <w:rPr>
          <w:rFonts w:hint="eastAsia" w:ascii="宋体" w:hAnsi="宋体" w:eastAsia="宋体" w:cs="宋体"/>
          <w:b/>
          <w:color w:val="auto"/>
          <w:sz w:val="21"/>
          <w:szCs w:val="21"/>
          <w:highlight w:val="none"/>
          <w:lang w:val="en-US" w:eastAsia="zh-CN"/>
        </w:rPr>
        <w:t>中小微型企业划分标准按照《国家统计局关于印发《统计上大中小微型企业划分办法〔2017〕》的通知》（国统字〔2017〕213号）</w:t>
      </w:r>
      <w:r>
        <w:rPr>
          <w:rFonts w:hint="eastAsia" w:ascii="宋体" w:hAnsi="宋体" w:eastAsia="宋体" w:cs="宋体"/>
          <w:b/>
          <w:color w:val="auto"/>
          <w:sz w:val="21"/>
          <w:szCs w:val="21"/>
          <w:highlight w:val="none"/>
        </w:rPr>
        <w:t>的划分标准进行如实申明，如提供虚假申明应依法承担相应法律责任。如成交人为小型和微型企业的，</w:t>
      </w:r>
      <w:r>
        <w:rPr>
          <w:rFonts w:hint="eastAsia" w:ascii="宋体" w:hAnsi="宋体" w:eastAsia="宋体" w:cs="宋体"/>
          <w:b/>
          <w:color w:val="auto"/>
          <w:sz w:val="21"/>
          <w:szCs w:val="21"/>
          <w:highlight w:val="none"/>
          <w:lang w:val="en-US" w:eastAsia="zh-CN"/>
        </w:rPr>
        <w:t>成交</w:t>
      </w:r>
      <w:r>
        <w:rPr>
          <w:rFonts w:hint="eastAsia" w:ascii="宋体" w:hAnsi="宋体" w:eastAsia="宋体" w:cs="宋体"/>
          <w:b/>
          <w:color w:val="auto"/>
          <w:sz w:val="21"/>
          <w:szCs w:val="21"/>
          <w:highlight w:val="none"/>
        </w:rPr>
        <w:t>结果将同时公告（或成交人的《中小企业声明函》，接受社会监督。</w:t>
      </w:r>
    </w:p>
    <w:p w14:paraId="7584E503">
      <w:pPr>
        <w:rPr>
          <w:rStyle w:val="40"/>
          <w:rFonts w:hint="eastAsia" w:ascii="宋体" w:hAnsi="宋体" w:eastAsia="宋体" w:cs="宋体"/>
          <w:b/>
          <w:bCs/>
          <w:color w:val="auto"/>
          <w:sz w:val="21"/>
          <w:szCs w:val="21"/>
          <w:highlight w:val="none"/>
        </w:rPr>
      </w:pPr>
      <w:r>
        <w:rPr>
          <w:rStyle w:val="40"/>
          <w:rFonts w:hint="eastAsia" w:ascii="宋体" w:hAnsi="宋体" w:eastAsia="宋体" w:cs="宋体"/>
          <w:b/>
          <w:bCs/>
          <w:color w:val="auto"/>
          <w:sz w:val="21"/>
          <w:szCs w:val="21"/>
          <w:highlight w:val="none"/>
        </w:rPr>
        <w:t>附表</w:t>
      </w:r>
    </w:p>
    <w:p w14:paraId="7F86BCAE">
      <w:pPr>
        <w:spacing w:before="120" w:after="120" w:line="400" w:lineRule="exact"/>
        <w:jc w:val="center"/>
        <w:rPr>
          <w:rStyle w:val="40"/>
          <w:rFonts w:hint="eastAsia" w:ascii="宋体" w:hAnsi="宋体" w:eastAsia="宋体" w:cs="宋体"/>
          <w:b/>
          <w:bCs/>
          <w:color w:val="auto"/>
          <w:kern w:val="0"/>
          <w:sz w:val="21"/>
          <w:szCs w:val="21"/>
          <w:highlight w:val="none"/>
        </w:rPr>
      </w:pPr>
      <w:r>
        <w:rPr>
          <w:rStyle w:val="40"/>
          <w:rFonts w:hint="eastAsia" w:ascii="宋体" w:hAnsi="宋体" w:eastAsia="宋体" w:cs="宋体"/>
          <w:b/>
          <w:bCs/>
          <w:color w:val="auto"/>
          <w:kern w:val="0"/>
          <w:sz w:val="21"/>
          <w:szCs w:val="21"/>
          <w:highlight w:val="none"/>
        </w:rPr>
        <w:t>统计上大中小微型企业划分标准</w:t>
      </w:r>
    </w:p>
    <w:tbl>
      <w:tblPr>
        <w:tblStyle w:val="18"/>
        <w:tblW w:w="9435"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113"/>
        <w:gridCol w:w="1369"/>
        <w:gridCol w:w="709"/>
        <w:gridCol w:w="1125"/>
        <w:gridCol w:w="1701"/>
        <w:gridCol w:w="1426"/>
        <w:gridCol w:w="992"/>
      </w:tblGrid>
      <w:tr w14:paraId="0974A3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exact"/>
          <w:tblHeader/>
        </w:trPr>
        <w:tc>
          <w:tcPr>
            <w:tcW w:w="2113" w:type="dxa"/>
            <w:tcBorders>
              <w:top w:val="single" w:color="000000" w:sz="4" w:space="0"/>
              <w:left w:val="single" w:color="000000" w:sz="4" w:space="0"/>
              <w:bottom w:val="single" w:color="000000" w:sz="4" w:space="0"/>
              <w:right w:val="single" w:color="000000" w:sz="4" w:space="0"/>
            </w:tcBorders>
            <w:shd w:val="clear" w:color="auto" w:fill="8DB3E2"/>
            <w:vAlign w:val="center"/>
          </w:tcPr>
          <w:p w14:paraId="0167AE39">
            <w:pPr>
              <w:spacing w:line="240" w:lineRule="exact"/>
              <w:jc w:val="center"/>
              <w:rPr>
                <w:rStyle w:val="40"/>
                <w:rFonts w:hint="eastAsia" w:ascii="宋体" w:hAnsi="宋体" w:eastAsia="宋体" w:cs="宋体"/>
                <w:b/>
                <w:bCs/>
                <w:color w:val="auto"/>
                <w:kern w:val="0"/>
                <w:sz w:val="21"/>
                <w:szCs w:val="21"/>
                <w:highlight w:val="none"/>
              </w:rPr>
            </w:pPr>
            <w:r>
              <w:rPr>
                <w:rStyle w:val="40"/>
                <w:rFonts w:hint="eastAsia" w:ascii="宋体" w:hAnsi="宋体" w:eastAsia="宋体" w:cs="宋体"/>
                <w:b/>
                <w:bCs/>
                <w:color w:val="auto"/>
                <w:kern w:val="0"/>
                <w:sz w:val="21"/>
                <w:szCs w:val="21"/>
                <w:highlight w:val="none"/>
              </w:rPr>
              <w:t>行业名称</w:t>
            </w:r>
          </w:p>
        </w:tc>
        <w:tc>
          <w:tcPr>
            <w:tcW w:w="1369" w:type="dxa"/>
            <w:tcBorders>
              <w:top w:val="single" w:color="000000" w:sz="4" w:space="0"/>
              <w:left w:val="single" w:color="000000" w:sz="4" w:space="0"/>
              <w:bottom w:val="single" w:color="000000" w:sz="4" w:space="0"/>
              <w:right w:val="single" w:color="000000" w:sz="4" w:space="0"/>
            </w:tcBorders>
            <w:shd w:val="clear" w:color="auto" w:fill="8DB3E2"/>
            <w:vAlign w:val="center"/>
          </w:tcPr>
          <w:p w14:paraId="3E4C09C7">
            <w:pPr>
              <w:jc w:val="center"/>
              <w:rPr>
                <w:rStyle w:val="40"/>
                <w:rFonts w:hint="eastAsia" w:ascii="宋体" w:hAnsi="宋体" w:eastAsia="宋体" w:cs="宋体"/>
                <w:b/>
                <w:bCs/>
                <w:color w:val="auto"/>
                <w:kern w:val="0"/>
                <w:sz w:val="21"/>
                <w:szCs w:val="21"/>
                <w:highlight w:val="none"/>
              </w:rPr>
            </w:pPr>
            <w:r>
              <w:rPr>
                <w:rStyle w:val="40"/>
                <w:rFonts w:hint="eastAsia" w:ascii="宋体" w:hAnsi="宋体" w:eastAsia="宋体" w:cs="宋体"/>
                <w:b/>
                <w:bCs/>
                <w:color w:val="auto"/>
                <w:kern w:val="0"/>
                <w:sz w:val="21"/>
                <w:szCs w:val="21"/>
                <w:highlight w:val="none"/>
              </w:rPr>
              <w:t>指标名称</w:t>
            </w:r>
          </w:p>
        </w:tc>
        <w:tc>
          <w:tcPr>
            <w:tcW w:w="709" w:type="dxa"/>
            <w:tcBorders>
              <w:top w:val="single" w:color="000000" w:sz="4" w:space="0"/>
              <w:left w:val="single" w:color="000000" w:sz="4" w:space="0"/>
              <w:bottom w:val="single" w:color="000000" w:sz="4" w:space="0"/>
              <w:right w:val="single" w:color="000000" w:sz="4" w:space="0"/>
            </w:tcBorders>
            <w:shd w:val="clear" w:color="auto" w:fill="8DB3E2"/>
            <w:vAlign w:val="center"/>
          </w:tcPr>
          <w:p w14:paraId="1683DF0E">
            <w:pPr>
              <w:jc w:val="center"/>
              <w:rPr>
                <w:rStyle w:val="40"/>
                <w:rFonts w:hint="eastAsia" w:ascii="宋体" w:hAnsi="宋体" w:eastAsia="宋体" w:cs="宋体"/>
                <w:b/>
                <w:bCs/>
                <w:color w:val="auto"/>
                <w:kern w:val="0"/>
                <w:sz w:val="21"/>
                <w:szCs w:val="21"/>
                <w:highlight w:val="none"/>
                <w:lang w:eastAsia="zh-CN"/>
              </w:rPr>
            </w:pPr>
            <w:r>
              <w:rPr>
                <w:rStyle w:val="40"/>
                <w:rFonts w:hint="eastAsia" w:ascii="宋体" w:hAnsi="宋体" w:eastAsia="宋体" w:cs="宋体"/>
                <w:b/>
                <w:bCs/>
                <w:color w:val="auto"/>
                <w:kern w:val="0"/>
                <w:sz w:val="21"/>
                <w:szCs w:val="21"/>
                <w:highlight w:val="none"/>
              </w:rPr>
              <w:t>计量</w:t>
            </w:r>
          </w:p>
          <w:p w14:paraId="5F96F323">
            <w:pPr>
              <w:jc w:val="center"/>
              <w:rPr>
                <w:rStyle w:val="40"/>
                <w:rFonts w:hint="eastAsia" w:ascii="宋体" w:hAnsi="宋体" w:eastAsia="宋体" w:cs="宋体"/>
                <w:b/>
                <w:bCs/>
                <w:color w:val="auto"/>
                <w:kern w:val="0"/>
                <w:sz w:val="21"/>
                <w:szCs w:val="21"/>
                <w:highlight w:val="none"/>
              </w:rPr>
            </w:pPr>
            <w:r>
              <w:rPr>
                <w:rStyle w:val="40"/>
                <w:rFonts w:hint="eastAsia" w:ascii="宋体" w:hAnsi="宋体" w:eastAsia="宋体" w:cs="宋体"/>
                <w:b/>
                <w:bCs/>
                <w:color w:val="auto"/>
                <w:kern w:val="0"/>
                <w:sz w:val="21"/>
                <w:szCs w:val="21"/>
                <w:highlight w:val="none"/>
              </w:rPr>
              <w:t>单位</w:t>
            </w:r>
          </w:p>
        </w:tc>
        <w:tc>
          <w:tcPr>
            <w:tcW w:w="1125" w:type="dxa"/>
            <w:tcBorders>
              <w:top w:val="single" w:color="000000" w:sz="4" w:space="0"/>
              <w:left w:val="single" w:color="000000" w:sz="4" w:space="0"/>
              <w:bottom w:val="single" w:color="000000" w:sz="4" w:space="0"/>
              <w:right w:val="single" w:color="000000" w:sz="4" w:space="0"/>
            </w:tcBorders>
            <w:shd w:val="clear" w:color="auto" w:fill="8DB3E2"/>
            <w:vAlign w:val="center"/>
          </w:tcPr>
          <w:p w14:paraId="12FF1352">
            <w:pPr>
              <w:jc w:val="center"/>
              <w:rPr>
                <w:rStyle w:val="40"/>
                <w:rFonts w:hint="eastAsia" w:ascii="宋体" w:hAnsi="宋体" w:eastAsia="宋体" w:cs="宋体"/>
                <w:b/>
                <w:bCs/>
                <w:color w:val="auto"/>
                <w:kern w:val="0"/>
                <w:sz w:val="21"/>
                <w:szCs w:val="21"/>
                <w:highlight w:val="none"/>
              </w:rPr>
            </w:pPr>
            <w:r>
              <w:rPr>
                <w:rStyle w:val="40"/>
                <w:rFonts w:hint="eastAsia" w:ascii="宋体" w:hAnsi="宋体" w:eastAsia="宋体" w:cs="宋体"/>
                <w:b/>
                <w:bCs/>
                <w:color w:val="auto"/>
                <w:kern w:val="0"/>
                <w:sz w:val="21"/>
                <w:szCs w:val="21"/>
                <w:highlight w:val="none"/>
              </w:rPr>
              <w:t>大型</w:t>
            </w:r>
          </w:p>
        </w:tc>
        <w:tc>
          <w:tcPr>
            <w:tcW w:w="1701" w:type="dxa"/>
            <w:tcBorders>
              <w:top w:val="single" w:color="000000" w:sz="4" w:space="0"/>
              <w:left w:val="single" w:color="000000" w:sz="4" w:space="0"/>
              <w:bottom w:val="single" w:color="000000" w:sz="4" w:space="0"/>
              <w:right w:val="single" w:color="000000" w:sz="4" w:space="0"/>
            </w:tcBorders>
            <w:shd w:val="clear" w:color="auto" w:fill="8DB3E2"/>
            <w:vAlign w:val="center"/>
          </w:tcPr>
          <w:p w14:paraId="16065512">
            <w:pPr>
              <w:jc w:val="center"/>
              <w:rPr>
                <w:rStyle w:val="40"/>
                <w:rFonts w:hint="eastAsia" w:ascii="宋体" w:hAnsi="宋体" w:eastAsia="宋体" w:cs="宋体"/>
                <w:b/>
                <w:bCs/>
                <w:color w:val="auto"/>
                <w:kern w:val="0"/>
                <w:sz w:val="21"/>
                <w:szCs w:val="21"/>
                <w:highlight w:val="none"/>
              </w:rPr>
            </w:pPr>
            <w:r>
              <w:rPr>
                <w:rStyle w:val="40"/>
                <w:rFonts w:hint="eastAsia" w:ascii="宋体" w:hAnsi="宋体" w:eastAsia="宋体" w:cs="宋体"/>
                <w:b/>
                <w:bCs/>
                <w:color w:val="auto"/>
                <w:kern w:val="0"/>
                <w:sz w:val="21"/>
                <w:szCs w:val="21"/>
                <w:highlight w:val="none"/>
              </w:rPr>
              <w:t>中型</w:t>
            </w:r>
          </w:p>
        </w:tc>
        <w:tc>
          <w:tcPr>
            <w:tcW w:w="1426" w:type="dxa"/>
            <w:tcBorders>
              <w:top w:val="single" w:color="000000" w:sz="4" w:space="0"/>
              <w:left w:val="single" w:color="000000" w:sz="4" w:space="0"/>
              <w:bottom w:val="single" w:color="000000" w:sz="4" w:space="0"/>
              <w:right w:val="single" w:color="000000" w:sz="4" w:space="0"/>
            </w:tcBorders>
            <w:shd w:val="clear" w:color="auto" w:fill="8DB3E2"/>
            <w:vAlign w:val="center"/>
          </w:tcPr>
          <w:p w14:paraId="456176E9">
            <w:pPr>
              <w:jc w:val="center"/>
              <w:rPr>
                <w:rStyle w:val="40"/>
                <w:rFonts w:hint="eastAsia" w:ascii="宋体" w:hAnsi="宋体" w:eastAsia="宋体" w:cs="宋体"/>
                <w:b/>
                <w:bCs/>
                <w:color w:val="auto"/>
                <w:kern w:val="0"/>
                <w:sz w:val="21"/>
                <w:szCs w:val="21"/>
                <w:highlight w:val="none"/>
              </w:rPr>
            </w:pPr>
            <w:r>
              <w:rPr>
                <w:rStyle w:val="40"/>
                <w:rFonts w:hint="eastAsia" w:ascii="宋体" w:hAnsi="宋体" w:eastAsia="宋体" w:cs="宋体"/>
                <w:b/>
                <w:bCs/>
                <w:color w:val="auto"/>
                <w:kern w:val="0"/>
                <w:sz w:val="21"/>
                <w:szCs w:val="21"/>
                <w:highlight w:val="none"/>
              </w:rPr>
              <w:t>小型</w:t>
            </w:r>
          </w:p>
        </w:tc>
        <w:tc>
          <w:tcPr>
            <w:tcW w:w="992" w:type="dxa"/>
            <w:tcBorders>
              <w:top w:val="single" w:color="000000" w:sz="4" w:space="0"/>
              <w:left w:val="single" w:color="000000" w:sz="4" w:space="0"/>
              <w:bottom w:val="single" w:color="000000" w:sz="4" w:space="0"/>
              <w:right w:val="single" w:color="000000" w:sz="4" w:space="0"/>
            </w:tcBorders>
            <w:shd w:val="clear" w:color="auto" w:fill="8DB3E2"/>
            <w:vAlign w:val="center"/>
          </w:tcPr>
          <w:p w14:paraId="40E814B8">
            <w:pPr>
              <w:jc w:val="center"/>
              <w:rPr>
                <w:rStyle w:val="40"/>
                <w:rFonts w:hint="eastAsia" w:ascii="宋体" w:hAnsi="宋体" w:eastAsia="宋体" w:cs="宋体"/>
                <w:b/>
                <w:bCs/>
                <w:color w:val="auto"/>
                <w:kern w:val="0"/>
                <w:sz w:val="21"/>
                <w:szCs w:val="21"/>
                <w:highlight w:val="none"/>
              </w:rPr>
            </w:pPr>
            <w:r>
              <w:rPr>
                <w:rStyle w:val="40"/>
                <w:rFonts w:hint="eastAsia" w:ascii="宋体" w:hAnsi="宋体" w:eastAsia="宋体" w:cs="宋体"/>
                <w:b/>
                <w:bCs/>
                <w:color w:val="auto"/>
                <w:kern w:val="0"/>
                <w:sz w:val="21"/>
                <w:szCs w:val="21"/>
                <w:highlight w:val="none"/>
              </w:rPr>
              <w:t>微型</w:t>
            </w:r>
          </w:p>
        </w:tc>
      </w:tr>
      <w:tr w14:paraId="69683E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tcBorders>
              <w:top w:val="single" w:color="000000" w:sz="4" w:space="0"/>
              <w:left w:val="single" w:color="000000" w:sz="4" w:space="0"/>
              <w:bottom w:val="single" w:color="000000" w:sz="4" w:space="0"/>
              <w:right w:val="single" w:color="000000" w:sz="4" w:space="0"/>
            </w:tcBorders>
            <w:vAlign w:val="center"/>
          </w:tcPr>
          <w:p w14:paraId="5B046A83">
            <w:pPr>
              <w:spacing w:line="240" w:lineRule="exact"/>
              <w:jc w:val="left"/>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农、林、牧、渔业</w:t>
            </w:r>
          </w:p>
        </w:tc>
        <w:tc>
          <w:tcPr>
            <w:tcW w:w="1369" w:type="dxa"/>
            <w:tcBorders>
              <w:top w:val="single" w:color="000000" w:sz="4" w:space="0"/>
              <w:left w:val="single" w:color="000000" w:sz="4" w:space="0"/>
              <w:bottom w:val="single" w:color="000000" w:sz="4" w:space="0"/>
              <w:right w:val="single" w:color="000000" w:sz="4" w:space="0"/>
            </w:tcBorders>
            <w:vAlign w:val="center"/>
          </w:tcPr>
          <w:p w14:paraId="7B85B1D8">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营业收入(Y)</w:t>
            </w:r>
          </w:p>
        </w:tc>
        <w:tc>
          <w:tcPr>
            <w:tcW w:w="709" w:type="dxa"/>
            <w:tcBorders>
              <w:top w:val="single" w:color="000000" w:sz="4" w:space="0"/>
              <w:left w:val="single" w:color="000000" w:sz="4" w:space="0"/>
              <w:bottom w:val="single" w:color="000000" w:sz="4" w:space="0"/>
              <w:right w:val="single" w:color="000000" w:sz="4" w:space="0"/>
            </w:tcBorders>
            <w:vAlign w:val="center"/>
          </w:tcPr>
          <w:p w14:paraId="3C3E0F0D">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202DCCD1">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Y≥20000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1C8DEAFA">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500≤Y＜20000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333A1F84">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50≤Y＜500</w:t>
            </w:r>
          </w:p>
        </w:tc>
        <w:tc>
          <w:tcPr>
            <w:tcW w:w="992" w:type="dxa"/>
            <w:tcBorders>
              <w:top w:val="single" w:color="000000" w:sz="4" w:space="0"/>
              <w:left w:val="single" w:color="000000" w:sz="4" w:space="0"/>
              <w:bottom w:val="single" w:color="000000" w:sz="4" w:space="0"/>
              <w:right w:val="single" w:color="000000" w:sz="4" w:space="0"/>
            </w:tcBorders>
            <w:vAlign w:val="center"/>
          </w:tcPr>
          <w:p w14:paraId="513E8171">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Y＜50</w:t>
            </w:r>
          </w:p>
        </w:tc>
      </w:tr>
      <w:tr w14:paraId="31E348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restart"/>
            <w:tcBorders>
              <w:top w:val="single" w:color="000000" w:sz="4" w:space="0"/>
              <w:left w:val="single" w:color="000000" w:sz="4" w:space="0"/>
              <w:bottom w:val="single" w:color="000000" w:sz="4" w:space="0"/>
              <w:right w:val="single" w:color="000000" w:sz="4" w:space="0"/>
            </w:tcBorders>
            <w:vAlign w:val="center"/>
          </w:tcPr>
          <w:p w14:paraId="24F998F9">
            <w:pPr>
              <w:spacing w:line="240" w:lineRule="exact"/>
              <w:jc w:val="left"/>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工业 *</w:t>
            </w:r>
          </w:p>
        </w:tc>
        <w:tc>
          <w:tcPr>
            <w:tcW w:w="1369" w:type="dxa"/>
            <w:tcBorders>
              <w:top w:val="single" w:color="000000" w:sz="4" w:space="0"/>
              <w:left w:val="single" w:color="000000" w:sz="4" w:space="0"/>
              <w:bottom w:val="single" w:color="000000" w:sz="4" w:space="0"/>
              <w:right w:val="single" w:color="000000" w:sz="4" w:space="0"/>
            </w:tcBorders>
            <w:vAlign w:val="center"/>
          </w:tcPr>
          <w:p w14:paraId="068629F7">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从业人员(X)</w:t>
            </w:r>
          </w:p>
        </w:tc>
        <w:tc>
          <w:tcPr>
            <w:tcW w:w="709" w:type="dxa"/>
            <w:tcBorders>
              <w:top w:val="single" w:color="000000" w:sz="4" w:space="0"/>
              <w:left w:val="single" w:color="000000" w:sz="4" w:space="0"/>
              <w:bottom w:val="single" w:color="000000" w:sz="4" w:space="0"/>
              <w:right w:val="single" w:color="000000" w:sz="4" w:space="0"/>
            </w:tcBorders>
            <w:vAlign w:val="center"/>
          </w:tcPr>
          <w:p w14:paraId="6112D53A">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人</w:t>
            </w:r>
          </w:p>
        </w:tc>
        <w:tc>
          <w:tcPr>
            <w:tcW w:w="1125" w:type="dxa"/>
            <w:tcBorders>
              <w:top w:val="single" w:color="000000" w:sz="4" w:space="0"/>
              <w:left w:val="single" w:color="000000" w:sz="4" w:space="0"/>
              <w:bottom w:val="single" w:color="000000" w:sz="4" w:space="0"/>
              <w:right w:val="single" w:color="000000" w:sz="4" w:space="0"/>
            </w:tcBorders>
            <w:vAlign w:val="center"/>
          </w:tcPr>
          <w:p w14:paraId="1C307084">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X≥1000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01BFFCB8">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300≤X＜1000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5CD8CAF3">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20≤X＜300</w:t>
            </w:r>
          </w:p>
        </w:tc>
        <w:tc>
          <w:tcPr>
            <w:tcW w:w="992" w:type="dxa"/>
            <w:tcBorders>
              <w:top w:val="single" w:color="000000" w:sz="4" w:space="0"/>
              <w:left w:val="single" w:color="000000" w:sz="4" w:space="0"/>
              <w:bottom w:val="single" w:color="000000" w:sz="4" w:space="0"/>
              <w:right w:val="single" w:color="000000" w:sz="4" w:space="0"/>
            </w:tcBorders>
            <w:vAlign w:val="center"/>
          </w:tcPr>
          <w:p w14:paraId="0DAD9182">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X＜20</w:t>
            </w:r>
          </w:p>
        </w:tc>
      </w:tr>
      <w:tr w14:paraId="79E70E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continue"/>
            <w:tcBorders>
              <w:top w:val="single" w:color="000000" w:sz="4" w:space="0"/>
              <w:left w:val="single" w:color="000000" w:sz="4" w:space="0"/>
              <w:bottom w:val="single" w:color="000000" w:sz="4" w:space="0"/>
              <w:right w:val="single" w:color="000000" w:sz="4" w:space="0"/>
            </w:tcBorders>
            <w:vAlign w:val="center"/>
          </w:tcPr>
          <w:p w14:paraId="3212AFB6">
            <w:pPr>
              <w:jc w:val="left"/>
              <w:rPr>
                <w:rStyle w:val="40"/>
                <w:rFonts w:hint="eastAsia" w:ascii="宋体" w:hAnsi="宋体" w:eastAsia="宋体" w:cs="宋体"/>
                <w:color w:val="auto"/>
                <w:kern w:val="0"/>
                <w:sz w:val="21"/>
                <w:szCs w:val="21"/>
                <w:highlight w:val="none"/>
              </w:rPr>
            </w:pPr>
          </w:p>
        </w:tc>
        <w:tc>
          <w:tcPr>
            <w:tcW w:w="1369" w:type="dxa"/>
            <w:tcBorders>
              <w:top w:val="single" w:color="000000" w:sz="4" w:space="0"/>
              <w:left w:val="single" w:color="000000" w:sz="4" w:space="0"/>
              <w:bottom w:val="single" w:color="000000" w:sz="4" w:space="0"/>
              <w:right w:val="single" w:color="000000" w:sz="4" w:space="0"/>
            </w:tcBorders>
            <w:vAlign w:val="center"/>
          </w:tcPr>
          <w:p w14:paraId="0E15A600">
            <w:pPr>
              <w:spacing w:line="240" w:lineRule="exact"/>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营业收入(Y)</w:t>
            </w:r>
          </w:p>
        </w:tc>
        <w:tc>
          <w:tcPr>
            <w:tcW w:w="709" w:type="dxa"/>
            <w:tcBorders>
              <w:top w:val="single" w:color="000000" w:sz="4" w:space="0"/>
              <w:left w:val="single" w:color="000000" w:sz="4" w:space="0"/>
              <w:bottom w:val="single" w:color="000000" w:sz="4" w:space="0"/>
              <w:right w:val="single" w:color="000000" w:sz="4" w:space="0"/>
            </w:tcBorders>
            <w:vAlign w:val="center"/>
          </w:tcPr>
          <w:p w14:paraId="48F830D6">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5519819D">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Y≥40000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47708806">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2000≤Y＜40000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3AD57534">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300≤Y＜2000</w:t>
            </w:r>
          </w:p>
        </w:tc>
        <w:tc>
          <w:tcPr>
            <w:tcW w:w="992" w:type="dxa"/>
            <w:tcBorders>
              <w:top w:val="single" w:color="000000" w:sz="4" w:space="0"/>
              <w:left w:val="single" w:color="000000" w:sz="4" w:space="0"/>
              <w:bottom w:val="single" w:color="000000" w:sz="4" w:space="0"/>
              <w:right w:val="single" w:color="000000" w:sz="4" w:space="0"/>
            </w:tcBorders>
            <w:vAlign w:val="center"/>
          </w:tcPr>
          <w:p w14:paraId="38F488E4">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Y＜300</w:t>
            </w:r>
          </w:p>
        </w:tc>
      </w:tr>
      <w:tr w14:paraId="34494C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restart"/>
            <w:tcBorders>
              <w:top w:val="single" w:color="000000" w:sz="4" w:space="0"/>
              <w:left w:val="single" w:color="000000" w:sz="4" w:space="0"/>
              <w:bottom w:val="single" w:color="000000" w:sz="4" w:space="0"/>
              <w:right w:val="single" w:color="000000" w:sz="4" w:space="0"/>
            </w:tcBorders>
            <w:vAlign w:val="center"/>
          </w:tcPr>
          <w:p w14:paraId="74B52FC5">
            <w:pPr>
              <w:spacing w:line="240" w:lineRule="exact"/>
              <w:jc w:val="left"/>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建筑业</w:t>
            </w:r>
          </w:p>
        </w:tc>
        <w:tc>
          <w:tcPr>
            <w:tcW w:w="1369" w:type="dxa"/>
            <w:tcBorders>
              <w:top w:val="single" w:color="000000" w:sz="4" w:space="0"/>
              <w:left w:val="single" w:color="000000" w:sz="4" w:space="0"/>
              <w:bottom w:val="single" w:color="000000" w:sz="4" w:space="0"/>
              <w:right w:val="single" w:color="000000" w:sz="4" w:space="0"/>
            </w:tcBorders>
            <w:vAlign w:val="center"/>
          </w:tcPr>
          <w:p w14:paraId="5C3FE98C">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营业收入(Y)</w:t>
            </w:r>
          </w:p>
        </w:tc>
        <w:tc>
          <w:tcPr>
            <w:tcW w:w="709" w:type="dxa"/>
            <w:tcBorders>
              <w:top w:val="single" w:color="000000" w:sz="4" w:space="0"/>
              <w:left w:val="single" w:color="000000" w:sz="4" w:space="0"/>
              <w:bottom w:val="single" w:color="000000" w:sz="4" w:space="0"/>
              <w:right w:val="single" w:color="000000" w:sz="4" w:space="0"/>
            </w:tcBorders>
            <w:vAlign w:val="center"/>
          </w:tcPr>
          <w:p w14:paraId="37955704">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7CAC1292">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Y≥80000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20B7DE32">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6000≤Y＜80000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758721BF">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300≤Y＜6000</w:t>
            </w:r>
          </w:p>
        </w:tc>
        <w:tc>
          <w:tcPr>
            <w:tcW w:w="992" w:type="dxa"/>
            <w:tcBorders>
              <w:top w:val="single" w:color="000000" w:sz="4" w:space="0"/>
              <w:left w:val="single" w:color="000000" w:sz="4" w:space="0"/>
              <w:bottom w:val="single" w:color="000000" w:sz="4" w:space="0"/>
              <w:right w:val="single" w:color="000000" w:sz="4" w:space="0"/>
            </w:tcBorders>
            <w:vAlign w:val="center"/>
          </w:tcPr>
          <w:p w14:paraId="2380443A">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Y＜300</w:t>
            </w:r>
          </w:p>
        </w:tc>
      </w:tr>
      <w:tr w14:paraId="40CD8E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continue"/>
            <w:tcBorders>
              <w:top w:val="single" w:color="000000" w:sz="4" w:space="0"/>
              <w:left w:val="single" w:color="000000" w:sz="4" w:space="0"/>
              <w:bottom w:val="single" w:color="000000" w:sz="4" w:space="0"/>
              <w:right w:val="single" w:color="000000" w:sz="4" w:space="0"/>
            </w:tcBorders>
            <w:vAlign w:val="center"/>
          </w:tcPr>
          <w:p w14:paraId="251AD748">
            <w:pPr>
              <w:jc w:val="left"/>
              <w:rPr>
                <w:rStyle w:val="40"/>
                <w:rFonts w:hint="eastAsia" w:ascii="宋体" w:hAnsi="宋体" w:eastAsia="宋体" w:cs="宋体"/>
                <w:color w:val="auto"/>
                <w:kern w:val="0"/>
                <w:sz w:val="21"/>
                <w:szCs w:val="21"/>
                <w:highlight w:val="none"/>
              </w:rPr>
            </w:pPr>
          </w:p>
        </w:tc>
        <w:tc>
          <w:tcPr>
            <w:tcW w:w="1369" w:type="dxa"/>
            <w:tcBorders>
              <w:top w:val="single" w:color="000000" w:sz="4" w:space="0"/>
              <w:left w:val="single" w:color="000000" w:sz="4" w:space="0"/>
              <w:bottom w:val="single" w:color="000000" w:sz="4" w:space="0"/>
              <w:right w:val="single" w:color="000000" w:sz="4" w:space="0"/>
            </w:tcBorders>
            <w:vAlign w:val="center"/>
          </w:tcPr>
          <w:p w14:paraId="02231E63">
            <w:pPr>
              <w:spacing w:line="240" w:lineRule="exact"/>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资产总额(Z)</w:t>
            </w:r>
          </w:p>
        </w:tc>
        <w:tc>
          <w:tcPr>
            <w:tcW w:w="709" w:type="dxa"/>
            <w:tcBorders>
              <w:top w:val="single" w:color="000000" w:sz="4" w:space="0"/>
              <w:left w:val="single" w:color="000000" w:sz="4" w:space="0"/>
              <w:bottom w:val="single" w:color="000000" w:sz="4" w:space="0"/>
              <w:right w:val="single" w:color="000000" w:sz="4" w:space="0"/>
            </w:tcBorders>
            <w:vAlign w:val="center"/>
          </w:tcPr>
          <w:p w14:paraId="1CBF226C">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787D149E">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Z≥80000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0B9CE3D7">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5000≤Z＜80000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12ECF085">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300≤Z＜5000</w:t>
            </w:r>
          </w:p>
        </w:tc>
        <w:tc>
          <w:tcPr>
            <w:tcW w:w="992" w:type="dxa"/>
            <w:tcBorders>
              <w:top w:val="single" w:color="000000" w:sz="4" w:space="0"/>
              <w:left w:val="single" w:color="000000" w:sz="4" w:space="0"/>
              <w:bottom w:val="single" w:color="000000" w:sz="4" w:space="0"/>
              <w:right w:val="single" w:color="000000" w:sz="4" w:space="0"/>
            </w:tcBorders>
            <w:vAlign w:val="center"/>
          </w:tcPr>
          <w:p w14:paraId="5F2B01F2">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Z＜300</w:t>
            </w:r>
          </w:p>
        </w:tc>
      </w:tr>
      <w:tr w14:paraId="69CF53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restart"/>
            <w:tcBorders>
              <w:top w:val="single" w:color="000000" w:sz="4" w:space="0"/>
              <w:left w:val="single" w:color="000000" w:sz="4" w:space="0"/>
              <w:bottom w:val="single" w:color="000000" w:sz="4" w:space="0"/>
              <w:right w:val="single" w:color="000000" w:sz="4" w:space="0"/>
            </w:tcBorders>
            <w:vAlign w:val="center"/>
          </w:tcPr>
          <w:p w14:paraId="39C18D2B">
            <w:pPr>
              <w:spacing w:line="240" w:lineRule="exact"/>
              <w:jc w:val="left"/>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批发业</w:t>
            </w:r>
          </w:p>
        </w:tc>
        <w:tc>
          <w:tcPr>
            <w:tcW w:w="1369" w:type="dxa"/>
            <w:tcBorders>
              <w:top w:val="single" w:color="000000" w:sz="4" w:space="0"/>
              <w:left w:val="single" w:color="000000" w:sz="4" w:space="0"/>
              <w:bottom w:val="single" w:color="000000" w:sz="4" w:space="0"/>
              <w:right w:val="single" w:color="000000" w:sz="4" w:space="0"/>
            </w:tcBorders>
            <w:vAlign w:val="center"/>
          </w:tcPr>
          <w:p w14:paraId="0A6EB631">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从业人员(X)</w:t>
            </w:r>
          </w:p>
        </w:tc>
        <w:tc>
          <w:tcPr>
            <w:tcW w:w="709" w:type="dxa"/>
            <w:tcBorders>
              <w:top w:val="single" w:color="000000" w:sz="4" w:space="0"/>
              <w:left w:val="single" w:color="000000" w:sz="4" w:space="0"/>
              <w:bottom w:val="single" w:color="000000" w:sz="4" w:space="0"/>
              <w:right w:val="single" w:color="000000" w:sz="4" w:space="0"/>
            </w:tcBorders>
            <w:vAlign w:val="center"/>
          </w:tcPr>
          <w:p w14:paraId="25C1249F">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人</w:t>
            </w:r>
          </w:p>
        </w:tc>
        <w:tc>
          <w:tcPr>
            <w:tcW w:w="1125" w:type="dxa"/>
            <w:tcBorders>
              <w:top w:val="single" w:color="000000" w:sz="4" w:space="0"/>
              <w:left w:val="single" w:color="000000" w:sz="4" w:space="0"/>
              <w:bottom w:val="single" w:color="000000" w:sz="4" w:space="0"/>
              <w:right w:val="single" w:color="000000" w:sz="4" w:space="0"/>
            </w:tcBorders>
            <w:vAlign w:val="center"/>
          </w:tcPr>
          <w:p w14:paraId="1B064A35">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X≥200</w:t>
            </w:r>
          </w:p>
        </w:tc>
        <w:tc>
          <w:tcPr>
            <w:tcW w:w="1701" w:type="dxa"/>
            <w:tcBorders>
              <w:top w:val="single" w:color="000000" w:sz="4" w:space="0"/>
              <w:left w:val="single" w:color="000000" w:sz="4" w:space="0"/>
              <w:bottom w:val="single" w:color="000000" w:sz="4" w:space="0"/>
              <w:right w:val="single" w:color="000000" w:sz="4" w:space="0"/>
            </w:tcBorders>
            <w:vAlign w:val="center"/>
          </w:tcPr>
          <w:p w14:paraId="345A02F8">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20≤X＜200</w:t>
            </w:r>
          </w:p>
        </w:tc>
        <w:tc>
          <w:tcPr>
            <w:tcW w:w="1426" w:type="dxa"/>
            <w:tcBorders>
              <w:top w:val="single" w:color="000000" w:sz="4" w:space="0"/>
              <w:left w:val="single" w:color="000000" w:sz="4" w:space="0"/>
              <w:bottom w:val="single" w:color="000000" w:sz="4" w:space="0"/>
              <w:right w:val="single" w:color="000000" w:sz="4" w:space="0"/>
            </w:tcBorders>
            <w:vAlign w:val="center"/>
          </w:tcPr>
          <w:p w14:paraId="6618AEF1">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5≤X＜20</w:t>
            </w:r>
          </w:p>
        </w:tc>
        <w:tc>
          <w:tcPr>
            <w:tcW w:w="992" w:type="dxa"/>
            <w:tcBorders>
              <w:top w:val="single" w:color="000000" w:sz="4" w:space="0"/>
              <w:left w:val="single" w:color="000000" w:sz="4" w:space="0"/>
              <w:bottom w:val="single" w:color="000000" w:sz="4" w:space="0"/>
              <w:right w:val="single" w:color="000000" w:sz="4" w:space="0"/>
            </w:tcBorders>
            <w:vAlign w:val="center"/>
          </w:tcPr>
          <w:p w14:paraId="29D2D9AB">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X＜5</w:t>
            </w:r>
          </w:p>
        </w:tc>
      </w:tr>
      <w:tr w14:paraId="5A8BF9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continue"/>
            <w:tcBorders>
              <w:top w:val="single" w:color="000000" w:sz="4" w:space="0"/>
              <w:left w:val="single" w:color="000000" w:sz="4" w:space="0"/>
              <w:bottom w:val="single" w:color="000000" w:sz="4" w:space="0"/>
              <w:right w:val="single" w:color="000000" w:sz="4" w:space="0"/>
            </w:tcBorders>
            <w:vAlign w:val="center"/>
          </w:tcPr>
          <w:p w14:paraId="318C7704">
            <w:pPr>
              <w:jc w:val="left"/>
              <w:rPr>
                <w:rStyle w:val="40"/>
                <w:rFonts w:hint="eastAsia" w:ascii="宋体" w:hAnsi="宋体" w:eastAsia="宋体" w:cs="宋体"/>
                <w:color w:val="auto"/>
                <w:kern w:val="0"/>
                <w:sz w:val="21"/>
                <w:szCs w:val="21"/>
                <w:highlight w:val="none"/>
              </w:rPr>
            </w:pPr>
          </w:p>
        </w:tc>
        <w:tc>
          <w:tcPr>
            <w:tcW w:w="1369" w:type="dxa"/>
            <w:tcBorders>
              <w:top w:val="single" w:color="000000" w:sz="4" w:space="0"/>
              <w:left w:val="single" w:color="000000" w:sz="4" w:space="0"/>
              <w:bottom w:val="single" w:color="000000" w:sz="4" w:space="0"/>
              <w:right w:val="single" w:color="000000" w:sz="4" w:space="0"/>
            </w:tcBorders>
            <w:vAlign w:val="center"/>
          </w:tcPr>
          <w:p w14:paraId="65D2323C">
            <w:pPr>
              <w:spacing w:line="240" w:lineRule="exact"/>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营业收入(Y)</w:t>
            </w:r>
          </w:p>
        </w:tc>
        <w:tc>
          <w:tcPr>
            <w:tcW w:w="709" w:type="dxa"/>
            <w:tcBorders>
              <w:top w:val="single" w:color="000000" w:sz="4" w:space="0"/>
              <w:left w:val="single" w:color="000000" w:sz="4" w:space="0"/>
              <w:bottom w:val="single" w:color="000000" w:sz="4" w:space="0"/>
              <w:right w:val="single" w:color="000000" w:sz="4" w:space="0"/>
            </w:tcBorders>
            <w:vAlign w:val="center"/>
          </w:tcPr>
          <w:p w14:paraId="63D35A5E">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23E3EF16">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Y≥40000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6552216D">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5000≤Y＜40000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206E1050">
            <w:pPr>
              <w:ind w:left="-1" w:leftChars="-1" w:hanging="1"/>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1000≤Y＜5000</w:t>
            </w:r>
          </w:p>
        </w:tc>
        <w:tc>
          <w:tcPr>
            <w:tcW w:w="992" w:type="dxa"/>
            <w:tcBorders>
              <w:top w:val="single" w:color="000000" w:sz="4" w:space="0"/>
              <w:left w:val="single" w:color="000000" w:sz="4" w:space="0"/>
              <w:bottom w:val="single" w:color="000000" w:sz="4" w:space="0"/>
              <w:right w:val="single" w:color="000000" w:sz="4" w:space="0"/>
            </w:tcBorders>
            <w:vAlign w:val="center"/>
          </w:tcPr>
          <w:p w14:paraId="0C3F0BD6">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Y＜1000</w:t>
            </w:r>
          </w:p>
        </w:tc>
      </w:tr>
      <w:tr w14:paraId="404424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restart"/>
            <w:tcBorders>
              <w:top w:val="single" w:color="000000" w:sz="4" w:space="0"/>
              <w:left w:val="single" w:color="000000" w:sz="4" w:space="0"/>
              <w:bottom w:val="single" w:color="000000" w:sz="4" w:space="0"/>
              <w:right w:val="single" w:color="000000" w:sz="4" w:space="0"/>
            </w:tcBorders>
            <w:vAlign w:val="center"/>
          </w:tcPr>
          <w:p w14:paraId="3F746BA3">
            <w:pPr>
              <w:spacing w:line="240" w:lineRule="exact"/>
              <w:jc w:val="left"/>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零售业</w:t>
            </w:r>
          </w:p>
        </w:tc>
        <w:tc>
          <w:tcPr>
            <w:tcW w:w="1369" w:type="dxa"/>
            <w:tcBorders>
              <w:top w:val="single" w:color="000000" w:sz="4" w:space="0"/>
              <w:left w:val="single" w:color="000000" w:sz="4" w:space="0"/>
              <w:bottom w:val="single" w:color="000000" w:sz="4" w:space="0"/>
              <w:right w:val="single" w:color="000000" w:sz="4" w:space="0"/>
            </w:tcBorders>
            <w:vAlign w:val="center"/>
          </w:tcPr>
          <w:p w14:paraId="50B5F86E">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从业人员(X)</w:t>
            </w:r>
          </w:p>
        </w:tc>
        <w:tc>
          <w:tcPr>
            <w:tcW w:w="709" w:type="dxa"/>
            <w:tcBorders>
              <w:top w:val="single" w:color="000000" w:sz="4" w:space="0"/>
              <w:left w:val="single" w:color="000000" w:sz="4" w:space="0"/>
              <w:bottom w:val="single" w:color="000000" w:sz="4" w:space="0"/>
              <w:right w:val="single" w:color="000000" w:sz="4" w:space="0"/>
            </w:tcBorders>
            <w:vAlign w:val="center"/>
          </w:tcPr>
          <w:p w14:paraId="0B3A93F3">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人</w:t>
            </w:r>
          </w:p>
        </w:tc>
        <w:tc>
          <w:tcPr>
            <w:tcW w:w="1125" w:type="dxa"/>
            <w:tcBorders>
              <w:top w:val="single" w:color="000000" w:sz="4" w:space="0"/>
              <w:left w:val="single" w:color="000000" w:sz="4" w:space="0"/>
              <w:bottom w:val="single" w:color="000000" w:sz="4" w:space="0"/>
              <w:right w:val="single" w:color="000000" w:sz="4" w:space="0"/>
            </w:tcBorders>
            <w:vAlign w:val="center"/>
          </w:tcPr>
          <w:p w14:paraId="144C5AA7">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X≥300</w:t>
            </w:r>
          </w:p>
        </w:tc>
        <w:tc>
          <w:tcPr>
            <w:tcW w:w="1701" w:type="dxa"/>
            <w:tcBorders>
              <w:top w:val="single" w:color="000000" w:sz="4" w:space="0"/>
              <w:left w:val="single" w:color="000000" w:sz="4" w:space="0"/>
              <w:bottom w:val="single" w:color="000000" w:sz="4" w:space="0"/>
              <w:right w:val="single" w:color="000000" w:sz="4" w:space="0"/>
            </w:tcBorders>
            <w:vAlign w:val="center"/>
          </w:tcPr>
          <w:p w14:paraId="10A34C03">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50≤X＜300</w:t>
            </w:r>
          </w:p>
        </w:tc>
        <w:tc>
          <w:tcPr>
            <w:tcW w:w="1426" w:type="dxa"/>
            <w:tcBorders>
              <w:top w:val="single" w:color="000000" w:sz="4" w:space="0"/>
              <w:left w:val="single" w:color="000000" w:sz="4" w:space="0"/>
              <w:bottom w:val="single" w:color="000000" w:sz="4" w:space="0"/>
              <w:right w:val="single" w:color="000000" w:sz="4" w:space="0"/>
            </w:tcBorders>
            <w:vAlign w:val="center"/>
          </w:tcPr>
          <w:p w14:paraId="38F08126">
            <w:pPr>
              <w:ind w:left="-1" w:leftChars="-1" w:hanging="1"/>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 xml:space="preserve">10≤X＜50 </w:t>
            </w:r>
          </w:p>
        </w:tc>
        <w:tc>
          <w:tcPr>
            <w:tcW w:w="992" w:type="dxa"/>
            <w:tcBorders>
              <w:top w:val="single" w:color="000000" w:sz="4" w:space="0"/>
              <w:left w:val="single" w:color="000000" w:sz="4" w:space="0"/>
              <w:bottom w:val="single" w:color="000000" w:sz="4" w:space="0"/>
              <w:right w:val="single" w:color="000000" w:sz="4" w:space="0"/>
            </w:tcBorders>
            <w:vAlign w:val="center"/>
          </w:tcPr>
          <w:p w14:paraId="57A1CDE6">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X＜10</w:t>
            </w:r>
          </w:p>
        </w:tc>
      </w:tr>
      <w:tr w14:paraId="7D9B60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continue"/>
            <w:tcBorders>
              <w:top w:val="single" w:color="000000" w:sz="4" w:space="0"/>
              <w:left w:val="single" w:color="000000" w:sz="4" w:space="0"/>
              <w:bottom w:val="single" w:color="000000" w:sz="4" w:space="0"/>
              <w:right w:val="single" w:color="000000" w:sz="4" w:space="0"/>
            </w:tcBorders>
            <w:vAlign w:val="center"/>
          </w:tcPr>
          <w:p w14:paraId="5E862056">
            <w:pPr>
              <w:jc w:val="left"/>
              <w:rPr>
                <w:rStyle w:val="40"/>
                <w:rFonts w:hint="eastAsia" w:ascii="宋体" w:hAnsi="宋体" w:eastAsia="宋体" w:cs="宋体"/>
                <w:color w:val="auto"/>
                <w:kern w:val="0"/>
                <w:sz w:val="21"/>
                <w:szCs w:val="21"/>
                <w:highlight w:val="none"/>
              </w:rPr>
            </w:pPr>
          </w:p>
        </w:tc>
        <w:tc>
          <w:tcPr>
            <w:tcW w:w="1369" w:type="dxa"/>
            <w:tcBorders>
              <w:top w:val="single" w:color="000000" w:sz="4" w:space="0"/>
              <w:left w:val="single" w:color="000000" w:sz="4" w:space="0"/>
              <w:bottom w:val="single" w:color="000000" w:sz="4" w:space="0"/>
              <w:right w:val="single" w:color="000000" w:sz="4" w:space="0"/>
            </w:tcBorders>
            <w:vAlign w:val="center"/>
          </w:tcPr>
          <w:p w14:paraId="54F9B971">
            <w:pPr>
              <w:spacing w:line="240" w:lineRule="exact"/>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营业收入(Y)</w:t>
            </w:r>
          </w:p>
        </w:tc>
        <w:tc>
          <w:tcPr>
            <w:tcW w:w="709" w:type="dxa"/>
            <w:tcBorders>
              <w:top w:val="single" w:color="000000" w:sz="4" w:space="0"/>
              <w:left w:val="single" w:color="000000" w:sz="4" w:space="0"/>
              <w:bottom w:val="single" w:color="000000" w:sz="4" w:space="0"/>
              <w:right w:val="single" w:color="000000" w:sz="4" w:space="0"/>
            </w:tcBorders>
            <w:vAlign w:val="center"/>
          </w:tcPr>
          <w:p w14:paraId="16659A4C">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4756FA6D">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Y≥20000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309B6944">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500≤Y＜20000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315A1E9A">
            <w:pPr>
              <w:ind w:left="-1" w:leftChars="-1" w:hanging="1"/>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100≤Y＜500</w:t>
            </w:r>
          </w:p>
        </w:tc>
        <w:tc>
          <w:tcPr>
            <w:tcW w:w="992" w:type="dxa"/>
            <w:tcBorders>
              <w:top w:val="single" w:color="000000" w:sz="4" w:space="0"/>
              <w:left w:val="single" w:color="000000" w:sz="4" w:space="0"/>
              <w:bottom w:val="single" w:color="000000" w:sz="4" w:space="0"/>
              <w:right w:val="single" w:color="000000" w:sz="4" w:space="0"/>
            </w:tcBorders>
            <w:vAlign w:val="center"/>
          </w:tcPr>
          <w:p w14:paraId="3DD012E9">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Y＜100</w:t>
            </w:r>
          </w:p>
        </w:tc>
      </w:tr>
      <w:tr w14:paraId="56F2E2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restart"/>
            <w:tcBorders>
              <w:top w:val="single" w:color="000000" w:sz="4" w:space="0"/>
              <w:left w:val="single" w:color="000000" w:sz="4" w:space="0"/>
              <w:bottom w:val="single" w:color="000000" w:sz="4" w:space="0"/>
              <w:right w:val="single" w:color="000000" w:sz="4" w:space="0"/>
            </w:tcBorders>
            <w:vAlign w:val="center"/>
          </w:tcPr>
          <w:p w14:paraId="21280E01">
            <w:pPr>
              <w:spacing w:line="240" w:lineRule="exact"/>
              <w:jc w:val="left"/>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交通运输业 *</w:t>
            </w:r>
          </w:p>
        </w:tc>
        <w:tc>
          <w:tcPr>
            <w:tcW w:w="1369" w:type="dxa"/>
            <w:tcBorders>
              <w:top w:val="single" w:color="000000" w:sz="4" w:space="0"/>
              <w:left w:val="single" w:color="000000" w:sz="4" w:space="0"/>
              <w:bottom w:val="single" w:color="000000" w:sz="4" w:space="0"/>
              <w:right w:val="single" w:color="000000" w:sz="4" w:space="0"/>
            </w:tcBorders>
            <w:vAlign w:val="center"/>
          </w:tcPr>
          <w:p w14:paraId="76D64CEA">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从业人员(X)</w:t>
            </w:r>
          </w:p>
        </w:tc>
        <w:tc>
          <w:tcPr>
            <w:tcW w:w="709" w:type="dxa"/>
            <w:tcBorders>
              <w:top w:val="single" w:color="000000" w:sz="4" w:space="0"/>
              <w:left w:val="single" w:color="000000" w:sz="4" w:space="0"/>
              <w:bottom w:val="single" w:color="000000" w:sz="4" w:space="0"/>
              <w:right w:val="single" w:color="000000" w:sz="4" w:space="0"/>
            </w:tcBorders>
            <w:vAlign w:val="center"/>
          </w:tcPr>
          <w:p w14:paraId="2AB979DB">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人</w:t>
            </w:r>
          </w:p>
        </w:tc>
        <w:tc>
          <w:tcPr>
            <w:tcW w:w="1125" w:type="dxa"/>
            <w:tcBorders>
              <w:top w:val="single" w:color="000000" w:sz="4" w:space="0"/>
              <w:left w:val="single" w:color="000000" w:sz="4" w:space="0"/>
              <w:bottom w:val="single" w:color="000000" w:sz="4" w:space="0"/>
              <w:right w:val="single" w:color="000000" w:sz="4" w:space="0"/>
            </w:tcBorders>
            <w:vAlign w:val="center"/>
          </w:tcPr>
          <w:p w14:paraId="57F2F1D4">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X≥1000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7048FD8F">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300≤X＜1000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32279AFF">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20≤X＜300</w:t>
            </w:r>
          </w:p>
        </w:tc>
        <w:tc>
          <w:tcPr>
            <w:tcW w:w="992" w:type="dxa"/>
            <w:tcBorders>
              <w:top w:val="single" w:color="000000" w:sz="4" w:space="0"/>
              <w:left w:val="single" w:color="000000" w:sz="4" w:space="0"/>
              <w:bottom w:val="single" w:color="000000" w:sz="4" w:space="0"/>
              <w:right w:val="single" w:color="000000" w:sz="4" w:space="0"/>
            </w:tcBorders>
            <w:vAlign w:val="center"/>
          </w:tcPr>
          <w:p w14:paraId="5FF94D63">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X＜20</w:t>
            </w:r>
          </w:p>
        </w:tc>
      </w:tr>
      <w:tr w14:paraId="168924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continue"/>
            <w:tcBorders>
              <w:top w:val="single" w:color="000000" w:sz="4" w:space="0"/>
              <w:left w:val="single" w:color="000000" w:sz="4" w:space="0"/>
              <w:bottom w:val="single" w:color="000000" w:sz="4" w:space="0"/>
              <w:right w:val="single" w:color="000000" w:sz="4" w:space="0"/>
            </w:tcBorders>
            <w:vAlign w:val="center"/>
          </w:tcPr>
          <w:p w14:paraId="3A5FD603">
            <w:pPr>
              <w:jc w:val="left"/>
              <w:rPr>
                <w:rStyle w:val="40"/>
                <w:rFonts w:hint="eastAsia" w:ascii="宋体" w:hAnsi="宋体" w:eastAsia="宋体" w:cs="宋体"/>
                <w:color w:val="auto"/>
                <w:kern w:val="0"/>
                <w:sz w:val="21"/>
                <w:szCs w:val="21"/>
                <w:highlight w:val="none"/>
              </w:rPr>
            </w:pPr>
          </w:p>
        </w:tc>
        <w:tc>
          <w:tcPr>
            <w:tcW w:w="1369" w:type="dxa"/>
            <w:tcBorders>
              <w:top w:val="single" w:color="000000" w:sz="4" w:space="0"/>
              <w:left w:val="single" w:color="000000" w:sz="4" w:space="0"/>
              <w:bottom w:val="single" w:color="000000" w:sz="4" w:space="0"/>
              <w:right w:val="single" w:color="000000" w:sz="4" w:space="0"/>
            </w:tcBorders>
            <w:vAlign w:val="center"/>
          </w:tcPr>
          <w:p w14:paraId="4E9F0C32">
            <w:pPr>
              <w:spacing w:line="240" w:lineRule="exact"/>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营业收入(Y)</w:t>
            </w:r>
          </w:p>
        </w:tc>
        <w:tc>
          <w:tcPr>
            <w:tcW w:w="709" w:type="dxa"/>
            <w:tcBorders>
              <w:top w:val="single" w:color="000000" w:sz="4" w:space="0"/>
              <w:left w:val="single" w:color="000000" w:sz="4" w:space="0"/>
              <w:bottom w:val="single" w:color="000000" w:sz="4" w:space="0"/>
              <w:right w:val="single" w:color="000000" w:sz="4" w:space="0"/>
            </w:tcBorders>
            <w:vAlign w:val="center"/>
          </w:tcPr>
          <w:p w14:paraId="514E962E">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0FF095AE">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Y≥30000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64AB531D">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3000≤Y＜30000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208698A3">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200≤Y＜3000</w:t>
            </w:r>
          </w:p>
        </w:tc>
        <w:tc>
          <w:tcPr>
            <w:tcW w:w="992" w:type="dxa"/>
            <w:tcBorders>
              <w:top w:val="single" w:color="000000" w:sz="4" w:space="0"/>
              <w:left w:val="single" w:color="000000" w:sz="4" w:space="0"/>
              <w:bottom w:val="single" w:color="000000" w:sz="4" w:space="0"/>
              <w:right w:val="single" w:color="000000" w:sz="4" w:space="0"/>
            </w:tcBorders>
            <w:vAlign w:val="center"/>
          </w:tcPr>
          <w:p w14:paraId="7F6430E3">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Y＜200</w:t>
            </w:r>
          </w:p>
        </w:tc>
      </w:tr>
      <w:tr w14:paraId="72F878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restart"/>
            <w:tcBorders>
              <w:top w:val="single" w:color="000000" w:sz="4" w:space="0"/>
              <w:left w:val="single" w:color="000000" w:sz="4" w:space="0"/>
              <w:bottom w:val="single" w:color="000000" w:sz="4" w:space="0"/>
              <w:right w:val="single" w:color="000000" w:sz="4" w:space="0"/>
            </w:tcBorders>
            <w:vAlign w:val="center"/>
          </w:tcPr>
          <w:p w14:paraId="056904A7">
            <w:pPr>
              <w:spacing w:line="240" w:lineRule="exact"/>
              <w:jc w:val="left"/>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仓储业*</w:t>
            </w:r>
          </w:p>
        </w:tc>
        <w:tc>
          <w:tcPr>
            <w:tcW w:w="1369" w:type="dxa"/>
            <w:tcBorders>
              <w:top w:val="single" w:color="000000" w:sz="4" w:space="0"/>
              <w:left w:val="single" w:color="000000" w:sz="4" w:space="0"/>
              <w:bottom w:val="single" w:color="000000" w:sz="4" w:space="0"/>
              <w:right w:val="single" w:color="000000" w:sz="4" w:space="0"/>
            </w:tcBorders>
            <w:vAlign w:val="center"/>
          </w:tcPr>
          <w:p w14:paraId="2E0B0F11">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从业人员(X)</w:t>
            </w:r>
          </w:p>
        </w:tc>
        <w:tc>
          <w:tcPr>
            <w:tcW w:w="709" w:type="dxa"/>
            <w:tcBorders>
              <w:top w:val="single" w:color="000000" w:sz="4" w:space="0"/>
              <w:left w:val="single" w:color="000000" w:sz="4" w:space="0"/>
              <w:bottom w:val="single" w:color="000000" w:sz="4" w:space="0"/>
              <w:right w:val="single" w:color="000000" w:sz="4" w:space="0"/>
            </w:tcBorders>
            <w:vAlign w:val="center"/>
          </w:tcPr>
          <w:p w14:paraId="41C700B8">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人</w:t>
            </w:r>
          </w:p>
        </w:tc>
        <w:tc>
          <w:tcPr>
            <w:tcW w:w="1125" w:type="dxa"/>
            <w:tcBorders>
              <w:top w:val="single" w:color="000000" w:sz="4" w:space="0"/>
              <w:left w:val="single" w:color="000000" w:sz="4" w:space="0"/>
              <w:bottom w:val="single" w:color="000000" w:sz="4" w:space="0"/>
              <w:right w:val="single" w:color="000000" w:sz="4" w:space="0"/>
            </w:tcBorders>
            <w:vAlign w:val="center"/>
          </w:tcPr>
          <w:p w14:paraId="20D65F39">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X≥200</w:t>
            </w:r>
          </w:p>
        </w:tc>
        <w:tc>
          <w:tcPr>
            <w:tcW w:w="1701" w:type="dxa"/>
            <w:tcBorders>
              <w:top w:val="single" w:color="000000" w:sz="4" w:space="0"/>
              <w:left w:val="single" w:color="000000" w:sz="4" w:space="0"/>
              <w:bottom w:val="single" w:color="000000" w:sz="4" w:space="0"/>
              <w:right w:val="single" w:color="000000" w:sz="4" w:space="0"/>
            </w:tcBorders>
            <w:vAlign w:val="center"/>
          </w:tcPr>
          <w:p w14:paraId="5088608E">
            <w:pPr>
              <w:ind w:left="1" w:leftChars="-51" w:hanging="108"/>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100≤X＜200</w:t>
            </w:r>
          </w:p>
        </w:tc>
        <w:tc>
          <w:tcPr>
            <w:tcW w:w="1426" w:type="dxa"/>
            <w:tcBorders>
              <w:top w:val="single" w:color="000000" w:sz="4" w:space="0"/>
              <w:left w:val="single" w:color="000000" w:sz="4" w:space="0"/>
              <w:bottom w:val="single" w:color="000000" w:sz="4" w:space="0"/>
              <w:right w:val="single" w:color="000000" w:sz="4" w:space="0"/>
            </w:tcBorders>
            <w:vAlign w:val="center"/>
          </w:tcPr>
          <w:p w14:paraId="2DF5181D">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20≤X＜100</w:t>
            </w:r>
          </w:p>
        </w:tc>
        <w:tc>
          <w:tcPr>
            <w:tcW w:w="992" w:type="dxa"/>
            <w:tcBorders>
              <w:top w:val="single" w:color="000000" w:sz="4" w:space="0"/>
              <w:left w:val="single" w:color="000000" w:sz="4" w:space="0"/>
              <w:bottom w:val="single" w:color="000000" w:sz="4" w:space="0"/>
              <w:right w:val="single" w:color="000000" w:sz="4" w:space="0"/>
            </w:tcBorders>
            <w:vAlign w:val="center"/>
          </w:tcPr>
          <w:p w14:paraId="102F176C">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X＜20</w:t>
            </w:r>
          </w:p>
        </w:tc>
      </w:tr>
      <w:tr w14:paraId="0E2244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continue"/>
            <w:tcBorders>
              <w:top w:val="single" w:color="000000" w:sz="4" w:space="0"/>
              <w:left w:val="single" w:color="000000" w:sz="4" w:space="0"/>
              <w:bottom w:val="single" w:color="000000" w:sz="4" w:space="0"/>
              <w:right w:val="single" w:color="000000" w:sz="4" w:space="0"/>
            </w:tcBorders>
            <w:vAlign w:val="center"/>
          </w:tcPr>
          <w:p w14:paraId="6EBBB508">
            <w:pPr>
              <w:jc w:val="left"/>
              <w:rPr>
                <w:rStyle w:val="40"/>
                <w:rFonts w:hint="eastAsia" w:ascii="宋体" w:hAnsi="宋体" w:eastAsia="宋体" w:cs="宋体"/>
                <w:color w:val="auto"/>
                <w:kern w:val="0"/>
                <w:sz w:val="21"/>
                <w:szCs w:val="21"/>
                <w:highlight w:val="none"/>
              </w:rPr>
            </w:pPr>
          </w:p>
        </w:tc>
        <w:tc>
          <w:tcPr>
            <w:tcW w:w="1369" w:type="dxa"/>
            <w:tcBorders>
              <w:top w:val="single" w:color="000000" w:sz="4" w:space="0"/>
              <w:left w:val="single" w:color="000000" w:sz="4" w:space="0"/>
              <w:bottom w:val="single" w:color="000000" w:sz="4" w:space="0"/>
              <w:right w:val="single" w:color="000000" w:sz="4" w:space="0"/>
            </w:tcBorders>
            <w:vAlign w:val="center"/>
          </w:tcPr>
          <w:p w14:paraId="2C837A2E">
            <w:pPr>
              <w:spacing w:line="240" w:lineRule="exact"/>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营业收入(Y)</w:t>
            </w:r>
          </w:p>
        </w:tc>
        <w:tc>
          <w:tcPr>
            <w:tcW w:w="709" w:type="dxa"/>
            <w:tcBorders>
              <w:top w:val="single" w:color="000000" w:sz="4" w:space="0"/>
              <w:left w:val="single" w:color="000000" w:sz="4" w:space="0"/>
              <w:bottom w:val="single" w:color="000000" w:sz="4" w:space="0"/>
              <w:right w:val="single" w:color="000000" w:sz="4" w:space="0"/>
            </w:tcBorders>
            <w:vAlign w:val="center"/>
          </w:tcPr>
          <w:p w14:paraId="4F5779C1">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3A2DF533">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Y≥30000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2F9D8335">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1000≤Y＜30000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2FC61735">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100≤Y＜1000</w:t>
            </w:r>
          </w:p>
        </w:tc>
        <w:tc>
          <w:tcPr>
            <w:tcW w:w="992" w:type="dxa"/>
            <w:tcBorders>
              <w:top w:val="single" w:color="000000" w:sz="4" w:space="0"/>
              <w:left w:val="single" w:color="000000" w:sz="4" w:space="0"/>
              <w:bottom w:val="single" w:color="000000" w:sz="4" w:space="0"/>
              <w:right w:val="single" w:color="000000" w:sz="4" w:space="0"/>
            </w:tcBorders>
            <w:vAlign w:val="center"/>
          </w:tcPr>
          <w:p w14:paraId="7A2944FF">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Y＜100</w:t>
            </w:r>
          </w:p>
        </w:tc>
      </w:tr>
      <w:tr w14:paraId="727B62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restart"/>
            <w:tcBorders>
              <w:top w:val="single" w:color="000000" w:sz="4" w:space="0"/>
              <w:left w:val="single" w:color="000000" w:sz="4" w:space="0"/>
              <w:bottom w:val="single" w:color="000000" w:sz="4" w:space="0"/>
              <w:right w:val="single" w:color="000000" w:sz="4" w:space="0"/>
            </w:tcBorders>
            <w:vAlign w:val="center"/>
          </w:tcPr>
          <w:p w14:paraId="59AE21C1">
            <w:pPr>
              <w:spacing w:line="240" w:lineRule="exact"/>
              <w:jc w:val="left"/>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邮政业</w:t>
            </w:r>
          </w:p>
        </w:tc>
        <w:tc>
          <w:tcPr>
            <w:tcW w:w="1369" w:type="dxa"/>
            <w:tcBorders>
              <w:top w:val="single" w:color="000000" w:sz="4" w:space="0"/>
              <w:left w:val="single" w:color="000000" w:sz="4" w:space="0"/>
              <w:bottom w:val="single" w:color="000000" w:sz="4" w:space="0"/>
              <w:right w:val="single" w:color="000000" w:sz="4" w:space="0"/>
            </w:tcBorders>
            <w:vAlign w:val="center"/>
          </w:tcPr>
          <w:p w14:paraId="477A167A">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从业人员(X)</w:t>
            </w:r>
          </w:p>
        </w:tc>
        <w:tc>
          <w:tcPr>
            <w:tcW w:w="709" w:type="dxa"/>
            <w:tcBorders>
              <w:top w:val="single" w:color="000000" w:sz="4" w:space="0"/>
              <w:left w:val="single" w:color="000000" w:sz="4" w:space="0"/>
              <w:bottom w:val="single" w:color="000000" w:sz="4" w:space="0"/>
              <w:right w:val="single" w:color="000000" w:sz="4" w:space="0"/>
            </w:tcBorders>
            <w:vAlign w:val="center"/>
          </w:tcPr>
          <w:p w14:paraId="1B537617">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人</w:t>
            </w:r>
          </w:p>
        </w:tc>
        <w:tc>
          <w:tcPr>
            <w:tcW w:w="1125" w:type="dxa"/>
            <w:tcBorders>
              <w:top w:val="single" w:color="000000" w:sz="4" w:space="0"/>
              <w:left w:val="single" w:color="000000" w:sz="4" w:space="0"/>
              <w:bottom w:val="single" w:color="000000" w:sz="4" w:space="0"/>
              <w:right w:val="single" w:color="000000" w:sz="4" w:space="0"/>
            </w:tcBorders>
            <w:vAlign w:val="center"/>
          </w:tcPr>
          <w:p w14:paraId="5F4D919A">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X≥1000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59F585E4">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300≤X＜1000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4406C2CF">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20≤X＜300</w:t>
            </w:r>
          </w:p>
        </w:tc>
        <w:tc>
          <w:tcPr>
            <w:tcW w:w="992" w:type="dxa"/>
            <w:tcBorders>
              <w:top w:val="single" w:color="000000" w:sz="4" w:space="0"/>
              <w:left w:val="single" w:color="000000" w:sz="4" w:space="0"/>
              <w:bottom w:val="single" w:color="000000" w:sz="4" w:space="0"/>
              <w:right w:val="single" w:color="000000" w:sz="4" w:space="0"/>
            </w:tcBorders>
            <w:vAlign w:val="center"/>
          </w:tcPr>
          <w:p w14:paraId="15F737A8">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X＜20</w:t>
            </w:r>
          </w:p>
        </w:tc>
      </w:tr>
      <w:tr w14:paraId="57502D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continue"/>
            <w:tcBorders>
              <w:top w:val="single" w:color="000000" w:sz="4" w:space="0"/>
              <w:left w:val="single" w:color="000000" w:sz="4" w:space="0"/>
              <w:bottom w:val="single" w:color="000000" w:sz="4" w:space="0"/>
              <w:right w:val="single" w:color="000000" w:sz="4" w:space="0"/>
            </w:tcBorders>
            <w:vAlign w:val="center"/>
          </w:tcPr>
          <w:p w14:paraId="3CE6C449">
            <w:pPr>
              <w:jc w:val="left"/>
              <w:rPr>
                <w:rStyle w:val="40"/>
                <w:rFonts w:hint="eastAsia" w:ascii="宋体" w:hAnsi="宋体" w:eastAsia="宋体" w:cs="宋体"/>
                <w:color w:val="auto"/>
                <w:kern w:val="0"/>
                <w:sz w:val="21"/>
                <w:szCs w:val="21"/>
                <w:highlight w:val="none"/>
              </w:rPr>
            </w:pPr>
          </w:p>
        </w:tc>
        <w:tc>
          <w:tcPr>
            <w:tcW w:w="1369" w:type="dxa"/>
            <w:tcBorders>
              <w:top w:val="single" w:color="000000" w:sz="4" w:space="0"/>
              <w:left w:val="single" w:color="000000" w:sz="4" w:space="0"/>
              <w:bottom w:val="single" w:color="000000" w:sz="4" w:space="0"/>
              <w:right w:val="single" w:color="000000" w:sz="4" w:space="0"/>
            </w:tcBorders>
            <w:vAlign w:val="center"/>
          </w:tcPr>
          <w:p w14:paraId="2734EEE7">
            <w:pPr>
              <w:spacing w:line="240" w:lineRule="exact"/>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营业收入(Y)</w:t>
            </w:r>
          </w:p>
        </w:tc>
        <w:tc>
          <w:tcPr>
            <w:tcW w:w="709" w:type="dxa"/>
            <w:tcBorders>
              <w:top w:val="single" w:color="000000" w:sz="4" w:space="0"/>
              <w:left w:val="single" w:color="000000" w:sz="4" w:space="0"/>
              <w:bottom w:val="single" w:color="000000" w:sz="4" w:space="0"/>
              <w:right w:val="single" w:color="000000" w:sz="4" w:space="0"/>
            </w:tcBorders>
            <w:vAlign w:val="center"/>
          </w:tcPr>
          <w:p w14:paraId="75BF79ED">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083EF61C">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Y≥30000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5041FDE6">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2000≤Y＜30000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59F5C504">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100≤Y＜2000</w:t>
            </w:r>
          </w:p>
        </w:tc>
        <w:tc>
          <w:tcPr>
            <w:tcW w:w="992" w:type="dxa"/>
            <w:tcBorders>
              <w:top w:val="single" w:color="000000" w:sz="4" w:space="0"/>
              <w:left w:val="single" w:color="000000" w:sz="4" w:space="0"/>
              <w:bottom w:val="single" w:color="000000" w:sz="4" w:space="0"/>
              <w:right w:val="single" w:color="000000" w:sz="4" w:space="0"/>
            </w:tcBorders>
            <w:vAlign w:val="center"/>
          </w:tcPr>
          <w:p w14:paraId="48D43639">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Y＜100</w:t>
            </w:r>
          </w:p>
        </w:tc>
      </w:tr>
      <w:tr w14:paraId="36F45A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restart"/>
            <w:tcBorders>
              <w:top w:val="single" w:color="000000" w:sz="4" w:space="0"/>
              <w:left w:val="single" w:color="000000" w:sz="4" w:space="0"/>
              <w:bottom w:val="single" w:color="000000" w:sz="4" w:space="0"/>
              <w:right w:val="single" w:color="000000" w:sz="4" w:space="0"/>
            </w:tcBorders>
            <w:vAlign w:val="center"/>
          </w:tcPr>
          <w:p w14:paraId="31A5E5B7">
            <w:pPr>
              <w:spacing w:line="240" w:lineRule="exact"/>
              <w:jc w:val="left"/>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住宿业</w:t>
            </w:r>
          </w:p>
        </w:tc>
        <w:tc>
          <w:tcPr>
            <w:tcW w:w="1369" w:type="dxa"/>
            <w:tcBorders>
              <w:top w:val="single" w:color="000000" w:sz="4" w:space="0"/>
              <w:left w:val="single" w:color="000000" w:sz="4" w:space="0"/>
              <w:bottom w:val="single" w:color="000000" w:sz="4" w:space="0"/>
              <w:right w:val="single" w:color="000000" w:sz="4" w:space="0"/>
            </w:tcBorders>
            <w:vAlign w:val="center"/>
          </w:tcPr>
          <w:p w14:paraId="1CD45B07">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从业人员(X)</w:t>
            </w:r>
          </w:p>
        </w:tc>
        <w:tc>
          <w:tcPr>
            <w:tcW w:w="709" w:type="dxa"/>
            <w:tcBorders>
              <w:top w:val="single" w:color="000000" w:sz="4" w:space="0"/>
              <w:left w:val="single" w:color="000000" w:sz="4" w:space="0"/>
              <w:bottom w:val="single" w:color="000000" w:sz="4" w:space="0"/>
              <w:right w:val="single" w:color="000000" w:sz="4" w:space="0"/>
            </w:tcBorders>
            <w:vAlign w:val="center"/>
          </w:tcPr>
          <w:p w14:paraId="153871EC">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人</w:t>
            </w:r>
          </w:p>
        </w:tc>
        <w:tc>
          <w:tcPr>
            <w:tcW w:w="1125" w:type="dxa"/>
            <w:tcBorders>
              <w:top w:val="single" w:color="000000" w:sz="4" w:space="0"/>
              <w:left w:val="single" w:color="000000" w:sz="4" w:space="0"/>
              <w:bottom w:val="single" w:color="000000" w:sz="4" w:space="0"/>
              <w:right w:val="single" w:color="000000" w:sz="4" w:space="0"/>
            </w:tcBorders>
            <w:vAlign w:val="center"/>
          </w:tcPr>
          <w:p w14:paraId="58CD38D2">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X≥300</w:t>
            </w:r>
          </w:p>
        </w:tc>
        <w:tc>
          <w:tcPr>
            <w:tcW w:w="1701" w:type="dxa"/>
            <w:tcBorders>
              <w:top w:val="single" w:color="000000" w:sz="4" w:space="0"/>
              <w:left w:val="single" w:color="000000" w:sz="4" w:space="0"/>
              <w:bottom w:val="single" w:color="000000" w:sz="4" w:space="0"/>
              <w:right w:val="single" w:color="000000" w:sz="4" w:space="0"/>
            </w:tcBorders>
            <w:vAlign w:val="center"/>
          </w:tcPr>
          <w:p w14:paraId="2EDAEF18">
            <w:pPr>
              <w:ind w:left="1" w:leftChars="-51" w:hanging="108"/>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100≤X＜300</w:t>
            </w:r>
          </w:p>
        </w:tc>
        <w:tc>
          <w:tcPr>
            <w:tcW w:w="1426" w:type="dxa"/>
            <w:tcBorders>
              <w:top w:val="single" w:color="000000" w:sz="4" w:space="0"/>
              <w:left w:val="single" w:color="000000" w:sz="4" w:space="0"/>
              <w:bottom w:val="single" w:color="000000" w:sz="4" w:space="0"/>
              <w:right w:val="single" w:color="000000" w:sz="4" w:space="0"/>
            </w:tcBorders>
            <w:vAlign w:val="center"/>
          </w:tcPr>
          <w:p w14:paraId="197AEEE5">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10≤X＜100</w:t>
            </w:r>
          </w:p>
        </w:tc>
        <w:tc>
          <w:tcPr>
            <w:tcW w:w="992" w:type="dxa"/>
            <w:tcBorders>
              <w:top w:val="single" w:color="000000" w:sz="4" w:space="0"/>
              <w:left w:val="single" w:color="000000" w:sz="4" w:space="0"/>
              <w:bottom w:val="single" w:color="000000" w:sz="4" w:space="0"/>
              <w:right w:val="single" w:color="000000" w:sz="4" w:space="0"/>
            </w:tcBorders>
            <w:vAlign w:val="center"/>
          </w:tcPr>
          <w:p w14:paraId="127AFBE4">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X＜10</w:t>
            </w:r>
          </w:p>
        </w:tc>
      </w:tr>
      <w:tr w14:paraId="529D97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continue"/>
            <w:tcBorders>
              <w:top w:val="single" w:color="000000" w:sz="4" w:space="0"/>
              <w:left w:val="single" w:color="000000" w:sz="4" w:space="0"/>
              <w:bottom w:val="single" w:color="000000" w:sz="4" w:space="0"/>
              <w:right w:val="single" w:color="000000" w:sz="4" w:space="0"/>
            </w:tcBorders>
            <w:vAlign w:val="center"/>
          </w:tcPr>
          <w:p w14:paraId="22F4DE92">
            <w:pPr>
              <w:jc w:val="left"/>
              <w:rPr>
                <w:rStyle w:val="40"/>
                <w:rFonts w:hint="eastAsia" w:ascii="宋体" w:hAnsi="宋体" w:eastAsia="宋体" w:cs="宋体"/>
                <w:color w:val="auto"/>
                <w:kern w:val="0"/>
                <w:sz w:val="21"/>
                <w:szCs w:val="21"/>
                <w:highlight w:val="none"/>
              </w:rPr>
            </w:pPr>
          </w:p>
        </w:tc>
        <w:tc>
          <w:tcPr>
            <w:tcW w:w="1369" w:type="dxa"/>
            <w:tcBorders>
              <w:top w:val="single" w:color="000000" w:sz="4" w:space="0"/>
              <w:left w:val="single" w:color="000000" w:sz="4" w:space="0"/>
              <w:bottom w:val="single" w:color="000000" w:sz="4" w:space="0"/>
              <w:right w:val="single" w:color="000000" w:sz="4" w:space="0"/>
            </w:tcBorders>
            <w:vAlign w:val="center"/>
          </w:tcPr>
          <w:p w14:paraId="0EA4F3C1">
            <w:pPr>
              <w:spacing w:line="240" w:lineRule="exact"/>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营业收入(Y)</w:t>
            </w:r>
          </w:p>
        </w:tc>
        <w:tc>
          <w:tcPr>
            <w:tcW w:w="709" w:type="dxa"/>
            <w:tcBorders>
              <w:top w:val="single" w:color="000000" w:sz="4" w:space="0"/>
              <w:left w:val="single" w:color="000000" w:sz="4" w:space="0"/>
              <w:bottom w:val="single" w:color="000000" w:sz="4" w:space="0"/>
              <w:right w:val="single" w:color="000000" w:sz="4" w:space="0"/>
            </w:tcBorders>
            <w:vAlign w:val="center"/>
          </w:tcPr>
          <w:p w14:paraId="6C113B42">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536A0A0C">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Y≥10000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32C40BAD">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2000≤Y＜10000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2AE52596">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100≤Y＜2000</w:t>
            </w:r>
          </w:p>
        </w:tc>
        <w:tc>
          <w:tcPr>
            <w:tcW w:w="992" w:type="dxa"/>
            <w:tcBorders>
              <w:top w:val="single" w:color="000000" w:sz="4" w:space="0"/>
              <w:left w:val="single" w:color="000000" w:sz="4" w:space="0"/>
              <w:bottom w:val="single" w:color="000000" w:sz="4" w:space="0"/>
              <w:right w:val="single" w:color="000000" w:sz="4" w:space="0"/>
            </w:tcBorders>
            <w:vAlign w:val="center"/>
          </w:tcPr>
          <w:p w14:paraId="78D4F5B7">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Y＜100</w:t>
            </w:r>
          </w:p>
        </w:tc>
      </w:tr>
      <w:tr w14:paraId="3D3BAC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restart"/>
            <w:tcBorders>
              <w:top w:val="single" w:color="000000" w:sz="4" w:space="0"/>
              <w:left w:val="single" w:color="000000" w:sz="4" w:space="0"/>
              <w:bottom w:val="single" w:color="000000" w:sz="4" w:space="0"/>
              <w:right w:val="single" w:color="000000" w:sz="4" w:space="0"/>
            </w:tcBorders>
            <w:vAlign w:val="center"/>
          </w:tcPr>
          <w:p w14:paraId="170F92AB">
            <w:pPr>
              <w:spacing w:line="240" w:lineRule="exact"/>
              <w:jc w:val="left"/>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餐饮业</w:t>
            </w:r>
          </w:p>
        </w:tc>
        <w:tc>
          <w:tcPr>
            <w:tcW w:w="1369" w:type="dxa"/>
            <w:tcBorders>
              <w:top w:val="single" w:color="000000" w:sz="4" w:space="0"/>
              <w:left w:val="single" w:color="000000" w:sz="4" w:space="0"/>
              <w:bottom w:val="single" w:color="000000" w:sz="4" w:space="0"/>
              <w:right w:val="single" w:color="000000" w:sz="4" w:space="0"/>
            </w:tcBorders>
            <w:vAlign w:val="center"/>
          </w:tcPr>
          <w:p w14:paraId="1E80D150">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从业人员(X)</w:t>
            </w:r>
          </w:p>
        </w:tc>
        <w:tc>
          <w:tcPr>
            <w:tcW w:w="709" w:type="dxa"/>
            <w:tcBorders>
              <w:top w:val="single" w:color="000000" w:sz="4" w:space="0"/>
              <w:left w:val="single" w:color="000000" w:sz="4" w:space="0"/>
              <w:bottom w:val="single" w:color="000000" w:sz="4" w:space="0"/>
              <w:right w:val="single" w:color="000000" w:sz="4" w:space="0"/>
            </w:tcBorders>
            <w:vAlign w:val="center"/>
          </w:tcPr>
          <w:p w14:paraId="1777BE65">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人</w:t>
            </w:r>
          </w:p>
        </w:tc>
        <w:tc>
          <w:tcPr>
            <w:tcW w:w="1125" w:type="dxa"/>
            <w:tcBorders>
              <w:top w:val="single" w:color="000000" w:sz="4" w:space="0"/>
              <w:left w:val="single" w:color="000000" w:sz="4" w:space="0"/>
              <w:bottom w:val="single" w:color="000000" w:sz="4" w:space="0"/>
              <w:right w:val="single" w:color="000000" w:sz="4" w:space="0"/>
            </w:tcBorders>
            <w:vAlign w:val="center"/>
          </w:tcPr>
          <w:p w14:paraId="389A12A9">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X≥300</w:t>
            </w:r>
          </w:p>
        </w:tc>
        <w:tc>
          <w:tcPr>
            <w:tcW w:w="1701" w:type="dxa"/>
            <w:tcBorders>
              <w:top w:val="single" w:color="000000" w:sz="4" w:space="0"/>
              <w:left w:val="single" w:color="000000" w:sz="4" w:space="0"/>
              <w:bottom w:val="single" w:color="000000" w:sz="4" w:space="0"/>
              <w:right w:val="single" w:color="000000" w:sz="4" w:space="0"/>
            </w:tcBorders>
            <w:vAlign w:val="center"/>
          </w:tcPr>
          <w:p w14:paraId="15BD2812">
            <w:pPr>
              <w:ind w:left="1" w:leftChars="-51" w:hanging="108"/>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 xml:space="preserve">100≤X＜300 </w:t>
            </w:r>
          </w:p>
        </w:tc>
        <w:tc>
          <w:tcPr>
            <w:tcW w:w="1426" w:type="dxa"/>
            <w:tcBorders>
              <w:top w:val="single" w:color="000000" w:sz="4" w:space="0"/>
              <w:left w:val="single" w:color="000000" w:sz="4" w:space="0"/>
              <w:bottom w:val="single" w:color="000000" w:sz="4" w:space="0"/>
              <w:right w:val="single" w:color="000000" w:sz="4" w:space="0"/>
            </w:tcBorders>
            <w:vAlign w:val="center"/>
          </w:tcPr>
          <w:p w14:paraId="2D220A1F">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10≤X＜100</w:t>
            </w:r>
          </w:p>
        </w:tc>
        <w:tc>
          <w:tcPr>
            <w:tcW w:w="992" w:type="dxa"/>
            <w:tcBorders>
              <w:top w:val="single" w:color="000000" w:sz="4" w:space="0"/>
              <w:left w:val="single" w:color="000000" w:sz="4" w:space="0"/>
              <w:bottom w:val="single" w:color="000000" w:sz="4" w:space="0"/>
              <w:right w:val="single" w:color="000000" w:sz="4" w:space="0"/>
            </w:tcBorders>
            <w:vAlign w:val="center"/>
          </w:tcPr>
          <w:p w14:paraId="08F07666">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X＜10</w:t>
            </w:r>
          </w:p>
        </w:tc>
      </w:tr>
      <w:tr w14:paraId="01E2C3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continue"/>
            <w:tcBorders>
              <w:top w:val="single" w:color="000000" w:sz="4" w:space="0"/>
              <w:left w:val="single" w:color="000000" w:sz="4" w:space="0"/>
              <w:bottom w:val="single" w:color="000000" w:sz="4" w:space="0"/>
              <w:right w:val="single" w:color="000000" w:sz="4" w:space="0"/>
            </w:tcBorders>
            <w:vAlign w:val="center"/>
          </w:tcPr>
          <w:p w14:paraId="1ED7E823">
            <w:pPr>
              <w:jc w:val="left"/>
              <w:rPr>
                <w:rStyle w:val="40"/>
                <w:rFonts w:hint="eastAsia" w:ascii="宋体" w:hAnsi="宋体" w:eastAsia="宋体" w:cs="宋体"/>
                <w:color w:val="auto"/>
                <w:kern w:val="0"/>
                <w:sz w:val="21"/>
                <w:szCs w:val="21"/>
                <w:highlight w:val="none"/>
              </w:rPr>
            </w:pPr>
          </w:p>
        </w:tc>
        <w:tc>
          <w:tcPr>
            <w:tcW w:w="1369" w:type="dxa"/>
            <w:tcBorders>
              <w:top w:val="single" w:color="000000" w:sz="4" w:space="0"/>
              <w:left w:val="single" w:color="000000" w:sz="4" w:space="0"/>
              <w:bottom w:val="single" w:color="000000" w:sz="4" w:space="0"/>
              <w:right w:val="single" w:color="000000" w:sz="4" w:space="0"/>
            </w:tcBorders>
            <w:vAlign w:val="center"/>
          </w:tcPr>
          <w:p w14:paraId="7AA36C99">
            <w:pPr>
              <w:spacing w:line="240" w:lineRule="exact"/>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营业收入(Y)</w:t>
            </w:r>
          </w:p>
        </w:tc>
        <w:tc>
          <w:tcPr>
            <w:tcW w:w="709" w:type="dxa"/>
            <w:tcBorders>
              <w:top w:val="single" w:color="000000" w:sz="4" w:space="0"/>
              <w:left w:val="single" w:color="000000" w:sz="4" w:space="0"/>
              <w:bottom w:val="single" w:color="000000" w:sz="4" w:space="0"/>
              <w:right w:val="single" w:color="000000" w:sz="4" w:space="0"/>
            </w:tcBorders>
            <w:vAlign w:val="center"/>
          </w:tcPr>
          <w:p w14:paraId="45A90BAD">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5BCB647E">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Y≥10000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77EFDEDE">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2000≤Y＜10000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2DFD122A">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100≤Y＜2000</w:t>
            </w:r>
          </w:p>
        </w:tc>
        <w:tc>
          <w:tcPr>
            <w:tcW w:w="992" w:type="dxa"/>
            <w:tcBorders>
              <w:top w:val="single" w:color="000000" w:sz="4" w:space="0"/>
              <w:left w:val="single" w:color="000000" w:sz="4" w:space="0"/>
              <w:bottom w:val="single" w:color="000000" w:sz="4" w:space="0"/>
              <w:right w:val="single" w:color="000000" w:sz="4" w:space="0"/>
            </w:tcBorders>
            <w:vAlign w:val="center"/>
          </w:tcPr>
          <w:p w14:paraId="56AA60EA">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Y＜100</w:t>
            </w:r>
          </w:p>
        </w:tc>
      </w:tr>
      <w:tr w14:paraId="4E125D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restart"/>
            <w:tcBorders>
              <w:top w:val="single" w:color="000000" w:sz="4" w:space="0"/>
              <w:left w:val="single" w:color="000000" w:sz="4" w:space="0"/>
              <w:bottom w:val="single" w:color="000000" w:sz="4" w:space="0"/>
              <w:right w:val="single" w:color="000000" w:sz="4" w:space="0"/>
            </w:tcBorders>
            <w:vAlign w:val="center"/>
          </w:tcPr>
          <w:p w14:paraId="7FF20D7C">
            <w:pPr>
              <w:spacing w:line="240" w:lineRule="exact"/>
              <w:jc w:val="left"/>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信息传输业 *</w:t>
            </w:r>
          </w:p>
        </w:tc>
        <w:tc>
          <w:tcPr>
            <w:tcW w:w="1369" w:type="dxa"/>
            <w:tcBorders>
              <w:top w:val="single" w:color="000000" w:sz="4" w:space="0"/>
              <w:left w:val="single" w:color="000000" w:sz="4" w:space="0"/>
              <w:bottom w:val="single" w:color="000000" w:sz="4" w:space="0"/>
              <w:right w:val="single" w:color="000000" w:sz="4" w:space="0"/>
            </w:tcBorders>
            <w:vAlign w:val="center"/>
          </w:tcPr>
          <w:p w14:paraId="7B29865D">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从业人员(X)</w:t>
            </w:r>
          </w:p>
        </w:tc>
        <w:tc>
          <w:tcPr>
            <w:tcW w:w="709" w:type="dxa"/>
            <w:tcBorders>
              <w:top w:val="single" w:color="000000" w:sz="4" w:space="0"/>
              <w:left w:val="single" w:color="000000" w:sz="4" w:space="0"/>
              <w:bottom w:val="single" w:color="000000" w:sz="4" w:space="0"/>
              <w:right w:val="single" w:color="000000" w:sz="4" w:space="0"/>
            </w:tcBorders>
            <w:vAlign w:val="center"/>
          </w:tcPr>
          <w:p w14:paraId="2E51EF5F">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人</w:t>
            </w:r>
          </w:p>
        </w:tc>
        <w:tc>
          <w:tcPr>
            <w:tcW w:w="1125" w:type="dxa"/>
            <w:tcBorders>
              <w:top w:val="single" w:color="000000" w:sz="4" w:space="0"/>
              <w:left w:val="single" w:color="000000" w:sz="4" w:space="0"/>
              <w:bottom w:val="single" w:color="000000" w:sz="4" w:space="0"/>
              <w:right w:val="single" w:color="000000" w:sz="4" w:space="0"/>
            </w:tcBorders>
            <w:vAlign w:val="center"/>
          </w:tcPr>
          <w:p w14:paraId="20FD315A">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X≥2000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4E1E01E0">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100≤X＜2000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20F5BDEB">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10≤X＜100</w:t>
            </w:r>
          </w:p>
        </w:tc>
        <w:tc>
          <w:tcPr>
            <w:tcW w:w="992" w:type="dxa"/>
            <w:tcBorders>
              <w:top w:val="single" w:color="000000" w:sz="4" w:space="0"/>
              <w:left w:val="single" w:color="000000" w:sz="4" w:space="0"/>
              <w:bottom w:val="single" w:color="000000" w:sz="4" w:space="0"/>
              <w:right w:val="single" w:color="000000" w:sz="4" w:space="0"/>
            </w:tcBorders>
            <w:vAlign w:val="center"/>
          </w:tcPr>
          <w:p w14:paraId="67B20ED7">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X＜10</w:t>
            </w:r>
          </w:p>
        </w:tc>
      </w:tr>
      <w:tr w14:paraId="59106F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vMerge w:val="continue"/>
            <w:tcBorders>
              <w:top w:val="single" w:color="000000" w:sz="4" w:space="0"/>
              <w:left w:val="single" w:color="000000" w:sz="4" w:space="0"/>
              <w:bottom w:val="single" w:color="000000" w:sz="4" w:space="0"/>
              <w:right w:val="single" w:color="000000" w:sz="4" w:space="0"/>
            </w:tcBorders>
            <w:vAlign w:val="center"/>
          </w:tcPr>
          <w:p w14:paraId="4EA5F527">
            <w:pPr>
              <w:jc w:val="left"/>
              <w:rPr>
                <w:rStyle w:val="40"/>
                <w:rFonts w:hint="eastAsia" w:ascii="宋体" w:hAnsi="宋体" w:eastAsia="宋体" w:cs="宋体"/>
                <w:color w:val="auto"/>
                <w:kern w:val="0"/>
                <w:sz w:val="21"/>
                <w:szCs w:val="21"/>
                <w:highlight w:val="none"/>
              </w:rPr>
            </w:pPr>
          </w:p>
        </w:tc>
        <w:tc>
          <w:tcPr>
            <w:tcW w:w="1369" w:type="dxa"/>
            <w:tcBorders>
              <w:top w:val="single" w:color="000000" w:sz="4" w:space="0"/>
              <w:left w:val="single" w:color="000000" w:sz="4" w:space="0"/>
              <w:bottom w:val="single" w:color="000000" w:sz="4" w:space="0"/>
              <w:right w:val="single" w:color="000000" w:sz="4" w:space="0"/>
            </w:tcBorders>
            <w:vAlign w:val="center"/>
          </w:tcPr>
          <w:p w14:paraId="6ED37E51">
            <w:pPr>
              <w:spacing w:line="240" w:lineRule="exact"/>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营业收入(Y)</w:t>
            </w:r>
          </w:p>
        </w:tc>
        <w:tc>
          <w:tcPr>
            <w:tcW w:w="709" w:type="dxa"/>
            <w:tcBorders>
              <w:top w:val="single" w:color="000000" w:sz="4" w:space="0"/>
              <w:left w:val="single" w:color="000000" w:sz="4" w:space="0"/>
              <w:bottom w:val="single" w:color="000000" w:sz="4" w:space="0"/>
              <w:right w:val="single" w:color="000000" w:sz="4" w:space="0"/>
            </w:tcBorders>
            <w:vAlign w:val="center"/>
          </w:tcPr>
          <w:p w14:paraId="7B6835B2">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6A17599C">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Y≥100000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30B6B470">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1000≤Y＜100000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4A78A899">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100≤Y＜1000</w:t>
            </w:r>
          </w:p>
        </w:tc>
        <w:tc>
          <w:tcPr>
            <w:tcW w:w="992" w:type="dxa"/>
            <w:tcBorders>
              <w:top w:val="single" w:color="000000" w:sz="4" w:space="0"/>
              <w:left w:val="single" w:color="000000" w:sz="4" w:space="0"/>
              <w:bottom w:val="single" w:color="000000" w:sz="4" w:space="0"/>
              <w:right w:val="single" w:color="000000" w:sz="4" w:space="0"/>
            </w:tcBorders>
            <w:vAlign w:val="center"/>
          </w:tcPr>
          <w:p w14:paraId="0205E443">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Y＜100</w:t>
            </w:r>
          </w:p>
        </w:tc>
      </w:tr>
      <w:tr w14:paraId="6DD519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trPr>
        <w:tc>
          <w:tcPr>
            <w:tcW w:w="2113" w:type="dxa"/>
            <w:vMerge w:val="restart"/>
            <w:tcBorders>
              <w:top w:val="single" w:color="000000" w:sz="4" w:space="0"/>
              <w:left w:val="single" w:color="000000" w:sz="4" w:space="0"/>
              <w:bottom w:val="single" w:color="000000" w:sz="4" w:space="0"/>
              <w:right w:val="single" w:color="000000" w:sz="4" w:space="0"/>
            </w:tcBorders>
            <w:vAlign w:val="center"/>
          </w:tcPr>
          <w:p w14:paraId="236D22EB">
            <w:pPr>
              <w:spacing w:line="240" w:lineRule="exact"/>
              <w:jc w:val="left"/>
              <w:rPr>
                <w:rStyle w:val="40"/>
                <w:rFonts w:hint="eastAsia" w:ascii="宋体" w:hAnsi="宋体" w:eastAsia="宋体" w:cs="宋体"/>
                <w:color w:val="auto"/>
                <w:spacing w:val="-12"/>
                <w:kern w:val="0"/>
                <w:sz w:val="21"/>
                <w:szCs w:val="21"/>
                <w:highlight w:val="none"/>
              </w:rPr>
            </w:pPr>
            <w:r>
              <w:rPr>
                <w:rStyle w:val="40"/>
                <w:rFonts w:hint="eastAsia" w:ascii="宋体" w:hAnsi="宋体" w:eastAsia="宋体" w:cs="宋体"/>
                <w:color w:val="auto"/>
                <w:spacing w:val="-12"/>
                <w:kern w:val="0"/>
                <w:sz w:val="21"/>
                <w:szCs w:val="21"/>
                <w:highlight w:val="none"/>
              </w:rPr>
              <w:t>软件和信息技术服</w:t>
            </w:r>
            <w:r>
              <w:rPr>
                <w:rStyle w:val="40"/>
                <w:rFonts w:hint="eastAsia" w:ascii="宋体" w:hAnsi="宋体" w:eastAsia="宋体" w:cs="宋体"/>
                <w:color w:val="auto"/>
                <w:kern w:val="0"/>
                <w:sz w:val="21"/>
                <w:szCs w:val="21"/>
                <w:highlight w:val="none"/>
              </w:rPr>
              <w:t>务业</w:t>
            </w:r>
          </w:p>
        </w:tc>
        <w:tc>
          <w:tcPr>
            <w:tcW w:w="1369" w:type="dxa"/>
            <w:tcBorders>
              <w:top w:val="single" w:color="000000" w:sz="4" w:space="0"/>
              <w:left w:val="single" w:color="000000" w:sz="4" w:space="0"/>
              <w:bottom w:val="single" w:color="000000" w:sz="4" w:space="0"/>
              <w:right w:val="single" w:color="000000" w:sz="4" w:space="0"/>
            </w:tcBorders>
            <w:vAlign w:val="center"/>
          </w:tcPr>
          <w:p w14:paraId="72AA6857">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从业人员(X)</w:t>
            </w:r>
          </w:p>
        </w:tc>
        <w:tc>
          <w:tcPr>
            <w:tcW w:w="709" w:type="dxa"/>
            <w:tcBorders>
              <w:top w:val="single" w:color="000000" w:sz="4" w:space="0"/>
              <w:left w:val="single" w:color="000000" w:sz="4" w:space="0"/>
              <w:bottom w:val="single" w:color="000000" w:sz="4" w:space="0"/>
              <w:right w:val="single" w:color="000000" w:sz="4" w:space="0"/>
            </w:tcBorders>
            <w:vAlign w:val="center"/>
          </w:tcPr>
          <w:p w14:paraId="07B3356F">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人</w:t>
            </w:r>
          </w:p>
        </w:tc>
        <w:tc>
          <w:tcPr>
            <w:tcW w:w="1125" w:type="dxa"/>
            <w:tcBorders>
              <w:top w:val="single" w:color="000000" w:sz="4" w:space="0"/>
              <w:left w:val="single" w:color="000000" w:sz="4" w:space="0"/>
              <w:bottom w:val="single" w:color="000000" w:sz="4" w:space="0"/>
              <w:right w:val="single" w:color="000000" w:sz="4" w:space="0"/>
            </w:tcBorders>
            <w:vAlign w:val="center"/>
          </w:tcPr>
          <w:p w14:paraId="1B47A0FA">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X≥300</w:t>
            </w:r>
          </w:p>
        </w:tc>
        <w:tc>
          <w:tcPr>
            <w:tcW w:w="1701" w:type="dxa"/>
            <w:tcBorders>
              <w:top w:val="single" w:color="000000" w:sz="4" w:space="0"/>
              <w:left w:val="single" w:color="000000" w:sz="4" w:space="0"/>
              <w:bottom w:val="single" w:color="000000" w:sz="4" w:space="0"/>
              <w:right w:val="single" w:color="000000" w:sz="4" w:space="0"/>
            </w:tcBorders>
            <w:vAlign w:val="center"/>
          </w:tcPr>
          <w:p w14:paraId="79E3927C">
            <w:pPr>
              <w:ind w:left="1" w:leftChars="-51" w:hanging="108"/>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 xml:space="preserve">100≤X＜300 </w:t>
            </w:r>
          </w:p>
        </w:tc>
        <w:tc>
          <w:tcPr>
            <w:tcW w:w="1426" w:type="dxa"/>
            <w:tcBorders>
              <w:top w:val="single" w:color="000000" w:sz="4" w:space="0"/>
              <w:left w:val="single" w:color="000000" w:sz="4" w:space="0"/>
              <w:bottom w:val="single" w:color="000000" w:sz="4" w:space="0"/>
              <w:right w:val="single" w:color="000000" w:sz="4" w:space="0"/>
            </w:tcBorders>
            <w:vAlign w:val="center"/>
          </w:tcPr>
          <w:p w14:paraId="6F387D81">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10≤X＜100</w:t>
            </w:r>
          </w:p>
        </w:tc>
        <w:tc>
          <w:tcPr>
            <w:tcW w:w="992" w:type="dxa"/>
            <w:tcBorders>
              <w:top w:val="single" w:color="000000" w:sz="4" w:space="0"/>
              <w:left w:val="single" w:color="000000" w:sz="4" w:space="0"/>
              <w:bottom w:val="single" w:color="000000" w:sz="4" w:space="0"/>
              <w:right w:val="single" w:color="000000" w:sz="4" w:space="0"/>
            </w:tcBorders>
            <w:vAlign w:val="center"/>
          </w:tcPr>
          <w:p w14:paraId="1ADD3DF3">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X＜10</w:t>
            </w:r>
          </w:p>
        </w:tc>
      </w:tr>
      <w:tr w14:paraId="50A601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trPr>
        <w:tc>
          <w:tcPr>
            <w:tcW w:w="2113" w:type="dxa"/>
            <w:vMerge w:val="continue"/>
            <w:tcBorders>
              <w:top w:val="single" w:color="000000" w:sz="4" w:space="0"/>
              <w:left w:val="single" w:color="000000" w:sz="4" w:space="0"/>
              <w:bottom w:val="single" w:color="000000" w:sz="4" w:space="0"/>
              <w:right w:val="single" w:color="000000" w:sz="4" w:space="0"/>
            </w:tcBorders>
            <w:vAlign w:val="center"/>
          </w:tcPr>
          <w:p w14:paraId="183A2E23">
            <w:pPr>
              <w:jc w:val="left"/>
              <w:rPr>
                <w:rStyle w:val="40"/>
                <w:rFonts w:hint="eastAsia" w:ascii="宋体" w:hAnsi="宋体" w:eastAsia="宋体" w:cs="宋体"/>
                <w:color w:val="auto"/>
                <w:spacing w:val="-12"/>
                <w:kern w:val="0"/>
                <w:sz w:val="21"/>
                <w:szCs w:val="21"/>
                <w:highlight w:val="none"/>
              </w:rPr>
            </w:pPr>
          </w:p>
        </w:tc>
        <w:tc>
          <w:tcPr>
            <w:tcW w:w="1369" w:type="dxa"/>
            <w:tcBorders>
              <w:top w:val="single" w:color="000000" w:sz="4" w:space="0"/>
              <w:left w:val="single" w:color="000000" w:sz="4" w:space="0"/>
              <w:bottom w:val="single" w:color="000000" w:sz="4" w:space="0"/>
              <w:right w:val="single" w:color="000000" w:sz="4" w:space="0"/>
            </w:tcBorders>
            <w:vAlign w:val="center"/>
          </w:tcPr>
          <w:p w14:paraId="6CC26E21">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营业收入(Y)</w:t>
            </w:r>
          </w:p>
        </w:tc>
        <w:tc>
          <w:tcPr>
            <w:tcW w:w="709" w:type="dxa"/>
            <w:tcBorders>
              <w:top w:val="single" w:color="000000" w:sz="4" w:space="0"/>
              <w:left w:val="single" w:color="000000" w:sz="4" w:space="0"/>
              <w:bottom w:val="single" w:color="000000" w:sz="4" w:space="0"/>
              <w:right w:val="single" w:color="000000" w:sz="4" w:space="0"/>
            </w:tcBorders>
            <w:vAlign w:val="center"/>
          </w:tcPr>
          <w:p w14:paraId="0BABECDA">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511AE2F8">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Y≥10000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16764D45">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1000≤Y＜10000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3E3B3EAC">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50≤Y＜1000</w:t>
            </w:r>
          </w:p>
        </w:tc>
        <w:tc>
          <w:tcPr>
            <w:tcW w:w="992" w:type="dxa"/>
            <w:tcBorders>
              <w:top w:val="single" w:color="000000" w:sz="4" w:space="0"/>
              <w:left w:val="single" w:color="000000" w:sz="4" w:space="0"/>
              <w:bottom w:val="single" w:color="000000" w:sz="4" w:space="0"/>
              <w:right w:val="single" w:color="000000" w:sz="4" w:space="0"/>
            </w:tcBorders>
            <w:vAlign w:val="center"/>
          </w:tcPr>
          <w:p w14:paraId="4FA146D3">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Y＜50</w:t>
            </w:r>
          </w:p>
        </w:tc>
      </w:tr>
      <w:tr w14:paraId="3C1D8E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trPr>
        <w:tc>
          <w:tcPr>
            <w:tcW w:w="2113" w:type="dxa"/>
            <w:vMerge w:val="restart"/>
            <w:tcBorders>
              <w:top w:val="single" w:color="000000" w:sz="4" w:space="0"/>
              <w:left w:val="single" w:color="000000" w:sz="4" w:space="0"/>
              <w:bottom w:val="single" w:color="000000" w:sz="4" w:space="0"/>
              <w:right w:val="single" w:color="000000" w:sz="4" w:space="0"/>
            </w:tcBorders>
            <w:vAlign w:val="center"/>
          </w:tcPr>
          <w:p w14:paraId="482F3340">
            <w:pPr>
              <w:spacing w:line="240" w:lineRule="exact"/>
              <w:jc w:val="left"/>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房地产开发经营</w:t>
            </w:r>
          </w:p>
        </w:tc>
        <w:tc>
          <w:tcPr>
            <w:tcW w:w="1369" w:type="dxa"/>
            <w:tcBorders>
              <w:top w:val="single" w:color="000000" w:sz="4" w:space="0"/>
              <w:left w:val="single" w:color="000000" w:sz="4" w:space="0"/>
              <w:bottom w:val="single" w:color="000000" w:sz="4" w:space="0"/>
              <w:right w:val="single" w:color="000000" w:sz="4" w:space="0"/>
            </w:tcBorders>
            <w:vAlign w:val="center"/>
          </w:tcPr>
          <w:p w14:paraId="400CE110">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营业收入(Y)</w:t>
            </w:r>
          </w:p>
        </w:tc>
        <w:tc>
          <w:tcPr>
            <w:tcW w:w="709" w:type="dxa"/>
            <w:tcBorders>
              <w:top w:val="single" w:color="000000" w:sz="4" w:space="0"/>
              <w:left w:val="single" w:color="000000" w:sz="4" w:space="0"/>
              <w:bottom w:val="single" w:color="000000" w:sz="4" w:space="0"/>
              <w:right w:val="single" w:color="000000" w:sz="4" w:space="0"/>
            </w:tcBorders>
            <w:vAlign w:val="center"/>
          </w:tcPr>
          <w:p w14:paraId="5482693F">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67094DB3">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Y≥200000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104EB7C9">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1000≤Y＜200000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67A55740">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100≤Y＜1000</w:t>
            </w:r>
          </w:p>
        </w:tc>
        <w:tc>
          <w:tcPr>
            <w:tcW w:w="992" w:type="dxa"/>
            <w:tcBorders>
              <w:top w:val="single" w:color="000000" w:sz="4" w:space="0"/>
              <w:left w:val="single" w:color="000000" w:sz="4" w:space="0"/>
              <w:bottom w:val="single" w:color="000000" w:sz="4" w:space="0"/>
              <w:right w:val="single" w:color="000000" w:sz="4" w:space="0"/>
            </w:tcBorders>
            <w:vAlign w:val="center"/>
          </w:tcPr>
          <w:p w14:paraId="6660F20A">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Y＜100</w:t>
            </w:r>
          </w:p>
        </w:tc>
      </w:tr>
      <w:tr w14:paraId="4BAA30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trPr>
        <w:tc>
          <w:tcPr>
            <w:tcW w:w="2113" w:type="dxa"/>
            <w:vMerge w:val="continue"/>
            <w:tcBorders>
              <w:top w:val="single" w:color="000000" w:sz="4" w:space="0"/>
              <w:left w:val="single" w:color="000000" w:sz="4" w:space="0"/>
              <w:bottom w:val="single" w:color="000000" w:sz="4" w:space="0"/>
              <w:right w:val="single" w:color="000000" w:sz="4" w:space="0"/>
            </w:tcBorders>
            <w:vAlign w:val="center"/>
          </w:tcPr>
          <w:p w14:paraId="15817ECB">
            <w:pPr>
              <w:jc w:val="left"/>
              <w:rPr>
                <w:rStyle w:val="40"/>
                <w:rFonts w:hint="eastAsia" w:ascii="宋体" w:hAnsi="宋体" w:eastAsia="宋体" w:cs="宋体"/>
                <w:color w:val="auto"/>
                <w:kern w:val="0"/>
                <w:sz w:val="21"/>
                <w:szCs w:val="21"/>
                <w:highlight w:val="none"/>
              </w:rPr>
            </w:pPr>
          </w:p>
        </w:tc>
        <w:tc>
          <w:tcPr>
            <w:tcW w:w="1369" w:type="dxa"/>
            <w:tcBorders>
              <w:top w:val="single" w:color="000000" w:sz="4" w:space="0"/>
              <w:left w:val="single" w:color="000000" w:sz="4" w:space="0"/>
              <w:bottom w:val="single" w:color="000000" w:sz="4" w:space="0"/>
              <w:right w:val="single" w:color="000000" w:sz="4" w:space="0"/>
            </w:tcBorders>
            <w:vAlign w:val="center"/>
          </w:tcPr>
          <w:p w14:paraId="1DCF1457">
            <w:pPr>
              <w:spacing w:line="240" w:lineRule="exact"/>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资产总额(Z)</w:t>
            </w:r>
          </w:p>
        </w:tc>
        <w:tc>
          <w:tcPr>
            <w:tcW w:w="709" w:type="dxa"/>
            <w:tcBorders>
              <w:top w:val="single" w:color="000000" w:sz="4" w:space="0"/>
              <w:left w:val="single" w:color="000000" w:sz="4" w:space="0"/>
              <w:bottom w:val="single" w:color="000000" w:sz="4" w:space="0"/>
              <w:right w:val="single" w:color="000000" w:sz="4" w:space="0"/>
            </w:tcBorders>
            <w:vAlign w:val="center"/>
          </w:tcPr>
          <w:p w14:paraId="04E018DA">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1EB19EB6">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Z≥10000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753C6B7A">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5000≤Z＜10000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5BA912C3">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2000≤Z＜5000</w:t>
            </w:r>
          </w:p>
        </w:tc>
        <w:tc>
          <w:tcPr>
            <w:tcW w:w="992" w:type="dxa"/>
            <w:tcBorders>
              <w:top w:val="single" w:color="000000" w:sz="4" w:space="0"/>
              <w:left w:val="single" w:color="000000" w:sz="4" w:space="0"/>
              <w:bottom w:val="single" w:color="000000" w:sz="4" w:space="0"/>
              <w:right w:val="single" w:color="000000" w:sz="4" w:space="0"/>
            </w:tcBorders>
            <w:vAlign w:val="center"/>
          </w:tcPr>
          <w:p w14:paraId="5F81AAF0">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Z＜2000</w:t>
            </w:r>
          </w:p>
        </w:tc>
      </w:tr>
      <w:tr w14:paraId="59C1D2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trPr>
        <w:tc>
          <w:tcPr>
            <w:tcW w:w="2113" w:type="dxa"/>
            <w:vMerge w:val="restart"/>
            <w:tcBorders>
              <w:top w:val="single" w:color="000000" w:sz="4" w:space="0"/>
              <w:left w:val="single" w:color="000000" w:sz="4" w:space="0"/>
              <w:bottom w:val="single" w:color="000000" w:sz="4" w:space="0"/>
              <w:right w:val="single" w:color="000000" w:sz="4" w:space="0"/>
            </w:tcBorders>
            <w:vAlign w:val="center"/>
          </w:tcPr>
          <w:p w14:paraId="5A46606B">
            <w:pPr>
              <w:spacing w:line="240" w:lineRule="exact"/>
              <w:jc w:val="left"/>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物业管理</w:t>
            </w:r>
          </w:p>
        </w:tc>
        <w:tc>
          <w:tcPr>
            <w:tcW w:w="1369" w:type="dxa"/>
            <w:tcBorders>
              <w:top w:val="single" w:color="000000" w:sz="4" w:space="0"/>
              <w:left w:val="single" w:color="000000" w:sz="4" w:space="0"/>
              <w:bottom w:val="single" w:color="000000" w:sz="4" w:space="0"/>
              <w:right w:val="single" w:color="000000" w:sz="4" w:space="0"/>
            </w:tcBorders>
            <w:vAlign w:val="center"/>
          </w:tcPr>
          <w:p w14:paraId="3286334D">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从业人员(X)</w:t>
            </w:r>
          </w:p>
        </w:tc>
        <w:tc>
          <w:tcPr>
            <w:tcW w:w="709" w:type="dxa"/>
            <w:tcBorders>
              <w:top w:val="single" w:color="000000" w:sz="4" w:space="0"/>
              <w:left w:val="single" w:color="000000" w:sz="4" w:space="0"/>
              <w:bottom w:val="single" w:color="000000" w:sz="4" w:space="0"/>
              <w:right w:val="single" w:color="000000" w:sz="4" w:space="0"/>
            </w:tcBorders>
            <w:vAlign w:val="center"/>
          </w:tcPr>
          <w:p w14:paraId="50F68CD3">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人</w:t>
            </w:r>
          </w:p>
        </w:tc>
        <w:tc>
          <w:tcPr>
            <w:tcW w:w="1125" w:type="dxa"/>
            <w:tcBorders>
              <w:top w:val="single" w:color="000000" w:sz="4" w:space="0"/>
              <w:left w:val="single" w:color="000000" w:sz="4" w:space="0"/>
              <w:bottom w:val="single" w:color="000000" w:sz="4" w:space="0"/>
              <w:right w:val="single" w:color="000000" w:sz="4" w:space="0"/>
            </w:tcBorders>
            <w:vAlign w:val="center"/>
          </w:tcPr>
          <w:p w14:paraId="262E3414">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X≥1000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35BE9540">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300≤X＜1000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1B67FE5D">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100≤X＜300</w:t>
            </w:r>
          </w:p>
        </w:tc>
        <w:tc>
          <w:tcPr>
            <w:tcW w:w="992" w:type="dxa"/>
            <w:tcBorders>
              <w:top w:val="single" w:color="000000" w:sz="4" w:space="0"/>
              <w:left w:val="single" w:color="000000" w:sz="4" w:space="0"/>
              <w:bottom w:val="single" w:color="000000" w:sz="4" w:space="0"/>
              <w:right w:val="single" w:color="000000" w:sz="4" w:space="0"/>
            </w:tcBorders>
            <w:vAlign w:val="center"/>
          </w:tcPr>
          <w:p w14:paraId="64EB6449">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X＜100</w:t>
            </w:r>
          </w:p>
        </w:tc>
      </w:tr>
      <w:tr w14:paraId="5DDF53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trPr>
        <w:tc>
          <w:tcPr>
            <w:tcW w:w="2113" w:type="dxa"/>
            <w:vMerge w:val="continue"/>
            <w:tcBorders>
              <w:top w:val="single" w:color="000000" w:sz="4" w:space="0"/>
              <w:left w:val="single" w:color="000000" w:sz="4" w:space="0"/>
              <w:bottom w:val="single" w:color="000000" w:sz="4" w:space="0"/>
              <w:right w:val="single" w:color="000000" w:sz="4" w:space="0"/>
            </w:tcBorders>
            <w:vAlign w:val="center"/>
          </w:tcPr>
          <w:p w14:paraId="7E8EDD9B">
            <w:pPr>
              <w:jc w:val="left"/>
              <w:rPr>
                <w:rStyle w:val="40"/>
                <w:rFonts w:hint="eastAsia" w:ascii="宋体" w:hAnsi="宋体" w:eastAsia="宋体" w:cs="宋体"/>
                <w:color w:val="auto"/>
                <w:kern w:val="0"/>
                <w:sz w:val="21"/>
                <w:szCs w:val="21"/>
                <w:highlight w:val="none"/>
              </w:rPr>
            </w:pPr>
          </w:p>
        </w:tc>
        <w:tc>
          <w:tcPr>
            <w:tcW w:w="1369" w:type="dxa"/>
            <w:tcBorders>
              <w:top w:val="single" w:color="000000" w:sz="4" w:space="0"/>
              <w:left w:val="single" w:color="000000" w:sz="4" w:space="0"/>
              <w:bottom w:val="single" w:color="000000" w:sz="4" w:space="0"/>
              <w:right w:val="single" w:color="000000" w:sz="4" w:space="0"/>
            </w:tcBorders>
            <w:vAlign w:val="center"/>
          </w:tcPr>
          <w:p w14:paraId="231C00D0">
            <w:pPr>
              <w:spacing w:line="240" w:lineRule="exact"/>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营业收入(Y)</w:t>
            </w:r>
          </w:p>
        </w:tc>
        <w:tc>
          <w:tcPr>
            <w:tcW w:w="709" w:type="dxa"/>
            <w:tcBorders>
              <w:top w:val="single" w:color="000000" w:sz="4" w:space="0"/>
              <w:left w:val="single" w:color="000000" w:sz="4" w:space="0"/>
              <w:bottom w:val="single" w:color="000000" w:sz="4" w:space="0"/>
              <w:right w:val="single" w:color="000000" w:sz="4" w:space="0"/>
            </w:tcBorders>
            <w:vAlign w:val="center"/>
          </w:tcPr>
          <w:p w14:paraId="14A7FC86">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5983144E">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Y≥5000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2D6BB489">
            <w:pPr>
              <w:ind w:left="1" w:leftChars="-51" w:hanging="108"/>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1000≤Y＜5000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793E1FE8">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500≤Y＜1000</w:t>
            </w:r>
          </w:p>
        </w:tc>
        <w:tc>
          <w:tcPr>
            <w:tcW w:w="992" w:type="dxa"/>
            <w:tcBorders>
              <w:top w:val="single" w:color="000000" w:sz="4" w:space="0"/>
              <w:left w:val="single" w:color="000000" w:sz="4" w:space="0"/>
              <w:bottom w:val="single" w:color="000000" w:sz="4" w:space="0"/>
              <w:right w:val="single" w:color="000000" w:sz="4" w:space="0"/>
            </w:tcBorders>
            <w:vAlign w:val="center"/>
          </w:tcPr>
          <w:p w14:paraId="54B30E94">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Y＜500</w:t>
            </w:r>
          </w:p>
        </w:tc>
      </w:tr>
      <w:tr w14:paraId="25D618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trPr>
        <w:tc>
          <w:tcPr>
            <w:tcW w:w="2113" w:type="dxa"/>
            <w:vMerge w:val="restart"/>
            <w:tcBorders>
              <w:top w:val="single" w:color="000000" w:sz="4" w:space="0"/>
              <w:left w:val="single" w:color="000000" w:sz="4" w:space="0"/>
              <w:bottom w:val="single" w:color="000000" w:sz="4" w:space="0"/>
              <w:right w:val="single" w:color="000000" w:sz="4" w:space="0"/>
            </w:tcBorders>
            <w:vAlign w:val="center"/>
          </w:tcPr>
          <w:p w14:paraId="7A79B9E5">
            <w:pPr>
              <w:spacing w:line="240" w:lineRule="exact"/>
              <w:jc w:val="left"/>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租赁和商务服务业</w:t>
            </w:r>
          </w:p>
        </w:tc>
        <w:tc>
          <w:tcPr>
            <w:tcW w:w="1369" w:type="dxa"/>
            <w:tcBorders>
              <w:top w:val="single" w:color="000000" w:sz="4" w:space="0"/>
              <w:left w:val="single" w:color="000000" w:sz="4" w:space="0"/>
              <w:bottom w:val="single" w:color="000000" w:sz="4" w:space="0"/>
              <w:right w:val="single" w:color="000000" w:sz="4" w:space="0"/>
            </w:tcBorders>
            <w:vAlign w:val="center"/>
          </w:tcPr>
          <w:p w14:paraId="463AE7C7">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从业人员(X)</w:t>
            </w:r>
          </w:p>
        </w:tc>
        <w:tc>
          <w:tcPr>
            <w:tcW w:w="709" w:type="dxa"/>
            <w:tcBorders>
              <w:top w:val="single" w:color="000000" w:sz="4" w:space="0"/>
              <w:left w:val="single" w:color="000000" w:sz="4" w:space="0"/>
              <w:bottom w:val="single" w:color="000000" w:sz="4" w:space="0"/>
              <w:right w:val="single" w:color="000000" w:sz="4" w:space="0"/>
            </w:tcBorders>
            <w:vAlign w:val="center"/>
          </w:tcPr>
          <w:p w14:paraId="6E806B2E">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人</w:t>
            </w:r>
          </w:p>
        </w:tc>
        <w:tc>
          <w:tcPr>
            <w:tcW w:w="1125" w:type="dxa"/>
            <w:tcBorders>
              <w:top w:val="single" w:color="000000" w:sz="4" w:space="0"/>
              <w:left w:val="single" w:color="000000" w:sz="4" w:space="0"/>
              <w:bottom w:val="single" w:color="000000" w:sz="4" w:space="0"/>
              <w:right w:val="single" w:color="000000" w:sz="4" w:space="0"/>
            </w:tcBorders>
            <w:vAlign w:val="center"/>
          </w:tcPr>
          <w:p w14:paraId="140B1675">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X≥300</w:t>
            </w:r>
          </w:p>
        </w:tc>
        <w:tc>
          <w:tcPr>
            <w:tcW w:w="1701" w:type="dxa"/>
            <w:tcBorders>
              <w:top w:val="single" w:color="000000" w:sz="4" w:space="0"/>
              <w:left w:val="single" w:color="000000" w:sz="4" w:space="0"/>
              <w:bottom w:val="single" w:color="000000" w:sz="4" w:space="0"/>
              <w:right w:val="single" w:color="000000" w:sz="4" w:space="0"/>
            </w:tcBorders>
            <w:vAlign w:val="center"/>
          </w:tcPr>
          <w:p w14:paraId="7015C59C">
            <w:pPr>
              <w:ind w:left="1" w:leftChars="-51" w:hanging="108"/>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100≤X＜300</w:t>
            </w:r>
          </w:p>
        </w:tc>
        <w:tc>
          <w:tcPr>
            <w:tcW w:w="1426" w:type="dxa"/>
            <w:tcBorders>
              <w:top w:val="single" w:color="000000" w:sz="4" w:space="0"/>
              <w:left w:val="single" w:color="000000" w:sz="4" w:space="0"/>
              <w:bottom w:val="single" w:color="000000" w:sz="4" w:space="0"/>
              <w:right w:val="single" w:color="000000" w:sz="4" w:space="0"/>
            </w:tcBorders>
            <w:vAlign w:val="center"/>
          </w:tcPr>
          <w:p w14:paraId="17941861">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10≤X＜100</w:t>
            </w:r>
          </w:p>
        </w:tc>
        <w:tc>
          <w:tcPr>
            <w:tcW w:w="992" w:type="dxa"/>
            <w:tcBorders>
              <w:top w:val="single" w:color="000000" w:sz="4" w:space="0"/>
              <w:left w:val="single" w:color="000000" w:sz="4" w:space="0"/>
              <w:bottom w:val="single" w:color="000000" w:sz="4" w:space="0"/>
              <w:right w:val="single" w:color="000000" w:sz="4" w:space="0"/>
            </w:tcBorders>
            <w:vAlign w:val="center"/>
          </w:tcPr>
          <w:p w14:paraId="22F0B9F5">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X＜10</w:t>
            </w:r>
          </w:p>
        </w:tc>
      </w:tr>
      <w:tr w14:paraId="6E3095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trPr>
        <w:tc>
          <w:tcPr>
            <w:tcW w:w="2113" w:type="dxa"/>
            <w:vMerge w:val="continue"/>
            <w:tcBorders>
              <w:top w:val="single" w:color="000000" w:sz="4" w:space="0"/>
              <w:left w:val="single" w:color="000000" w:sz="4" w:space="0"/>
              <w:bottom w:val="single" w:color="000000" w:sz="4" w:space="0"/>
              <w:right w:val="single" w:color="000000" w:sz="4" w:space="0"/>
            </w:tcBorders>
            <w:vAlign w:val="center"/>
          </w:tcPr>
          <w:p w14:paraId="1641EBF6">
            <w:pPr>
              <w:jc w:val="left"/>
              <w:rPr>
                <w:rStyle w:val="40"/>
                <w:rFonts w:hint="eastAsia" w:ascii="宋体" w:hAnsi="宋体" w:eastAsia="宋体" w:cs="宋体"/>
                <w:color w:val="auto"/>
                <w:kern w:val="0"/>
                <w:sz w:val="21"/>
                <w:szCs w:val="21"/>
                <w:highlight w:val="none"/>
              </w:rPr>
            </w:pPr>
          </w:p>
        </w:tc>
        <w:tc>
          <w:tcPr>
            <w:tcW w:w="1369" w:type="dxa"/>
            <w:tcBorders>
              <w:top w:val="single" w:color="000000" w:sz="4" w:space="0"/>
              <w:left w:val="single" w:color="000000" w:sz="4" w:space="0"/>
              <w:bottom w:val="single" w:color="000000" w:sz="4" w:space="0"/>
              <w:right w:val="single" w:color="000000" w:sz="4" w:space="0"/>
            </w:tcBorders>
            <w:vAlign w:val="center"/>
          </w:tcPr>
          <w:p w14:paraId="765E7D18">
            <w:pPr>
              <w:spacing w:line="240" w:lineRule="exact"/>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资产总额(Z)</w:t>
            </w:r>
          </w:p>
        </w:tc>
        <w:tc>
          <w:tcPr>
            <w:tcW w:w="709" w:type="dxa"/>
            <w:tcBorders>
              <w:top w:val="single" w:color="000000" w:sz="4" w:space="0"/>
              <w:left w:val="single" w:color="000000" w:sz="4" w:space="0"/>
              <w:bottom w:val="single" w:color="000000" w:sz="4" w:space="0"/>
              <w:right w:val="single" w:color="000000" w:sz="4" w:space="0"/>
            </w:tcBorders>
            <w:vAlign w:val="center"/>
          </w:tcPr>
          <w:p w14:paraId="6C2090BB">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万元</w:t>
            </w:r>
          </w:p>
        </w:tc>
        <w:tc>
          <w:tcPr>
            <w:tcW w:w="1125" w:type="dxa"/>
            <w:tcBorders>
              <w:top w:val="single" w:color="000000" w:sz="4" w:space="0"/>
              <w:left w:val="single" w:color="000000" w:sz="4" w:space="0"/>
              <w:bottom w:val="single" w:color="000000" w:sz="4" w:space="0"/>
              <w:right w:val="single" w:color="000000" w:sz="4" w:space="0"/>
            </w:tcBorders>
            <w:vAlign w:val="center"/>
          </w:tcPr>
          <w:p w14:paraId="55F50243">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Z≥120000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0BAB507C">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8000≤Z＜120000</w:t>
            </w:r>
          </w:p>
        </w:tc>
        <w:tc>
          <w:tcPr>
            <w:tcW w:w="1426" w:type="dxa"/>
            <w:tcBorders>
              <w:top w:val="single" w:color="000000" w:sz="4" w:space="0"/>
              <w:left w:val="single" w:color="000000" w:sz="4" w:space="0"/>
              <w:bottom w:val="single" w:color="000000" w:sz="4" w:space="0"/>
              <w:right w:val="single" w:color="000000" w:sz="4" w:space="0"/>
            </w:tcBorders>
            <w:vAlign w:val="center"/>
          </w:tcPr>
          <w:p w14:paraId="025E81B2">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100≤Z＜8000</w:t>
            </w:r>
          </w:p>
        </w:tc>
        <w:tc>
          <w:tcPr>
            <w:tcW w:w="992" w:type="dxa"/>
            <w:tcBorders>
              <w:top w:val="single" w:color="000000" w:sz="4" w:space="0"/>
              <w:left w:val="single" w:color="000000" w:sz="4" w:space="0"/>
              <w:bottom w:val="single" w:color="000000" w:sz="4" w:space="0"/>
              <w:right w:val="single" w:color="000000" w:sz="4" w:space="0"/>
            </w:tcBorders>
            <w:vAlign w:val="center"/>
          </w:tcPr>
          <w:p w14:paraId="4B8B6A8F">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Z＜100</w:t>
            </w:r>
          </w:p>
        </w:tc>
      </w:tr>
      <w:tr w14:paraId="78E5B8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trPr>
        <w:tc>
          <w:tcPr>
            <w:tcW w:w="2113" w:type="dxa"/>
            <w:tcBorders>
              <w:top w:val="single" w:color="000000" w:sz="4" w:space="0"/>
              <w:left w:val="single" w:color="000000" w:sz="4" w:space="0"/>
              <w:bottom w:val="single" w:color="000000" w:sz="4" w:space="0"/>
              <w:right w:val="single" w:color="000000" w:sz="4" w:space="0"/>
            </w:tcBorders>
            <w:vAlign w:val="center"/>
          </w:tcPr>
          <w:p w14:paraId="2A7EF855">
            <w:pPr>
              <w:spacing w:line="240" w:lineRule="exact"/>
              <w:jc w:val="left"/>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其他未列明行业 *</w:t>
            </w:r>
          </w:p>
        </w:tc>
        <w:tc>
          <w:tcPr>
            <w:tcW w:w="1369" w:type="dxa"/>
            <w:tcBorders>
              <w:top w:val="single" w:color="000000" w:sz="4" w:space="0"/>
              <w:left w:val="single" w:color="000000" w:sz="4" w:space="0"/>
              <w:bottom w:val="single" w:color="000000" w:sz="4" w:space="0"/>
              <w:right w:val="single" w:color="000000" w:sz="4" w:space="0"/>
            </w:tcBorders>
            <w:vAlign w:val="center"/>
          </w:tcPr>
          <w:p w14:paraId="2A5F8384">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从业人员(X)</w:t>
            </w:r>
          </w:p>
        </w:tc>
        <w:tc>
          <w:tcPr>
            <w:tcW w:w="709" w:type="dxa"/>
            <w:tcBorders>
              <w:top w:val="single" w:color="000000" w:sz="4" w:space="0"/>
              <w:left w:val="single" w:color="000000" w:sz="4" w:space="0"/>
              <w:bottom w:val="single" w:color="000000" w:sz="4" w:space="0"/>
              <w:right w:val="single" w:color="000000" w:sz="4" w:space="0"/>
            </w:tcBorders>
            <w:vAlign w:val="center"/>
          </w:tcPr>
          <w:p w14:paraId="1693677C">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人</w:t>
            </w:r>
          </w:p>
        </w:tc>
        <w:tc>
          <w:tcPr>
            <w:tcW w:w="1125" w:type="dxa"/>
            <w:tcBorders>
              <w:top w:val="single" w:color="000000" w:sz="4" w:space="0"/>
              <w:left w:val="single" w:color="000000" w:sz="4" w:space="0"/>
              <w:bottom w:val="single" w:color="000000" w:sz="4" w:space="0"/>
              <w:right w:val="single" w:color="000000" w:sz="4" w:space="0"/>
            </w:tcBorders>
            <w:vAlign w:val="center"/>
          </w:tcPr>
          <w:p w14:paraId="36FB7A76">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X≥300</w:t>
            </w:r>
          </w:p>
        </w:tc>
        <w:tc>
          <w:tcPr>
            <w:tcW w:w="1701" w:type="dxa"/>
            <w:tcBorders>
              <w:top w:val="single" w:color="000000" w:sz="4" w:space="0"/>
              <w:left w:val="single" w:color="000000" w:sz="4" w:space="0"/>
              <w:bottom w:val="single" w:color="000000" w:sz="4" w:space="0"/>
              <w:right w:val="single" w:color="000000" w:sz="4" w:space="0"/>
            </w:tcBorders>
            <w:vAlign w:val="center"/>
          </w:tcPr>
          <w:p w14:paraId="18426B3D">
            <w:pPr>
              <w:ind w:left="1" w:leftChars="-51" w:hanging="108"/>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100≤X＜300</w:t>
            </w:r>
          </w:p>
        </w:tc>
        <w:tc>
          <w:tcPr>
            <w:tcW w:w="1426" w:type="dxa"/>
            <w:tcBorders>
              <w:top w:val="single" w:color="000000" w:sz="4" w:space="0"/>
              <w:left w:val="single" w:color="000000" w:sz="4" w:space="0"/>
              <w:bottom w:val="single" w:color="000000" w:sz="4" w:space="0"/>
              <w:right w:val="single" w:color="000000" w:sz="4" w:space="0"/>
            </w:tcBorders>
            <w:vAlign w:val="center"/>
          </w:tcPr>
          <w:p w14:paraId="4276757D">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10≤X＜100</w:t>
            </w:r>
          </w:p>
        </w:tc>
        <w:tc>
          <w:tcPr>
            <w:tcW w:w="992" w:type="dxa"/>
            <w:tcBorders>
              <w:top w:val="single" w:color="000000" w:sz="4" w:space="0"/>
              <w:left w:val="single" w:color="000000" w:sz="4" w:space="0"/>
              <w:bottom w:val="single" w:color="000000" w:sz="4" w:space="0"/>
              <w:right w:val="single" w:color="000000" w:sz="4" w:space="0"/>
            </w:tcBorders>
            <w:vAlign w:val="center"/>
          </w:tcPr>
          <w:p w14:paraId="3C0A05A9">
            <w:pPr>
              <w:jc w:val="center"/>
              <w:rPr>
                <w:rStyle w:val="40"/>
                <w:rFonts w:hint="eastAsia" w:ascii="宋体" w:hAnsi="宋体" w:eastAsia="宋体" w:cs="宋体"/>
                <w:color w:val="auto"/>
                <w:kern w:val="0"/>
                <w:sz w:val="21"/>
                <w:szCs w:val="21"/>
                <w:highlight w:val="none"/>
              </w:rPr>
            </w:pPr>
            <w:r>
              <w:rPr>
                <w:rStyle w:val="40"/>
                <w:rFonts w:hint="eastAsia" w:ascii="宋体" w:hAnsi="宋体" w:eastAsia="宋体" w:cs="宋体"/>
                <w:color w:val="auto"/>
                <w:kern w:val="0"/>
                <w:sz w:val="21"/>
                <w:szCs w:val="21"/>
                <w:highlight w:val="none"/>
              </w:rPr>
              <w:t>X＜10</w:t>
            </w:r>
          </w:p>
        </w:tc>
      </w:tr>
    </w:tbl>
    <w:p w14:paraId="50F12A02">
      <w:pPr>
        <w:spacing w:line="540" w:lineRule="exact"/>
        <w:rPr>
          <w:rStyle w:val="40"/>
          <w:rFonts w:hint="eastAsia" w:ascii="宋体" w:hAnsi="宋体" w:eastAsia="宋体" w:cs="宋体"/>
          <w:color w:val="auto"/>
          <w:spacing w:val="8"/>
          <w:kern w:val="0"/>
          <w:sz w:val="21"/>
          <w:szCs w:val="21"/>
          <w:highlight w:val="none"/>
        </w:rPr>
      </w:pPr>
    </w:p>
    <w:p w14:paraId="7204B1B6">
      <w:pPr>
        <w:spacing w:line="540" w:lineRule="exact"/>
        <w:rPr>
          <w:rStyle w:val="40"/>
          <w:rFonts w:hint="eastAsia" w:ascii="宋体" w:hAnsi="宋体" w:eastAsia="宋体" w:cs="宋体"/>
          <w:color w:val="auto"/>
          <w:spacing w:val="8"/>
          <w:kern w:val="0"/>
          <w:sz w:val="21"/>
          <w:szCs w:val="21"/>
          <w:highlight w:val="none"/>
        </w:rPr>
      </w:pPr>
      <w:r>
        <w:rPr>
          <w:rStyle w:val="40"/>
          <w:rFonts w:hint="eastAsia" w:ascii="宋体" w:hAnsi="宋体" w:eastAsia="宋体" w:cs="宋体"/>
          <w:color w:val="auto"/>
          <w:spacing w:val="8"/>
          <w:kern w:val="0"/>
          <w:sz w:val="21"/>
          <w:szCs w:val="21"/>
          <w:highlight w:val="none"/>
        </w:rPr>
        <w:t>说明：</w:t>
      </w:r>
    </w:p>
    <w:p w14:paraId="19CABC7F">
      <w:pPr>
        <w:pStyle w:val="42"/>
        <w:spacing w:line="380" w:lineRule="exact"/>
        <w:ind w:firstLine="452" w:firstLineChars="200"/>
        <w:rPr>
          <w:rStyle w:val="40"/>
          <w:rFonts w:hint="eastAsia" w:ascii="宋体" w:hAnsi="宋体" w:eastAsia="宋体" w:cs="宋体"/>
          <w:color w:val="auto"/>
          <w:spacing w:val="8"/>
          <w:sz w:val="21"/>
          <w:szCs w:val="21"/>
          <w:highlight w:val="none"/>
        </w:rPr>
      </w:pPr>
      <w:r>
        <w:rPr>
          <w:rStyle w:val="40"/>
          <w:rFonts w:hint="eastAsia" w:ascii="宋体" w:hAnsi="宋体" w:eastAsia="宋体" w:cs="宋体"/>
          <w:color w:val="auto"/>
          <w:spacing w:val="8"/>
          <w:sz w:val="21"/>
          <w:szCs w:val="21"/>
          <w:highlight w:val="none"/>
        </w:rPr>
        <w:t>1.大型、中型和小型企业须同时满足所列指标的下限，否则下划一档；微型企业只须满足所列指标中的一项即可。</w:t>
      </w:r>
    </w:p>
    <w:p w14:paraId="7BF6E5F9">
      <w:pPr>
        <w:pStyle w:val="42"/>
        <w:spacing w:line="380" w:lineRule="exact"/>
        <w:ind w:firstLine="452" w:firstLineChars="200"/>
        <w:rPr>
          <w:rStyle w:val="40"/>
          <w:rFonts w:hint="eastAsia" w:ascii="宋体" w:hAnsi="宋体" w:eastAsia="宋体" w:cs="宋体"/>
          <w:color w:val="auto"/>
          <w:spacing w:val="8"/>
          <w:sz w:val="21"/>
          <w:szCs w:val="21"/>
          <w:highlight w:val="none"/>
        </w:rPr>
      </w:pPr>
      <w:r>
        <w:rPr>
          <w:rStyle w:val="40"/>
          <w:rFonts w:hint="eastAsia" w:ascii="宋体" w:hAnsi="宋体" w:eastAsia="宋体" w:cs="宋体"/>
          <w:color w:val="auto"/>
          <w:spacing w:val="8"/>
          <w:sz w:val="21"/>
          <w:szCs w:val="21"/>
          <w:highlight w:val="none"/>
        </w:rPr>
        <w:t>2.附表中各行业的范围以《国民经济行业分类》（GB/T4754-2017）为准。带*的项为行业组合类别，其中，工业包括采矿业，制造业，电力、热力、燃气及水生产和供应业；交通运输业包括道路运输业，水上运输业，航空运输业，管道运输业，多式联运和运输代理业、装卸搬运，不包括铁路运输业；仓储业包括通用仓储，低温仓储，危险品仓储，谷物、棉花等农产品仓储，中药材仓储和其他仓储业;信息传输业包括电信、广播电视和卫星传输服务，互联网和相关服务；其他未列明行业包括科学研究和技术服务业，水利、环境和公共设施管理业，居民服务、修理和其他服务业，社会工作，文化、体育和娱乐业，以及房地产中介服务，其他房地产业等，不包括自有房地产经营活动。</w:t>
      </w:r>
    </w:p>
    <w:p w14:paraId="27C64AE6">
      <w:pPr>
        <w:pStyle w:val="11"/>
        <w:spacing w:line="340" w:lineRule="exact"/>
        <w:rPr>
          <w:rFonts w:hint="eastAsia" w:ascii="宋体" w:hAnsi="宋体" w:eastAsia="宋体" w:cs="宋体"/>
          <w:b/>
          <w:color w:val="auto"/>
          <w:sz w:val="21"/>
          <w:szCs w:val="21"/>
          <w:highlight w:val="none"/>
          <w:lang w:val="en-US" w:eastAsia="zh-CN"/>
        </w:rPr>
      </w:pPr>
      <w:r>
        <w:rPr>
          <w:rStyle w:val="40"/>
          <w:rFonts w:hint="eastAsia" w:ascii="宋体" w:hAnsi="宋体" w:eastAsia="宋体" w:cs="宋体"/>
          <w:color w:val="auto"/>
          <w:spacing w:val="8"/>
          <w:sz w:val="21"/>
          <w:szCs w:val="21"/>
          <w:highlight w:val="none"/>
        </w:rPr>
        <w:t>3.企业划分指标以现行统计制度为准。（1）从业人员，是指期末从业人员数，没有期末从业人员数的，采用全年平均人员数代替。（2）营业收入，工业、建筑业、限额以上批发和零售业、限额以上住宿和餐饮业以及其他设置主营业务收入指标的行业，采用主营业务收入；限额以下批发与零售业企业采用商品销售额代替；限额以下住宿与餐饮业企业采用营业额代替；农、林、牧、渔业企业采用营业总收入代替；其他未设置主营业务收入的行业，采用营业收入指标。（3）资产总额，采用资产总计代替。</w:t>
      </w:r>
    </w:p>
    <w:p w14:paraId="73A15C5B">
      <w:pPr>
        <w:pStyle w:val="11"/>
        <w:spacing w:line="340" w:lineRule="exact"/>
        <w:rPr>
          <w:rFonts w:hint="eastAsia" w:ascii="宋体" w:hAnsi="宋体" w:eastAsia="宋体" w:cs="宋体"/>
          <w:b/>
          <w:color w:val="auto"/>
          <w:sz w:val="21"/>
          <w:szCs w:val="21"/>
          <w:highlight w:val="none"/>
          <w:lang w:val="en-US" w:eastAsia="zh-CN"/>
        </w:rPr>
      </w:pPr>
    </w:p>
    <w:p w14:paraId="73ECF5D5">
      <w:pPr>
        <w:pStyle w:val="5"/>
        <w:rPr>
          <w:rFonts w:hint="eastAsia" w:ascii="宋体" w:hAnsi="宋体" w:eastAsia="宋体" w:cs="宋体"/>
          <w:b/>
          <w:color w:val="auto"/>
          <w:sz w:val="21"/>
          <w:szCs w:val="21"/>
          <w:highlight w:val="none"/>
          <w:lang w:val="en-US" w:eastAsia="zh-CN"/>
        </w:rPr>
      </w:pPr>
    </w:p>
    <w:p w14:paraId="370D165C">
      <w:pPr>
        <w:spacing w:line="240" w:lineRule="auto"/>
        <w:rPr>
          <w:rFonts w:hint="eastAsia" w:ascii="宋体" w:hAnsi="宋体" w:eastAsia="宋体" w:cs="宋体"/>
          <w:b/>
          <w:bCs/>
          <w:iCs/>
          <w:color w:val="auto"/>
          <w:kern w:val="2"/>
          <w:sz w:val="21"/>
          <w:szCs w:val="21"/>
          <w:highlight w:val="none"/>
          <w:lang w:val="en-US" w:eastAsia="zh-CN" w:bidi="ar-SA"/>
        </w:rPr>
      </w:pPr>
    </w:p>
    <w:p w14:paraId="13E9CA34">
      <w:pPr>
        <w:spacing w:line="240" w:lineRule="auto"/>
        <w:rPr>
          <w:rFonts w:hint="eastAsia" w:ascii="宋体" w:hAnsi="宋体" w:eastAsia="宋体" w:cs="宋体"/>
          <w:b/>
          <w:bCs/>
          <w:iCs/>
          <w:color w:val="auto"/>
          <w:kern w:val="2"/>
          <w:sz w:val="21"/>
          <w:szCs w:val="21"/>
          <w:highlight w:val="none"/>
          <w:lang w:val="en-US" w:eastAsia="zh-CN" w:bidi="ar-SA"/>
        </w:rPr>
      </w:pPr>
    </w:p>
    <w:p w14:paraId="7BABFF85">
      <w:pPr>
        <w:spacing w:line="240" w:lineRule="auto"/>
        <w:rPr>
          <w:rFonts w:hint="eastAsia" w:ascii="宋体" w:hAnsi="宋体" w:eastAsia="宋体" w:cs="宋体"/>
          <w:b/>
          <w:bCs/>
          <w:iCs/>
          <w:color w:val="auto"/>
          <w:kern w:val="2"/>
          <w:sz w:val="21"/>
          <w:szCs w:val="21"/>
          <w:highlight w:val="none"/>
          <w:lang w:val="en-US" w:eastAsia="zh-CN" w:bidi="ar-SA"/>
        </w:rPr>
      </w:pPr>
    </w:p>
    <w:p w14:paraId="5D142666">
      <w:pPr>
        <w:pStyle w:val="8"/>
        <w:rPr>
          <w:rFonts w:hint="eastAsia"/>
          <w:color w:val="auto"/>
          <w:highlight w:val="none"/>
          <w:lang w:val="en-US" w:eastAsia="zh-CN"/>
        </w:rPr>
      </w:pPr>
    </w:p>
    <w:p w14:paraId="67A61A11">
      <w:pPr>
        <w:tabs>
          <w:tab w:val="left" w:pos="1305"/>
        </w:tabs>
        <w:spacing w:line="380" w:lineRule="exact"/>
        <w:rPr>
          <w:rFonts w:hint="eastAsia" w:ascii="宋体" w:hAnsi="宋体" w:eastAsia="宋体" w:cs="宋体"/>
          <w:b/>
          <w:bCs/>
          <w:color w:val="auto"/>
          <w:kern w:val="0"/>
          <w:sz w:val="21"/>
          <w:szCs w:val="21"/>
          <w:highlight w:val="none"/>
        </w:rPr>
      </w:pPr>
    </w:p>
    <w:p w14:paraId="7188EDAB">
      <w:pPr>
        <w:spacing w:line="588" w:lineRule="exact"/>
        <w:jc w:val="center"/>
        <w:rPr>
          <w:rFonts w:hint="eastAsia" w:ascii="宋体" w:hAnsi="宋体" w:eastAsia="宋体" w:cs="宋体"/>
          <w:b/>
          <w:color w:val="auto"/>
          <w:kern w:val="0"/>
          <w:sz w:val="21"/>
          <w:szCs w:val="21"/>
          <w:highlight w:val="none"/>
          <w:lang w:eastAsia="zh-CN"/>
        </w:rPr>
      </w:pPr>
      <w:bookmarkStart w:id="849" w:name="OLE_LINK14"/>
      <w:bookmarkStart w:id="850" w:name="OLE_LINK13"/>
    </w:p>
    <w:p w14:paraId="7F2900BB">
      <w:pPr>
        <w:spacing w:line="588" w:lineRule="exact"/>
        <w:jc w:val="center"/>
        <w:rPr>
          <w:rFonts w:hint="eastAsia" w:ascii="宋体" w:hAnsi="宋体" w:eastAsia="宋体" w:cs="宋体"/>
          <w:b/>
          <w:color w:val="auto"/>
          <w:kern w:val="0"/>
          <w:sz w:val="21"/>
          <w:szCs w:val="21"/>
          <w:highlight w:val="none"/>
          <w:lang w:eastAsia="zh-CN"/>
        </w:rPr>
      </w:pPr>
    </w:p>
    <w:p w14:paraId="351EF719">
      <w:pPr>
        <w:spacing w:line="588" w:lineRule="exact"/>
        <w:jc w:val="center"/>
        <w:rPr>
          <w:rFonts w:hint="eastAsia" w:ascii="宋体" w:hAnsi="宋体" w:eastAsia="宋体" w:cs="宋体"/>
          <w:b/>
          <w:color w:val="auto"/>
          <w:kern w:val="0"/>
          <w:sz w:val="21"/>
          <w:szCs w:val="21"/>
          <w:highlight w:val="none"/>
          <w:lang w:eastAsia="zh-CN"/>
        </w:rPr>
      </w:pPr>
    </w:p>
    <w:p w14:paraId="29546A7D">
      <w:pPr>
        <w:spacing w:line="588" w:lineRule="exact"/>
        <w:jc w:val="center"/>
        <w:rPr>
          <w:rFonts w:hint="eastAsia" w:ascii="宋体" w:hAnsi="宋体" w:eastAsia="宋体" w:cs="宋体"/>
          <w:b/>
          <w:color w:val="auto"/>
          <w:kern w:val="0"/>
          <w:sz w:val="21"/>
          <w:szCs w:val="21"/>
          <w:highlight w:val="none"/>
          <w:lang w:eastAsia="zh-CN"/>
        </w:rPr>
      </w:pPr>
    </w:p>
    <w:p w14:paraId="5042D8CD">
      <w:pPr>
        <w:spacing w:line="588" w:lineRule="exact"/>
        <w:jc w:val="center"/>
        <w:rPr>
          <w:rFonts w:hint="eastAsia" w:ascii="宋体" w:hAnsi="宋体" w:eastAsia="宋体" w:cs="宋体"/>
          <w:b/>
          <w:color w:val="auto"/>
          <w:kern w:val="0"/>
          <w:sz w:val="21"/>
          <w:szCs w:val="21"/>
          <w:highlight w:val="none"/>
          <w:lang w:eastAsia="zh-CN"/>
        </w:rPr>
      </w:pPr>
    </w:p>
    <w:p w14:paraId="534C1315">
      <w:pPr>
        <w:spacing w:line="588" w:lineRule="exact"/>
        <w:jc w:val="center"/>
        <w:rPr>
          <w:rFonts w:hint="eastAsia" w:ascii="宋体" w:hAnsi="宋体" w:eastAsia="宋体" w:cs="宋体"/>
          <w:b/>
          <w:color w:val="auto"/>
          <w:kern w:val="0"/>
          <w:sz w:val="21"/>
          <w:szCs w:val="21"/>
          <w:highlight w:val="none"/>
          <w:lang w:eastAsia="zh-CN"/>
        </w:rPr>
      </w:pPr>
    </w:p>
    <w:p w14:paraId="3111507F">
      <w:pPr>
        <w:spacing w:line="588" w:lineRule="exact"/>
        <w:jc w:val="center"/>
        <w:rPr>
          <w:rFonts w:hint="eastAsia" w:ascii="宋体" w:hAnsi="宋体" w:eastAsia="宋体" w:cs="宋体"/>
          <w:b/>
          <w:color w:val="auto"/>
          <w:kern w:val="0"/>
          <w:sz w:val="21"/>
          <w:szCs w:val="21"/>
          <w:highlight w:val="none"/>
          <w:lang w:eastAsia="zh-CN"/>
        </w:rPr>
      </w:pPr>
    </w:p>
    <w:p w14:paraId="398C4C45">
      <w:pPr>
        <w:spacing w:line="588" w:lineRule="exact"/>
        <w:jc w:val="center"/>
        <w:rPr>
          <w:rFonts w:hint="eastAsia" w:ascii="宋体" w:hAnsi="宋体" w:eastAsia="宋体" w:cs="宋体"/>
          <w:b/>
          <w:color w:val="auto"/>
          <w:kern w:val="0"/>
          <w:sz w:val="21"/>
          <w:szCs w:val="21"/>
          <w:highlight w:val="none"/>
          <w:lang w:eastAsia="zh-CN"/>
        </w:rPr>
      </w:pPr>
    </w:p>
    <w:p w14:paraId="2F63DB2D">
      <w:pPr>
        <w:spacing w:line="588" w:lineRule="exact"/>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lang w:eastAsia="zh-CN"/>
        </w:rPr>
        <w:t>（</w:t>
      </w:r>
      <w:r>
        <w:rPr>
          <w:rFonts w:hint="eastAsia" w:ascii="宋体" w:hAnsi="宋体" w:eastAsia="宋体" w:cs="宋体"/>
          <w:b/>
          <w:color w:val="auto"/>
          <w:kern w:val="0"/>
          <w:sz w:val="21"/>
          <w:szCs w:val="21"/>
          <w:highlight w:val="none"/>
          <w:lang w:val="en-US" w:eastAsia="zh-CN"/>
        </w:rPr>
        <w:t>2</w:t>
      </w:r>
      <w:r>
        <w:rPr>
          <w:rFonts w:hint="eastAsia" w:ascii="宋体" w:hAnsi="宋体" w:eastAsia="宋体" w:cs="宋体"/>
          <w:b/>
          <w:color w:val="auto"/>
          <w:kern w:val="0"/>
          <w:sz w:val="21"/>
          <w:szCs w:val="21"/>
          <w:highlight w:val="none"/>
          <w:lang w:eastAsia="zh-CN"/>
        </w:rPr>
        <w:t>）</w:t>
      </w:r>
      <w:r>
        <w:rPr>
          <w:rFonts w:hint="eastAsia" w:ascii="宋体" w:hAnsi="宋体" w:eastAsia="宋体" w:cs="宋体"/>
          <w:b/>
          <w:color w:val="auto"/>
          <w:kern w:val="0"/>
          <w:sz w:val="21"/>
          <w:szCs w:val="21"/>
          <w:highlight w:val="none"/>
        </w:rPr>
        <w:t>残疾人福利性单位声明函（格式）</w:t>
      </w:r>
    </w:p>
    <w:bookmarkEnd w:id="849"/>
    <w:bookmarkEnd w:id="850"/>
    <w:p w14:paraId="567906E9">
      <w:pPr>
        <w:spacing w:line="588" w:lineRule="exact"/>
        <w:rPr>
          <w:rFonts w:hint="eastAsia" w:ascii="宋体" w:hAnsi="宋体" w:eastAsia="宋体" w:cs="宋体"/>
          <w:b/>
          <w:color w:val="auto"/>
          <w:kern w:val="0"/>
          <w:sz w:val="21"/>
          <w:szCs w:val="21"/>
          <w:highlight w:val="none"/>
        </w:rPr>
      </w:pPr>
    </w:p>
    <w:p w14:paraId="5FE6A76C">
      <w:pPr>
        <w:spacing w:line="588" w:lineRule="exact"/>
        <w:ind w:firstLine="420" w:firstLineChars="200"/>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本单位郑重声明，根据《财政部 民政部 中国残疾人联合会关于促进残疾人就业政府采购政策的通知》（财库</w:t>
      </w:r>
      <w:r>
        <w:rPr>
          <w:rFonts w:hint="eastAsia" w:ascii="宋体" w:hAnsi="宋体" w:cs="宋体"/>
          <w:color w:val="auto"/>
          <w:kern w:val="0"/>
          <w:sz w:val="21"/>
          <w:szCs w:val="21"/>
          <w:highlight w:val="none"/>
          <w:lang w:eastAsia="zh-CN"/>
        </w:rPr>
        <w:t>〔2017〕141号</w:t>
      </w:r>
      <w:r>
        <w:rPr>
          <w:rFonts w:hint="eastAsia" w:ascii="宋体" w:hAnsi="宋体" w:eastAsia="宋体" w:cs="宋体"/>
          <w:color w:val="auto"/>
          <w:kern w:val="0"/>
          <w:sz w:val="21"/>
          <w:szCs w:val="21"/>
          <w:highlight w:val="none"/>
        </w:rPr>
        <w:t>）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308A66D1">
      <w:pPr>
        <w:spacing w:line="588" w:lineRule="exact"/>
        <w:ind w:firstLine="420" w:firstLineChars="200"/>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本单位对上述声明的真实性负责。如有虚假，将依法承担相应责任。</w:t>
      </w:r>
    </w:p>
    <w:p w14:paraId="0F87AE03">
      <w:pPr>
        <w:spacing w:line="588" w:lineRule="exact"/>
        <w:ind w:firstLine="420" w:firstLineChars="200"/>
        <w:rPr>
          <w:rFonts w:hint="eastAsia" w:ascii="宋体" w:hAnsi="宋体" w:eastAsia="宋体" w:cs="宋体"/>
          <w:color w:val="auto"/>
          <w:kern w:val="0"/>
          <w:sz w:val="21"/>
          <w:szCs w:val="21"/>
          <w:highlight w:val="none"/>
        </w:rPr>
      </w:pPr>
    </w:p>
    <w:p w14:paraId="064FA9A4">
      <w:pPr>
        <w:widowControl/>
        <w:ind w:firstLine="2310" w:firstLineChars="110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 xml:space="preserve">    </w:t>
      </w:r>
      <w:r>
        <w:rPr>
          <w:rFonts w:hint="eastAsia" w:ascii="宋体" w:hAnsi="宋体" w:cs="宋体"/>
          <w:color w:val="auto"/>
          <w:kern w:val="0"/>
          <w:sz w:val="21"/>
          <w:szCs w:val="21"/>
          <w:highlight w:val="none"/>
          <w:lang w:val="en-US" w:eastAsia="zh-CN"/>
        </w:rPr>
        <w:t xml:space="preserve">           </w:t>
      </w:r>
      <w:r>
        <w:rPr>
          <w:rFonts w:hint="eastAsia" w:ascii="宋体" w:hAnsi="宋体" w:eastAsia="宋体" w:cs="宋体"/>
          <w:color w:val="auto"/>
          <w:sz w:val="21"/>
          <w:szCs w:val="21"/>
          <w:highlight w:val="none"/>
          <w:lang w:eastAsia="zh-CN"/>
        </w:rPr>
        <w:t>供应商</w:t>
      </w:r>
      <w:r>
        <w:rPr>
          <w:rFonts w:hint="eastAsia" w:ascii="宋体" w:hAnsi="宋体" w:eastAsia="宋体" w:cs="宋体"/>
          <w:color w:val="auto"/>
          <w:sz w:val="21"/>
          <w:szCs w:val="21"/>
          <w:highlight w:val="none"/>
          <w:lang w:val="en-US" w:eastAsia="zh-CN"/>
        </w:rPr>
        <w:t>[</w:t>
      </w:r>
      <w:r>
        <w:rPr>
          <w:rFonts w:hint="eastAsia" w:ascii="宋体" w:hAnsi="宋体" w:eastAsia="宋体" w:cs="宋体"/>
          <w:color w:val="auto"/>
          <w:sz w:val="21"/>
          <w:szCs w:val="21"/>
          <w:highlight w:val="none"/>
        </w:rPr>
        <w:t>公章</w:t>
      </w:r>
      <w:r>
        <w:rPr>
          <w:rFonts w:hint="eastAsia" w:ascii="宋体" w:hAnsi="宋体" w:eastAsia="宋体" w:cs="宋体"/>
          <w:color w:val="auto"/>
          <w:sz w:val="21"/>
          <w:szCs w:val="21"/>
          <w:highlight w:val="none"/>
          <w:lang w:val="en-US" w:eastAsia="zh-CN"/>
        </w:rPr>
        <w:t>(CA签章)]</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u w:val="single"/>
        </w:rPr>
        <w:t xml:space="preserve">                  </w:t>
      </w:r>
    </w:p>
    <w:p w14:paraId="04C4B3AF">
      <w:pPr>
        <w:pStyle w:val="11"/>
        <w:spacing w:line="300" w:lineRule="exact"/>
        <w:ind w:left="2940" w:leftChars="1400" w:firstLine="630" w:firstLineChars="300"/>
        <w:rPr>
          <w:rFonts w:hint="eastAsia" w:ascii="宋体" w:hAnsi="宋体" w:eastAsia="宋体" w:cs="宋体"/>
          <w:color w:val="auto"/>
          <w:sz w:val="21"/>
          <w:szCs w:val="21"/>
          <w:highlight w:val="none"/>
        </w:rPr>
      </w:pPr>
    </w:p>
    <w:p w14:paraId="1C34A228">
      <w:pPr>
        <w:keepNext w:val="0"/>
        <w:keepLines w:val="0"/>
        <w:pageBreakBefore w:val="0"/>
        <w:widowControl w:val="0"/>
        <w:numPr>
          <w:ilvl w:val="0"/>
          <w:numId w:val="0"/>
        </w:numPr>
        <w:kinsoku/>
        <w:wordWrap/>
        <w:overflowPunct/>
        <w:topLinePunct w:val="0"/>
        <w:autoSpaceDE/>
        <w:autoSpaceDN/>
        <w:bidi w:val="0"/>
        <w:adjustRightInd/>
        <w:snapToGrid/>
        <w:spacing w:line="340" w:lineRule="exact"/>
        <w:ind w:left="420" w:left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日          期：</w:t>
      </w:r>
      <w:r>
        <w:rPr>
          <w:rFonts w:hint="eastAsia" w:ascii="宋体" w:hAnsi="宋体" w:eastAsia="宋体" w:cs="宋体"/>
          <w:color w:val="auto"/>
          <w:sz w:val="21"/>
          <w:szCs w:val="21"/>
          <w:highlight w:val="none"/>
          <w:u w:val="single"/>
        </w:rPr>
        <w:t xml:space="preserve">                        </w:t>
      </w:r>
    </w:p>
    <w:p w14:paraId="5D787DCA">
      <w:pPr>
        <w:keepNext w:val="0"/>
        <w:keepLines w:val="0"/>
        <w:pageBreakBefore w:val="0"/>
        <w:widowControl w:val="0"/>
        <w:tabs>
          <w:tab w:val="left" w:pos="1305"/>
        </w:tabs>
        <w:kinsoku/>
        <w:wordWrap/>
        <w:overflowPunct/>
        <w:topLinePunct w:val="0"/>
        <w:autoSpaceDE/>
        <w:autoSpaceDN/>
        <w:bidi w:val="0"/>
        <w:adjustRightInd/>
        <w:snapToGrid/>
        <w:spacing w:line="360" w:lineRule="exact"/>
        <w:ind w:left="0" w:leftChars="0" w:right="0" w:firstLine="420" w:firstLineChars="200"/>
        <w:textAlignment w:val="auto"/>
        <w:rPr>
          <w:rFonts w:hint="eastAsia" w:ascii="宋体" w:hAnsi="宋体" w:eastAsia="宋体" w:cs="宋体"/>
          <w:b w:val="0"/>
          <w:bCs/>
          <w:color w:val="auto"/>
          <w:kern w:val="0"/>
          <w:sz w:val="21"/>
          <w:szCs w:val="21"/>
          <w:highlight w:val="none"/>
          <w:lang w:val="en-US" w:eastAsia="zh-CN"/>
        </w:rPr>
      </w:pPr>
    </w:p>
    <w:p w14:paraId="65DB7663">
      <w:pPr>
        <w:spacing w:line="240" w:lineRule="auto"/>
        <w:rPr>
          <w:rFonts w:hint="eastAsia" w:ascii="宋体" w:hAnsi="宋体" w:eastAsia="宋体" w:cs="宋体"/>
          <w:b/>
          <w:bCs/>
          <w:iCs/>
          <w:color w:val="auto"/>
          <w:kern w:val="2"/>
          <w:sz w:val="21"/>
          <w:szCs w:val="21"/>
          <w:highlight w:val="none"/>
          <w:lang w:val="en-US" w:eastAsia="zh-CN" w:bidi="ar-SA"/>
        </w:rPr>
      </w:pPr>
    </w:p>
    <w:p w14:paraId="70A63C60">
      <w:pPr>
        <w:pStyle w:val="3"/>
        <w:rPr>
          <w:rFonts w:hint="eastAsia" w:ascii="宋体" w:hAnsi="宋体" w:eastAsia="宋体" w:cs="宋体"/>
          <w:b/>
          <w:bCs/>
          <w:iCs/>
          <w:color w:val="auto"/>
          <w:kern w:val="2"/>
          <w:sz w:val="21"/>
          <w:szCs w:val="21"/>
          <w:highlight w:val="none"/>
          <w:lang w:val="en-US" w:eastAsia="zh-CN" w:bidi="ar-SA"/>
        </w:rPr>
      </w:pPr>
    </w:p>
    <w:p w14:paraId="13CD8DF6">
      <w:pPr>
        <w:rPr>
          <w:rFonts w:hint="eastAsia"/>
          <w:color w:val="auto"/>
          <w:highlight w:val="none"/>
          <w:lang w:val="en-US" w:eastAsia="zh-CN"/>
        </w:rPr>
      </w:pPr>
    </w:p>
    <w:p w14:paraId="601C8327">
      <w:pPr>
        <w:spacing w:line="240" w:lineRule="auto"/>
        <w:rPr>
          <w:rFonts w:hint="eastAsia" w:ascii="宋体" w:hAnsi="宋体" w:cs="宋体"/>
          <w:b/>
          <w:bCs/>
          <w:iCs/>
          <w:color w:val="auto"/>
          <w:kern w:val="2"/>
          <w:sz w:val="21"/>
          <w:szCs w:val="21"/>
          <w:highlight w:val="none"/>
          <w:lang w:val="en-US" w:eastAsia="zh-CN" w:bidi="ar-SA"/>
        </w:rPr>
      </w:pPr>
    </w:p>
    <w:p w14:paraId="0FBC7D1B">
      <w:pPr>
        <w:spacing w:line="240" w:lineRule="auto"/>
        <w:rPr>
          <w:rFonts w:hint="eastAsia" w:ascii="宋体" w:hAnsi="宋体" w:cs="宋体"/>
          <w:b/>
          <w:bCs/>
          <w:iCs/>
          <w:color w:val="auto"/>
          <w:kern w:val="2"/>
          <w:sz w:val="21"/>
          <w:szCs w:val="21"/>
          <w:highlight w:val="none"/>
          <w:lang w:val="en-US" w:eastAsia="zh-CN" w:bidi="ar-SA"/>
        </w:rPr>
      </w:pPr>
    </w:p>
    <w:p w14:paraId="0D8D3D58">
      <w:pPr>
        <w:spacing w:line="240" w:lineRule="auto"/>
        <w:jc w:val="center"/>
        <w:rPr>
          <w:rFonts w:hint="eastAsia" w:ascii="宋体" w:hAnsi="宋体" w:eastAsia="宋体" w:cs="宋体"/>
          <w:b/>
          <w:color w:val="auto"/>
          <w:spacing w:val="6"/>
          <w:sz w:val="21"/>
          <w:szCs w:val="21"/>
          <w:highlight w:val="none"/>
        </w:rPr>
      </w:pPr>
      <w:r>
        <w:rPr>
          <w:rFonts w:hint="eastAsia" w:ascii="宋体" w:hAnsi="宋体" w:cs="宋体"/>
          <w:b/>
          <w:bCs/>
          <w:iCs/>
          <w:color w:val="auto"/>
          <w:kern w:val="2"/>
          <w:sz w:val="21"/>
          <w:szCs w:val="21"/>
          <w:highlight w:val="none"/>
          <w:lang w:val="en-US" w:eastAsia="zh-CN" w:bidi="ar-SA"/>
        </w:rPr>
        <w:t>（3）</w:t>
      </w:r>
      <w:r>
        <w:rPr>
          <w:rFonts w:hint="eastAsia" w:ascii="宋体" w:hAnsi="宋体" w:eastAsia="宋体" w:cs="宋体"/>
          <w:b/>
          <w:color w:val="auto"/>
          <w:sz w:val="21"/>
          <w:szCs w:val="21"/>
          <w:highlight w:val="none"/>
          <w:lang w:val="en-US" w:eastAsia="zh-CN" w:bidi="ar"/>
        </w:rPr>
        <w:t>监狱企业的证明文件复印件[供应商如为监狱企业的，应当提供由省级以上监狱管理局、戒毒管理局（含新疆生产建设兵团）出具的属于监狱企业的证明文件, 否则不予享受优惠政策]</w:t>
      </w:r>
    </w:p>
    <w:p w14:paraId="5B88CF53">
      <w:pPr>
        <w:pStyle w:val="22"/>
        <w:rPr>
          <w:rFonts w:hint="eastAsia" w:ascii="宋体" w:hAnsi="宋体" w:eastAsia="宋体" w:cs="宋体"/>
          <w:b/>
          <w:bCs/>
          <w:color w:val="auto"/>
          <w:sz w:val="21"/>
          <w:szCs w:val="21"/>
          <w:highlight w:val="none"/>
          <w:lang w:eastAsia="zh-CN"/>
        </w:rPr>
      </w:pPr>
    </w:p>
    <w:p w14:paraId="3FF7DEBB">
      <w:pPr>
        <w:pStyle w:val="22"/>
        <w:rPr>
          <w:rFonts w:hint="eastAsia" w:ascii="宋体" w:hAnsi="宋体" w:eastAsia="宋体" w:cs="宋体"/>
          <w:b/>
          <w:bCs/>
          <w:color w:val="auto"/>
          <w:sz w:val="21"/>
          <w:szCs w:val="21"/>
          <w:highlight w:val="none"/>
          <w:lang w:eastAsia="zh-CN"/>
        </w:rPr>
      </w:pPr>
    </w:p>
    <w:p w14:paraId="3069FAFE">
      <w:pPr>
        <w:pStyle w:val="22"/>
        <w:rPr>
          <w:rFonts w:hint="eastAsia" w:ascii="宋体" w:hAnsi="宋体" w:eastAsia="宋体" w:cs="宋体"/>
          <w:b/>
          <w:bCs/>
          <w:color w:val="auto"/>
          <w:sz w:val="21"/>
          <w:szCs w:val="21"/>
          <w:highlight w:val="none"/>
          <w:lang w:eastAsia="zh-CN"/>
        </w:rPr>
      </w:pPr>
    </w:p>
    <w:p w14:paraId="5158945C">
      <w:pPr>
        <w:pStyle w:val="22"/>
        <w:rPr>
          <w:rFonts w:hint="eastAsia" w:ascii="宋体" w:hAnsi="宋体" w:eastAsia="宋体" w:cs="宋体"/>
          <w:b/>
          <w:bCs/>
          <w:color w:val="auto"/>
          <w:sz w:val="21"/>
          <w:szCs w:val="21"/>
          <w:highlight w:val="none"/>
          <w:lang w:eastAsia="zh-CN"/>
        </w:rPr>
      </w:pPr>
    </w:p>
    <w:p w14:paraId="57EDD951">
      <w:pPr>
        <w:pStyle w:val="22"/>
        <w:rPr>
          <w:rFonts w:hint="eastAsia" w:ascii="宋体" w:hAnsi="宋体" w:eastAsia="宋体" w:cs="宋体"/>
          <w:b/>
          <w:bCs/>
          <w:color w:val="auto"/>
          <w:sz w:val="21"/>
          <w:szCs w:val="21"/>
          <w:highlight w:val="none"/>
          <w:lang w:eastAsia="zh-CN"/>
        </w:rPr>
      </w:pPr>
    </w:p>
    <w:p w14:paraId="07478DF0">
      <w:pPr>
        <w:pStyle w:val="22"/>
        <w:rPr>
          <w:rFonts w:hint="eastAsia" w:ascii="宋体" w:hAnsi="宋体" w:eastAsia="宋体" w:cs="宋体"/>
          <w:b/>
          <w:bCs/>
          <w:color w:val="auto"/>
          <w:sz w:val="21"/>
          <w:szCs w:val="21"/>
          <w:highlight w:val="none"/>
          <w:lang w:eastAsia="zh-CN"/>
        </w:rPr>
      </w:pPr>
    </w:p>
    <w:p w14:paraId="52E72C41">
      <w:pPr>
        <w:pStyle w:val="22"/>
        <w:rPr>
          <w:rFonts w:hint="eastAsia" w:ascii="宋体" w:hAnsi="宋体" w:eastAsia="宋体" w:cs="宋体"/>
          <w:b/>
          <w:bCs/>
          <w:color w:val="auto"/>
          <w:sz w:val="21"/>
          <w:szCs w:val="21"/>
          <w:highlight w:val="none"/>
          <w:lang w:eastAsia="zh-CN"/>
        </w:rPr>
      </w:pPr>
    </w:p>
    <w:p w14:paraId="6D878EDA">
      <w:pPr>
        <w:pStyle w:val="22"/>
        <w:rPr>
          <w:rFonts w:hint="eastAsia" w:ascii="宋体" w:hAnsi="宋体" w:eastAsia="宋体" w:cs="宋体"/>
          <w:b/>
          <w:bCs/>
          <w:color w:val="auto"/>
          <w:sz w:val="21"/>
          <w:szCs w:val="21"/>
          <w:highlight w:val="none"/>
          <w:lang w:eastAsia="zh-CN"/>
        </w:rPr>
      </w:pPr>
    </w:p>
    <w:p w14:paraId="02F5A3BF">
      <w:pPr>
        <w:pStyle w:val="22"/>
        <w:rPr>
          <w:rFonts w:hint="eastAsia" w:ascii="宋体" w:hAnsi="宋体" w:eastAsia="宋体" w:cs="宋体"/>
          <w:b/>
          <w:bCs/>
          <w:color w:val="auto"/>
          <w:sz w:val="21"/>
          <w:szCs w:val="21"/>
          <w:highlight w:val="none"/>
          <w:lang w:eastAsia="zh-CN"/>
        </w:rPr>
      </w:pPr>
    </w:p>
    <w:p w14:paraId="3343E864">
      <w:pPr>
        <w:pStyle w:val="22"/>
        <w:rPr>
          <w:rFonts w:hint="eastAsia" w:ascii="宋体" w:hAnsi="宋体" w:eastAsia="宋体" w:cs="宋体"/>
          <w:b/>
          <w:bCs/>
          <w:color w:val="auto"/>
          <w:sz w:val="21"/>
          <w:szCs w:val="21"/>
          <w:highlight w:val="none"/>
          <w:lang w:eastAsia="zh-CN"/>
        </w:rPr>
      </w:pPr>
    </w:p>
    <w:p w14:paraId="51F1A244">
      <w:pPr>
        <w:pStyle w:val="22"/>
        <w:rPr>
          <w:rFonts w:hint="eastAsia" w:ascii="宋体" w:hAnsi="宋体" w:eastAsia="宋体" w:cs="宋体"/>
          <w:b/>
          <w:bCs/>
          <w:color w:val="auto"/>
          <w:sz w:val="21"/>
          <w:szCs w:val="21"/>
          <w:highlight w:val="none"/>
          <w:lang w:eastAsia="zh-CN"/>
        </w:rPr>
      </w:pPr>
    </w:p>
    <w:p w14:paraId="27EEA5C8">
      <w:pPr>
        <w:pStyle w:val="22"/>
        <w:rPr>
          <w:rFonts w:hint="eastAsia" w:ascii="宋体" w:hAnsi="宋体" w:eastAsia="宋体" w:cs="宋体"/>
          <w:b/>
          <w:bCs/>
          <w:color w:val="auto"/>
          <w:sz w:val="21"/>
          <w:szCs w:val="21"/>
          <w:highlight w:val="none"/>
          <w:lang w:eastAsia="zh-CN"/>
        </w:rPr>
      </w:pPr>
    </w:p>
    <w:p w14:paraId="22A7940F">
      <w:pPr>
        <w:pStyle w:val="22"/>
        <w:rPr>
          <w:rFonts w:hint="eastAsia" w:ascii="宋体" w:hAnsi="宋体" w:eastAsia="宋体" w:cs="宋体"/>
          <w:b/>
          <w:bCs/>
          <w:color w:val="auto"/>
          <w:sz w:val="21"/>
          <w:szCs w:val="21"/>
          <w:highlight w:val="none"/>
          <w:lang w:eastAsia="zh-CN"/>
        </w:rPr>
      </w:pPr>
    </w:p>
    <w:p w14:paraId="7E8E5FF5">
      <w:pPr>
        <w:pStyle w:val="22"/>
        <w:rPr>
          <w:rFonts w:hint="eastAsia" w:ascii="宋体" w:hAnsi="宋体" w:eastAsia="宋体" w:cs="宋体"/>
          <w:b/>
          <w:bCs/>
          <w:color w:val="auto"/>
          <w:sz w:val="21"/>
          <w:szCs w:val="21"/>
          <w:highlight w:val="none"/>
          <w:lang w:eastAsia="zh-CN"/>
        </w:rPr>
      </w:pPr>
    </w:p>
    <w:p w14:paraId="41FFE730">
      <w:pPr>
        <w:pStyle w:val="22"/>
        <w:rPr>
          <w:rFonts w:hint="eastAsia" w:ascii="宋体" w:hAnsi="宋体" w:eastAsia="宋体" w:cs="宋体"/>
          <w:b/>
          <w:bCs/>
          <w:color w:val="auto"/>
          <w:sz w:val="21"/>
          <w:szCs w:val="21"/>
          <w:highlight w:val="none"/>
          <w:lang w:eastAsia="zh-CN"/>
        </w:rPr>
      </w:pPr>
    </w:p>
    <w:p w14:paraId="39E27D96">
      <w:pPr>
        <w:pStyle w:val="22"/>
        <w:rPr>
          <w:rFonts w:hint="eastAsia" w:ascii="宋体" w:hAnsi="宋体" w:eastAsia="宋体" w:cs="宋体"/>
          <w:b/>
          <w:bCs/>
          <w:color w:val="auto"/>
          <w:sz w:val="21"/>
          <w:szCs w:val="21"/>
          <w:highlight w:val="none"/>
          <w:lang w:eastAsia="zh-CN"/>
        </w:rPr>
      </w:pPr>
    </w:p>
    <w:p w14:paraId="09172EAD">
      <w:pPr>
        <w:pStyle w:val="22"/>
        <w:rPr>
          <w:rFonts w:hint="eastAsia" w:ascii="宋体" w:hAnsi="宋体" w:eastAsia="宋体" w:cs="宋体"/>
          <w:b/>
          <w:bCs/>
          <w:color w:val="auto"/>
          <w:sz w:val="21"/>
          <w:szCs w:val="21"/>
          <w:highlight w:val="none"/>
          <w:lang w:eastAsia="zh-CN"/>
        </w:rPr>
      </w:pPr>
    </w:p>
    <w:p w14:paraId="634CA719">
      <w:pPr>
        <w:numPr>
          <w:ilvl w:val="0"/>
          <w:numId w:val="0"/>
        </w:numPr>
        <w:jc w:val="center"/>
        <w:rPr>
          <w:rFonts w:hint="eastAsia" w:ascii="宋体" w:hAnsi="宋体" w:eastAsia="宋体" w:cs="宋体"/>
          <w:b/>
          <w:bCs/>
          <w:color w:val="auto"/>
          <w:sz w:val="21"/>
          <w:szCs w:val="21"/>
          <w:highlight w:val="none"/>
          <w:lang w:eastAsia="zh-CN"/>
        </w:rPr>
      </w:pPr>
    </w:p>
    <w:p w14:paraId="2FC55D2D">
      <w:pPr>
        <w:rPr>
          <w:rFonts w:hint="eastAsia"/>
          <w:b/>
          <w:bCs/>
          <w:color w:val="auto"/>
          <w:sz w:val="24"/>
          <w:szCs w:val="24"/>
          <w:highlight w:val="none"/>
        </w:rPr>
      </w:pPr>
      <w:r>
        <w:rPr>
          <w:rFonts w:hint="eastAsia"/>
          <w:b/>
          <w:bCs/>
          <w:color w:val="auto"/>
          <w:sz w:val="24"/>
          <w:szCs w:val="24"/>
          <w:highlight w:val="none"/>
        </w:rPr>
        <w:t>二、符合性响应证明材料</w:t>
      </w:r>
    </w:p>
    <w:p w14:paraId="446607FF">
      <w:pPr>
        <w:spacing w:line="400" w:lineRule="exact"/>
        <w:rPr>
          <w:rFonts w:hint="eastAsia" w:ascii="宋体" w:hAnsi="宋体" w:eastAsia="宋体" w:cs="宋体"/>
          <w:b/>
          <w:bCs/>
          <w:color w:val="auto"/>
          <w:sz w:val="24"/>
          <w:szCs w:val="24"/>
          <w:highlight w:val="none"/>
          <w:lang w:eastAsia="zh-CN"/>
        </w:rPr>
      </w:pPr>
      <w:bookmarkStart w:id="851" w:name="_Toc12920"/>
      <w:bookmarkStart w:id="852" w:name="_Toc17617"/>
      <w:bookmarkStart w:id="853" w:name="_Toc497927072"/>
      <w:r>
        <w:rPr>
          <w:rFonts w:hint="eastAsia" w:ascii="宋体" w:hAnsi="宋体" w:eastAsia="宋体" w:cs="宋体"/>
          <w:b/>
          <w:bCs/>
          <w:color w:val="auto"/>
          <w:sz w:val="24"/>
          <w:szCs w:val="24"/>
          <w:highlight w:val="none"/>
        </w:rPr>
        <w:t>1.响应函及响应函附录（格式见附件）（必须提供）</w:t>
      </w:r>
      <w:bookmarkEnd w:id="851"/>
      <w:bookmarkEnd w:id="852"/>
      <w:bookmarkEnd w:id="853"/>
      <w:r>
        <w:rPr>
          <w:rFonts w:hint="eastAsia" w:ascii="宋体" w:hAnsi="宋体" w:cs="宋体"/>
          <w:b/>
          <w:bCs/>
          <w:color w:val="auto"/>
          <w:sz w:val="24"/>
          <w:szCs w:val="24"/>
          <w:highlight w:val="none"/>
          <w:lang w:eastAsia="zh-CN"/>
        </w:rPr>
        <w:t>；</w:t>
      </w:r>
    </w:p>
    <w:p w14:paraId="304388E5">
      <w:pPr>
        <w:pStyle w:val="23"/>
        <w:rPr>
          <w:rFonts w:hint="eastAsia" w:ascii="宋体" w:hAnsi="宋体" w:eastAsia="宋体" w:cs="宋体"/>
          <w:color w:val="auto"/>
          <w:sz w:val="21"/>
          <w:szCs w:val="21"/>
          <w:highlight w:val="none"/>
        </w:rPr>
      </w:pPr>
    </w:p>
    <w:p w14:paraId="51A9F286">
      <w:pPr>
        <w:pStyle w:val="11"/>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附件：</w:t>
      </w:r>
    </w:p>
    <w:p w14:paraId="2D0032A8">
      <w:pPr>
        <w:pStyle w:val="11"/>
        <w:ind w:firstLine="527" w:firstLineChars="250"/>
        <w:jc w:val="center"/>
        <w:rPr>
          <w:rFonts w:hint="eastAsia" w:ascii="宋体" w:hAnsi="宋体" w:eastAsia="宋体" w:cs="宋体"/>
          <w:b/>
          <w:color w:val="auto"/>
          <w:sz w:val="21"/>
          <w:szCs w:val="21"/>
          <w:highlight w:val="none"/>
        </w:rPr>
      </w:pPr>
      <w:bookmarkStart w:id="854" w:name="_Toc7273_WPSOffice_Level1"/>
      <w:bookmarkStart w:id="855" w:name="_Toc17832_WPSOffice_Level1"/>
      <w:r>
        <w:rPr>
          <w:rFonts w:hint="eastAsia" w:hAnsi="宋体" w:cs="宋体"/>
          <w:b/>
          <w:color w:val="auto"/>
          <w:sz w:val="21"/>
          <w:szCs w:val="21"/>
          <w:highlight w:val="none"/>
          <w:lang w:eastAsia="zh-CN"/>
        </w:rPr>
        <w:t>（一）</w:t>
      </w:r>
      <w:r>
        <w:rPr>
          <w:rFonts w:hint="eastAsia" w:ascii="宋体" w:hAnsi="宋体" w:eastAsia="宋体" w:cs="宋体"/>
          <w:b/>
          <w:color w:val="auto"/>
          <w:sz w:val="21"/>
          <w:szCs w:val="21"/>
          <w:highlight w:val="none"/>
        </w:rPr>
        <w:t>响应函（格式）</w:t>
      </w:r>
      <w:bookmarkEnd w:id="854"/>
      <w:bookmarkEnd w:id="855"/>
    </w:p>
    <w:p w14:paraId="33AE4EB7">
      <w:pPr>
        <w:pStyle w:val="8"/>
        <w:spacing w:before="71" w:line="257" w:lineRule="auto"/>
        <w:ind w:left="12" w:firstLine="468"/>
        <w:rPr>
          <w:rFonts w:hint="eastAsia" w:ascii="宋体" w:hAnsi="宋体" w:eastAsia="宋体" w:cs="宋体"/>
          <w:color w:val="auto"/>
          <w:spacing w:val="-2"/>
          <w:sz w:val="21"/>
          <w:szCs w:val="21"/>
          <w:highlight w:val="none"/>
        </w:rPr>
      </w:pPr>
    </w:p>
    <w:p w14:paraId="443B27C2">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12"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2"/>
          <w:sz w:val="21"/>
          <w:szCs w:val="21"/>
          <w:highlight w:val="none"/>
        </w:rPr>
        <w:t>根据贵方</w:t>
      </w:r>
      <w:r>
        <w:rPr>
          <w:rFonts w:hint="eastAsia" w:ascii="宋体" w:hAnsi="宋体" w:eastAsia="宋体" w:cs="宋体"/>
          <w:color w:val="auto"/>
          <w:spacing w:val="111"/>
          <w:sz w:val="21"/>
          <w:szCs w:val="21"/>
          <w:highlight w:val="none"/>
          <w:u w:val="single"/>
        </w:rPr>
        <w:t xml:space="preserve"> </w:t>
      </w:r>
      <w:r>
        <w:rPr>
          <w:rFonts w:hint="eastAsia" w:ascii="宋体" w:hAnsi="宋体" w:eastAsia="宋体" w:cs="宋体"/>
          <w:color w:val="auto"/>
          <w:spacing w:val="-2"/>
          <w:sz w:val="21"/>
          <w:szCs w:val="21"/>
          <w:highlight w:val="none"/>
          <w:u w:val="single"/>
        </w:rPr>
        <w:t>（项目名称）</w:t>
      </w:r>
      <w:r>
        <w:rPr>
          <w:rFonts w:hint="eastAsia" w:ascii="宋体" w:hAnsi="宋体" w:eastAsia="宋体" w:cs="宋体"/>
          <w:color w:val="auto"/>
          <w:spacing w:val="103"/>
          <w:sz w:val="21"/>
          <w:szCs w:val="21"/>
          <w:highlight w:val="none"/>
          <w:u w:val="single"/>
        </w:rPr>
        <w:t xml:space="preserve"> </w:t>
      </w:r>
      <w:r>
        <w:rPr>
          <w:rFonts w:hint="eastAsia" w:ascii="宋体" w:hAnsi="宋体" w:eastAsia="宋体" w:cs="宋体"/>
          <w:color w:val="auto"/>
          <w:spacing w:val="-106"/>
          <w:sz w:val="21"/>
          <w:szCs w:val="21"/>
          <w:highlight w:val="none"/>
        </w:rPr>
        <w:t xml:space="preserve"> </w:t>
      </w:r>
      <w:r>
        <w:rPr>
          <w:rFonts w:hint="eastAsia" w:ascii="宋体" w:hAnsi="宋体" w:eastAsia="宋体" w:cs="宋体"/>
          <w:color w:val="auto"/>
          <w:spacing w:val="-2"/>
          <w:sz w:val="21"/>
          <w:szCs w:val="21"/>
          <w:highlight w:val="none"/>
        </w:rPr>
        <w:t>项目磋商文件，项</w:t>
      </w:r>
      <w:r>
        <w:rPr>
          <w:rFonts w:hint="eastAsia" w:ascii="宋体" w:hAnsi="宋体" w:eastAsia="宋体" w:cs="宋体"/>
          <w:color w:val="auto"/>
          <w:spacing w:val="-11"/>
          <w:sz w:val="21"/>
          <w:szCs w:val="21"/>
          <w:highlight w:val="none"/>
        </w:rPr>
        <w:t>目</w:t>
      </w:r>
      <w:r>
        <w:rPr>
          <w:rFonts w:hint="eastAsia" w:ascii="宋体" w:hAnsi="宋体" w:eastAsia="宋体" w:cs="宋体"/>
          <w:color w:val="auto"/>
          <w:spacing w:val="-52"/>
          <w:sz w:val="21"/>
          <w:szCs w:val="21"/>
          <w:highlight w:val="none"/>
        </w:rPr>
        <w:t xml:space="preserve"> </w:t>
      </w:r>
      <w:r>
        <w:rPr>
          <w:rFonts w:hint="eastAsia" w:ascii="宋体" w:hAnsi="宋体" w:eastAsia="宋体" w:cs="宋体"/>
          <w:color w:val="auto"/>
          <w:spacing w:val="-11"/>
          <w:sz w:val="21"/>
          <w:szCs w:val="21"/>
          <w:highlight w:val="none"/>
        </w:rPr>
        <w:t>编</w:t>
      </w:r>
      <w:r>
        <w:rPr>
          <w:rFonts w:hint="eastAsia" w:ascii="宋体" w:hAnsi="宋体" w:eastAsia="宋体" w:cs="宋体"/>
          <w:color w:val="auto"/>
          <w:spacing w:val="-64"/>
          <w:sz w:val="21"/>
          <w:szCs w:val="21"/>
          <w:highlight w:val="none"/>
        </w:rPr>
        <w:t xml:space="preserve"> </w:t>
      </w:r>
      <w:r>
        <w:rPr>
          <w:rFonts w:hint="eastAsia" w:ascii="宋体" w:hAnsi="宋体" w:eastAsia="宋体" w:cs="宋体"/>
          <w:color w:val="auto"/>
          <w:spacing w:val="-11"/>
          <w:sz w:val="21"/>
          <w:szCs w:val="21"/>
          <w:highlight w:val="none"/>
        </w:rPr>
        <w:t>号</w:t>
      </w:r>
      <w:r>
        <w:rPr>
          <w:rFonts w:hint="eastAsia" w:ascii="宋体" w:hAnsi="宋体" w:eastAsia="宋体" w:cs="宋体"/>
          <w:color w:val="auto"/>
          <w:spacing w:val="-77"/>
          <w:sz w:val="21"/>
          <w:szCs w:val="21"/>
          <w:highlight w:val="none"/>
        </w:rPr>
        <w:t xml:space="preserve"> </w:t>
      </w:r>
      <w:r>
        <w:rPr>
          <w:rFonts w:hint="eastAsia" w:ascii="宋体" w:hAnsi="宋体" w:eastAsia="宋体" w:cs="宋体"/>
          <w:color w:val="auto"/>
          <w:spacing w:val="1"/>
          <w:sz w:val="21"/>
          <w:szCs w:val="21"/>
          <w:highlight w:val="none"/>
          <w:u w:val="single"/>
        </w:rPr>
        <w:t xml:space="preserve">            </w:t>
      </w:r>
      <w:r>
        <w:rPr>
          <w:rFonts w:hint="eastAsia" w:ascii="宋体" w:hAnsi="宋体" w:eastAsia="宋体" w:cs="宋体"/>
          <w:color w:val="auto"/>
          <w:spacing w:val="-81"/>
          <w:sz w:val="21"/>
          <w:szCs w:val="21"/>
          <w:highlight w:val="none"/>
        </w:rPr>
        <w:t xml:space="preserve"> </w:t>
      </w:r>
      <w:r>
        <w:rPr>
          <w:rFonts w:hint="eastAsia" w:ascii="宋体" w:hAnsi="宋体" w:eastAsia="宋体" w:cs="宋体"/>
          <w:color w:val="auto"/>
          <w:spacing w:val="-11"/>
          <w:sz w:val="21"/>
          <w:szCs w:val="21"/>
          <w:highlight w:val="none"/>
        </w:rPr>
        <w:t>，</w:t>
      </w:r>
      <w:r>
        <w:rPr>
          <w:rFonts w:hint="eastAsia" w:ascii="宋体" w:hAnsi="宋体" w:eastAsia="宋体" w:cs="宋体"/>
          <w:color w:val="auto"/>
          <w:spacing w:val="-67"/>
          <w:sz w:val="21"/>
          <w:szCs w:val="21"/>
          <w:highlight w:val="none"/>
        </w:rPr>
        <w:t xml:space="preserve"> </w:t>
      </w:r>
      <w:r>
        <w:rPr>
          <w:rFonts w:hint="eastAsia" w:ascii="宋体" w:hAnsi="宋体" w:eastAsia="宋体" w:cs="宋体"/>
          <w:color w:val="auto"/>
          <w:spacing w:val="-11"/>
          <w:sz w:val="21"/>
          <w:szCs w:val="21"/>
          <w:highlight w:val="none"/>
        </w:rPr>
        <w:t>签</w:t>
      </w:r>
      <w:r>
        <w:rPr>
          <w:rFonts w:hint="eastAsia" w:ascii="宋体" w:hAnsi="宋体" w:eastAsia="宋体" w:cs="宋体"/>
          <w:color w:val="auto"/>
          <w:spacing w:val="-69"/>
          <w:sz w:val="21"/>
          <w:szCs w:val="21"/>
          <w:highlight w:val="none"/>
        </w:rPr>
        <w:t xml:space="preserve"> </w:t>
      </w:r>
      <w:r>
        <w:rPr>
          <w:rFonts w:hint="eastAsia" w:ascii="宋体" w:hAnsi="宋体" w:eastAsia="宋体" w:cs="宋体"/>
          <w:color w:val="auto"/>
          <w:spacing w:val="-11"/>
          <w:sz w:val="21"/>
          <w:szCs w:val="21"/>
          <w:highlight w:val="none"/>
        </w:rPr>
        <w:t>字</w:t>
      </w:r>
      <w:r>
        <w:rPr>
          <w:rFonts w:hint="eastAsia" w:ascii="宋体" w:hAnsi="宋体" w:eastAsia="宋体" w:cs="宋体"/>
          <w:color w:val="auto"/>
          <w:spacing w:val="-69"/>
          <w:sz w:val="21"/>
          <w:szCs w:val="21"/>
          <w:highlight w:val="none"/>
        </w:rPr>
        <w:t xml:space="preserve"> </w:t>
      </w:r>
      <w:r>
        <w:rPr>
          <w:rFonts w:hint="eastAsia" w:ascii="宋体" w:hAnsi="宋体" w:eastAsia="宋体" w:cs="宋体"/>
          <w:color w:val="auto"/>
          <w:spacing w:val="-11"/>
          <w:sz w:val="21"/>
          <w:szCs w:val="21"/>
          <w:highlight w:val="none"/>
        </w:rPr>
        <w:t>代</w:t>
      </w:r>
      <w:r>
        <w:rPr>
          <w:rFonts w:hint="eastAsia" w:ascii="宋体" w:hAnsi="宋体" w:eastAsia="宋体" w:cs="宋体"/>
          <w:color w:val="auto"/>
          <w:spacing w:val="-68"/>
          <w:sz w:val="21"/>
          <w:szCs w:val="21"/>
          <w:highlight w:val="none"/>
        </w:rPr>
        <w:t xml:space="preserve"> </w:t>
      </w:r>
      <w:r>
        <w:rPr>
          <w:rFonts w:hint="eastAsia" w:ascii="宋体" w:hAnsi="宋体" w:eastAsia="宋体" w:cs="宋体"/>
          <w:color w:val="auto"/>
          <w:spacing w:val="-11"/>
          <w:sz w:val="21"/>
          <w:szCs w:val="21"/>
          <w:highlight w:val="none"/>
        </w:rPr>
        <w:t>表</w:t>
      </w:r>
      <w:r>
        <w:rPr>
          <w:rFonts w:hint="eastAsia" w:ascii="宋体" w:hAnsi="宋体" w:eastAsia="宋体" w:cs="宋体"/>
          <w:color w:val="auto"/>
          <w:spacing w:val="-79"/>
          <w:sz w:val="21"/>
          <w:szCs w:val="21"/>
          <w:highlight w:val="none"/>
        </w:rPr>
        <w:t xml:space="preserve"> </w:t>
      </w:r>
      <w:r>
        <w:rPr>
          <w:rFonts w:hint="eastAsia" w:ascii="宋体" w:hAnsi="宋体" w:eastAsia="宋体" w:cs="宋体"/>
          <w:color w:val="auto"/>
          <w:spacing w:val="6"/>
          <w:sz w:val="21"/>
          <w:szCs w:val="21"/>
          <w:highlight w:val="none"/>
          <w:u w:val="single"/>
        </w:rPr>
        <w:t xml:space="preserve">         </w:t>
      </w:r>
      <w:r>
        <w:rPr>
          <w:rFonts w:hint="eastAsia" w:ascii="宋体" w:hAnsi="宋体" w:eastAsia="宋体" w:cs="宋体"/>
          <w:color w:val="auto"/>
          <w:spacing w:val="-11"/>
          <w:sz w:val="21"/>
          <w:szCs w:val="21"/>
          <w:highlight w:val="none"/>
        </w:rPr>
        <w:t>（姓</w:t>
      </w:r>
      <w:r>
        <w:rPr>
          <w:rFonts w:hint="eastAsia" w:ascii="宋体" w:hAnsi="宋体" w:eastAsia="宋体" w:cs="宋体"/>
          <w:color w:val="auto"/>
          <w:spacing w:val="-66"/>
          <w:sz w:val="21"/>
          <w:szCs w:val="21"/>
          <w:highlight w:val="none"/>
        </w:rPr>
        <w:t xml:space="preserve"> </w:t>
      </w:r>
      <w:r>
        <w:rPr>
          <w:rFonts w:hint="eastAsia" w:ascii="宋体" w:hAnsi="宋体" w:eastAsia="宋体" w:cs="宋体"/>
          <w:color w:val="auto"/>
          <w:spacing w:val="-11"/>
          <w:sz w:val="21"/>
          <w:szCs w:val="21"/>
          <w:highlight w:val="none"/>
        </w:rPr>
        <w:t>名</w:t>
      </w:r>
      <w:r>
        <w:rPr>
          <w:rFonts w:hint="eastAsia" w:ascii="宋体" w:hAnsi="宋体" w:eastAsia="宋体" w:cs="宋体"/>
          <w:color w:val="auto"/>
          <w:spacing w:val="-42"/>
          <w:sz w:val="21"/>
          <w:szCs w:val="21"/>
          <w:highlight w:val="none"/>
        </w:rPr>
        <w:t xml:space="preserve"> </w:t>
      </w:r>
      <w:r>
        <w:rPr>
          <w:rFonts w:hint="eastAsia" w:ascii="宋体" w:hAnsi="宋体" w:eastAsia="宋体" w:cs="宋体"/>
          <w:color w:val="auto"/>
          <w:spacing w:val="-11"/>
          <w:sz w:val="21"/>
          <w:szCs w:val="21"/>
          <w:highlight w:val="none"/>
        </w:rPr>
        <w:t>）</w:t>
      </w:r>
      <w:r>
        <w:rPr>
          <w:rFonts w:hint="eastAsia" w:ascii="宋体" w:hAnsi="宋体" w:eastAsia="宋体" w:cs="宋体"/>
          <w:color w:val="auto"/>
          <w:spacing w:val="-66"/>
          <w:sz w:val="21"/>
          <w:szCs w:val="21"/>
          <w:highlight w:val="none"/>
        </w:rPr>
        <w:t xml:space="preserve"> </w:t>
      </w:r>
      <w:r>
        <w:rPr>
          <w:rFonts w:hint="eastAsia" w:ascii="宋体" w:hAnsi="宋体" w:eastAsia="宋体" w:cs="宋体"/>
          <w:color w:val="auto"/>
          <w:spacing w:val="-11"/>
          <w:sz w:val="21"/>
          <w:szCs w:val="21"/>
          <w:highlight w:val="none"/>
        </w:rPr>
        <w:t>经</w:t>
      </w:r>
      <w:r>
        <w:rPr>
          <w:rFonts w:hint="eastAsia" w:ascii="宋体" w:hAnsi="宋体" w:eastAsia="宋体" w:cs="宋体"/>
          <w:color w:val="auto"/>
          <w:spacing w:val="-65"/>
          <w:sz w:val="21"/>
          <w:szCs w:val="21"/>
          <w:highlight w:val="none"/>
        </w:rPr>
        <w:t xml:space="preserve"> </w:t>
      </w:r>
      <w:r>
        <w:rPr>
          <w:rFonts w:hint="eastAsia" w:ascii="宋体" w:hAnsi="宋体" w:eastAsia="宋体" w:cs="宋体"/>
          <w:color w:val="auto"/>
          <w:spacing w:val="-11"/>
          <w:sz w:val="21"/>
          <w:szCs w:val="21"/>
          <w:highlight w:val="none"/>
        </w:rPr>
        <w:t>正</w:t>
      </w:r>
      <w:r>
        <w:rPr>
          <w:rFonts w:hint="eastAsia" w:ascii="宋体" w:hAnsi="宋体" w:eastAsia="宋体" w:cs="宋体"/>
          <w:color w:val="auto"/>
          <w:spacing w:val="-62"/>
          <w:sz w:val="21"/>
          <w:szCs w:val="21"/>
          <w:highlight w:val="none"/>
        </w:rPr>
        <w:t xml:space="preserve"> </w:t>
      </w:r>
      <w:r>
        <w:rPr>
          <w:rFonts w:hint="eastAsia" w:ascii="宋体" w:hAnsi="宋体" w:eastAsia="宋体" w:cs="宋体"/>
          <w:color w:val="auto"/>
          <w:spacing w:val="-11"/>
          <w:sz w:val="21"/>
          <w:szCs w:val="21"/>
          <w:highlight w:val="none"/>
        </w:rPr>
        <w:t>式</w:t>
      </w:r>
      <w:r>
        <w:rPr>
          <w:rFonts w:hint="eastAsia" w:ascii="宋体" w:hAnsi="宋体" w:eastAsia="宋体" w:cs="宋体"/>
          <w:color w:val="auto"/>
          <w:spacing w:val="-69"/>
          <w:sz w:val="21"/>
          <w:szCs w:val="21"/>
          <w:highlight w:val="none"/>
        </w:rPr>
        <w:t xml:space="preserve"> </w:t>
      </w:r>
      <w:r>
        <w:rPr>
          <w:rFonts w:hint="eastAsia" w:ascii="宋体" w:hAnsi="宋体" w:eastAsia="宋体" w:cs="宋体"/>
          <w:color w:val="auto"/>
          <w:spacing w:val="-11"/>
          <w:sz w:val="21"/>
          <w:szCs w:val="21"/>
          <w:highlight w:val="none"/>
        </w:rPr>
        <w:t>授</w:t>
      </w:r>
      <w:r>
        <w:rPr>
          <w:rFonts w:hint="eastAsia" w:ascii="宋体" w:hAnsi="宋体" w:eastAsia="宋体" w:cs="宋体"/>
          <w:color w:val="auto"/>
          <w:spacing w:val="-71"/>
          <w:sz w:val="21"/>
          <w:szCs w:val="21"/>
          <w:highlight w:val="none"/>
        </w:rPr>
        <w:t xml:space="preserve"> </w:t>
      </w:r>
      <w:r>
        <w:rPr>
          <w:rFonts w:hint="eastAsia" w:ascii="宋体" w:hAnsi="宋体" w:eastAsia="宋体" w:cs="宋体"/>
          <w:color w:val="auto"/>
          <w:spacing w:val="-11"/>
          <w:sz w:val="21"/>
          <w:szCs w:val="21"/>
          <w:highlight w:val="none"/>
        </w:rPr>
        <w:t>权</w:t>
      </w:r>
      <w:r>
        <w:rPr>
          <w:rFonts w:hint="eastAsia" w:ascii="宋体" w:hAnsi="宋体" w:eastAsia="宋体" w:cs="宋体"/>
          <w:color w:val="auto"/>
          <w:spacing w:val="-61"/>
          <w:sz w:val="21"/>
          <w:szCs w:val="21"/>
          <w:highlight w:val="none"/>
        </w:rPr>
        <w:t xml:space="preserve"> </w:t>
      </w:r>
      <w:r>
        <w:rPr>
          <w:rFonts w:hint="eastAsia" w:ascii="宋体" w:hAnsi="宋体" w:eastAsia="宋体" w:cs="宋体"/>
          <w:color w:val="auto"/>
          <w:spacing w:val="-11"/>
          <w:sz w:val="21"/>
          <w:szCs w:val="21"/>
          <w:highlight w:val="none"/>
        </w:rPr>
        <w:t>并</w:t>
      </w:r>
      <w:r>
        <w:rPr>
          <w:rFonts w:hint="eastAsia" w:ascii="宋体" w:hAnsi="宋体" w:eastAsia="宋体" w:cs="宋体"/>
          <w:color w:val="auto"/>
          <w:spacing w:val="-69"/>
          <w:sz w:val="21"/>
          <w:szCs w:val="21"/>
          <w:highlight w:val="none"/>
        </w:rPr>
        <w:t xml:space="preserve"> </w:t>
      </w:r>
      <w:r>
        <w:rPr>
          <w:rFonts w:hint="eastAsia" w:ascii="宋体" w:hAnsi="宋体" w:eastAsia="宋体" w:cs="宋体"/>
          <w:color w:val="auto"/>
          <w:spacing w:val="-11"/>
          <w:sz w:val="21"/>
          <w:szCs w:val="21"/>
          <w:highlight w:val="none"/>
        </w:rPr>
        <w:t>代</w:t>
      </w:r>
      <w:r>
        <w:rPr>
          <w:rFonts w:hint="eastAsia" w:ascii="宋体" w:hAnsi="宋体" w:eastAsia="宋体" w:cs="宋体"/>
          <w:color w:val="auto"/>
          <w:spacing w:val="-71"/>
          <w:sz w:val="21"/>
          <w:szCs w:val="21"/>
          <w:highlight w:val="none"/>
        </w:rPr>
        <w:t xml:space="preserve"> </w:t>
      </w:r>
      <w:r>
        <w:rPr>
          <w:rFonts w:hint="eastAsia" w:ascii="宋体" w:hAnsi="宋体" w:eastAsia="宋体" w:cs="宋体"/>
          <w:color w:val="auto"/>
          <w:spacing w:val="-11"/>
          <w:sz w:val="21"/>
          <w:szCs w:val="21"/>
          <w:highlight w:val="none"/>
        </w:rPr>
        <w:t>表</w:t>
      </w:r>
      <w:r>
        <w:rPr>
          <w:rFonts w:hint="eastAsia" w:ascii="宋体" w:hAnsi="宋体" w:eastAsia="宋体" w:cs="宋体"/>
          <w:color w:val="auto"/>
          <w:spacing w:val="-67"/>
          <w:sz w:val="21"/>
          <w:szCs w:val="21"/>
          <w:highlight w:val="none"/>
        </w:rPr>
        <w:t xml:space="preserve"> </w:t>
      </w:r>
      <w:r>
        <w:rPr>
          <w:rFonts w:hint="eastAsia" w:ascii="宋体" w:hAnsi="宋体" w:eastAsia="宋体" w:cs="宋体"/>
          <w:color w:val="auto"/>
          <w:spacing w:val="-11"/>
          <w:sz w:val="21"/>
          <w:szCs w:val="21"/>
          <w:highlight w:val="none"/>
        </w:rPr>
        <w:t>供</w:t>
      </w:r>
      <w:r>
        <w:rPr>
          <w:rFonts w:hint="eastAsia" w:ascii="宋体" w:hAnsi="宋体" w:eastAsia="宋体" w:cs="宋体"/>
          <w:color w:val="auto"/>
          <w:spacing w:val="-70"/>
          <w:sz w:val="21"/>
          <w:szCs w:val="21"/>
          <w:highlight w:val="none"/>
        </w:rPr>
        <w:t xml:space="preserve"> </w:t>
      </w:r>
      <w:r>
        <w:rPr>
          <w:rFonts w:hint="eastAsia" w:ascii="宋体" w:hAnsi="宋体" w:eastAsia="宋体" w:cs="宋体"/>
          <w:color w:val="auto"/>
          <w:spacing w:val="-11"/>
          <w:sz w:val="21"/>
          <w:szCs w:val="21"/>
          <w:highlight w:val="none"/>
        </w:rPr>
        <w:t>应</w:t>
      </w:r>
      <w:r>
        <w:rPr>
          <w:rFonts w:hint="eastAsia" w:ascii="宋体" w:hAnsi="宋体" w:eastAsia="宋体" w:cs="宋体"/>
          <w:color w:val="auto"/>
          <w:spacing w:val="-62"/>
          <w:sz w:val="21"/>
          <w:szCs w:val="21"/>
          <w:highlight w:val="none"/>
        </w:rPr>
        <w:t xml:space="preserve"> </w:t>
      </w:r>
      <w:r>
        <w:rPr>
          <w:rFonts w:hint="eastAsia" w:ascii="宋体" w:hAnsi="宋体" w:eastAsia="宋体" w:cs="宋体"/>
          <w:color w:val="auto"/>
          <w:spacing w:val="-11"/>
          <w:sz w:val="21"/>
          <w:szCs w:val="21"/>
          <w:highlight w:val="none"/>
        </w:rPr>
        <w:t>商</w:t>
      </w:r>
      <w:r>
        <w:rPr>
          <w:rFonts w:hint="eastAsia" w:ascii="宋体" w:hAnsi="宋体" w:eastAsia="宋体" w:cs="宋体"/>
          <w:color w:val="auto"/>
          <w:spacing w:val="-2"/>
          <w:sz w:val="21"/>
          <w:szCs w:val="21"/>
          <w:highlight w:val="none"/>
        </w:rPr>
        <w:t>（供应商单位名称</w:t>
      </w:r>
      <w:r>
        <w:rPr>
          <w:rFonts w:hint="eastAsia" w:ascii="宋体" w:hAnsi="宋体" w:eastAsia="宋体" w:cs="宋体"/>
          <w:color w:val="auto"/>
          <w:spacing w:val="6"/>
          <w:sz w:val="21"/>
          <w:szCs w:val="21"/>
          <w:highlight w:val="none"/>
        </w:rPr>
        <w:t>），</w:t>
      </w:r>
      <w:r>
        <w:rPr>
          <w:rFonts w:hint="eastAsia" w:ascii="宋体" w:hAnsi="宋体" w:eastAsia="宋体" w:cs="宋体"/>
          <w:color w:val="auto"/>
          <w:spacing w:val="-2"/>
          <w:sz w:val="21"/>
          <w:szCs w:val="21"/>
          <w:highlight w:val="none"/>
        </w:rPr>
        <w:t>提交电子响应文件。</w:t>
      </w:r>
    </w:p>
    <w:p w14:paraId="54D6CFE6">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16"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1"/>
          <w:sz w:val="21"/>
          <w:szCs w:val="21"/>
          <w:highlight w:val="none"/>
        </w:rPr>
        <w:t>据此函，签字代表宣布同意如下：</w:t>
      </w:r>
    </w:p>
    <w:p w14:paraId="46A75A46">
      <w:pPr>
        <w:pStyle w:val="8"/>
        <w:keepNext w:val="0"/>
        <w:keepLines w:val="0"/>
        <w:pageBreakBefore w:val="0"/>
        <w:widowControl w:val="0"/>
        <w:tabs>
          <w:tab w:val="left" w:pos="126"/>
        </w:tabs>
        <w:kinsoku/>
        <w:wordWrap/>
        <w:overflowPunct/>
        <w:topLinePunct w:val="0"/>
        <w:autoSpaceDE/>
        <w:autoSpaceDN/>
        <w:bidi w:val="0"/>
        <w:adjustRightInd/>
        <w:snapToGrid/>
        <w:spacing w:after="0" w:line="360" w:lineRule="exact"/>
        <w:ind w:left="0"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1.我方已仔细研究磋商文件的全部内容，愿意以人民币（大写）</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pacing w:val="-98"/>
          <w:sz w:val="21"/>
          <w:szCs w:val="21"/>
          <w:highlight w:val="none"/>
        </w:rPr>
        <w:t xml:space="preserve"> </w:t>
      </w:r>
      <w:r>
        <w:rPr>
          <w:rFonts w:hint="eastAsia" w:ascii="宋体" w:hAnsi="宋体" w:eastAsia="宋体" w:cs="宋体"/>
          <w:color w:val="auto"/>
          <w:sz w:val="21"/>
          <w:szCs w:val="21"/>
          <w:highlight w:val="none"/>
        </w:rPr>
        <w:t>元</w:t>
      </w:r>
      <w:r>
        <w:rPr>
          <w:rFonts w:hint="eastAsia" w:ascii="宋体" w:hAnsi="宋体" w:eastAsia="宋体" w:cs="宋体"/>
          <w:color w:val="auto"/>
          <w:spacing w:val="-1"/>
          <w:sz w:val="21"/>
          <w:szCs w:val="21"/>
          <w:highlight w:val="none"/>
        </w:rPr>
        <w:t>(¥</w:t>
      </w:r>
      <w:r>
        <w:rPr>
          <w:rFonts w:hint="eastAsia" w:ascii="宋体" w:hAnsi="宋体" w:eastAsia="宋体" w:cs="宋体"/>
          <w:color w:val="auto"/>
          <w:spacing w:val="15"/>
          <w:sz w:val="21"/>
          <w:szCs w:val="21"/>
          <w:highlight w:val="none"/>
          <w:u w:val="single"/>
        </w:rPr>
        <w:t xml:space="preserve">     </w:t>
      </w:r>
      <w:r>
        <w:rPr>
          <w:rFonts w:hint="eastAsia" w:ascii="宋体" w:hAnsi="宋体" w:eastAsia="宋体" w:cs="宋体"/>
          <w:color w:val="auto"/>
          <w:spacing w:val="-84"/>
          <w:sz w:val="21"/>
          <w:szCs w:val="21"/>
          <w:highlight w:val="none"/>
        </w:rPr>
        <w:t xml:space="preserve"> </w:t>
      </w:r>
      <w:r>
        <w:rPr>
          <w:rFonts w:hint="eastAsia" w:ascii="宋体" w:hAnsi="宋体" w:eastAsia="宋体" w:cs="宋体"/>
          <w:color w:val="auto"/>
          <w:spacing w:val="-1"/>
          <w:sz w:val="21"/>
          <w:szCs w:val="21"/>
          <w:highlight w:val="none"/>
        </w:rPr>
        <w:t>)的磋商报价（或根据磋商文件规定修正核实后确定的另一金额</w:t>
      </w:r>
      <w:r>
        <w:rPr>
          <w:rFonts w:hint="eastAsia" w:ascii="宋体" w:hAnsi="宋体" w:eastAsia="宋体" w:cs="宋体"/>
          <w:color w:val="auto"/>
          <w:spacing w:val="13"/>
          <w:sz w:val="21"/>
          <w:szCs w:val="21"/>
          <w:highlight w:val="none"/>
        </w:rPr>
        <w:t>）</w:t>
      </w:r>
      <w:r>
        <w:rPr>
          <w:rFonts w:hint="eastAsia" w:ascii="宋体" w:hAnsi="宋体" w:cs="宋体"/>
          <w:color w:val="auto"/>
          <w:spacing w:val="13"/>
          <w:sz w:val="21"/>
          <w:szCs w:val="21"/>
          <w:highlight w:val="none"/>
          <w:lang w:eastAsia="zh-CN"/>
        </w:rPr>
        <w:t>，</w:t>
      </w:r>
      <w:r>
        <w:rPr>
          <w:rFonts w:hint="eastAsia" w:ascii="宋体" w:hAnsi="宋体" w:eastAsia="宋体" w:cs="宋体"/>
          <w:color w:val="auto"/>
          <w:spacing w:val="-1"/>
          <w:sz w:val="21"/>
          <w:szCs w:val="21"/>
          <w:highlight w:val="none"/>
        </w:rPr>
        <w:t>按合同约定实施和完成承包工程，修补工程中的任何缺陷。</w:t>
      </w:r>
    </w:p>
    <w:p w14:paraId="2DF5F4A8">
      <w:pPr>
        <w:pStyle w:val="8"/>
        <w:keepNext w:val="0"/>
        <w:keepLines w:val="0"/>
        <w:pageBreakBefore w:val="0"/>
        <w:widowControl w:val="0"/>
        <w:kinsoku/>
        <w:wordWrap/>
        <w:overflowPunct/>
        <w:topLinePunct w:val="0"/>
        <w:autoSpaceDE/>
        <w:autoSpaceDN/>
        <w:bidi w:val="0"/>
        <w:adjustRightInd/>
        <w:snapToGrid/>
        <w:spacing w:after="0" w:line="360" w:lineRule="exact"/>
        <w:ind w:left="0" w:firstLine="396"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6"/>
          <w:sz w:val="21"/>
          <w:szCs w:val="21"/>
          <w:highlight w:val="none"/>
        </w:rPr>
        <w:t>2.工程质量</w:t>
      </w:r>
      <w:r>
        <w:rPr>
          <w:rFonts w:hint="eastAsia" w:ascii="宋体" w:hAnsi="宋体" w:eastAsia="宋体" w:cs="宋体"/>
          <w:color w:val="auto"/>
          <w:spacing w:val="-8"/>
          <w:sz w:val="21"/>
          <w:szCs w:val="21"/>
          <w:highlight w:val="none"/>
        </w:rPr>
        <w:t>：</w:t>
      </w:r>
      <w:r>
        <w:rPr>
          <w:rFonts w:hint="eastAsia" w:ascii="宋体" w:hAnsi="宋体" w:eastAsia="宋体" w:cs="宋体"/>
          <w:color w:val="auto"/>
          <w:spacing w:val="7"/>
          <w:sz w:val="21"/>
          <w:szCs w:val="21"/>
          <w:highlight w:val="none"/>
          <w:u w:val="single"/>
        </w:rPr>
        <w:t xml:space="preserve">        </w:t>
      </w:r>
      <w:r>
        <w:rPr>
          <w:rFonts w:hint="eastAsia" w:ascii="宋体" w:hAnsi="宋体" w:eastAsia="宋体" w:cs="宋体"/>
          <w:color w:val="auto"/>
          <w:spacing w:val="-86"/>
          <w:sz w:val="21"/>
          <w:szCs w:val="21"/>
          <w:highlight w:val="none"/>
        </w:rPr>
        <w:t xml:space="preserve"> </w:t>
      </w:r>
      <w:r>
        <w:rPr>
          <w:rFonts w:hint="eastAsia" w:ascii="宋体" w:hAnsi="宋体" w:eastAsia="宋体" w:cs="宋体"/>
          <w:color w:val="auto"/>
          <w:spacing w:val="-8"/>
          <w:sz w:val="21"/>
          <w:szCs w:val="21"/>
          <w:highlight w:val="none"/>
        </w:rPr>
        <w:t>，</w:t>
      </w:r>
      <w:r>
        <w:rPr>
          <w:rFonts w:hint="eastAsia" w:ascii="宋体" w:hAnsi="宋体" w:eastAsia="宋体" w:cs="宋体"/>
          <w:color w:val="auto"/>
          <w:spacing w:val="-6"/>
          <w:sz w:val="21"/>
          <w:szCs w:val="21"/>
          <w:highlight w:val="none"/>
        </w:rPr>
        <w:t>工期：</w:t>
      </w:r>
      <w:r>
        <w:rPr>
          <w:rFonts w:hint="eastAsia" w:ascii="宋体" w:hAnsi="宋体" w:eastAsia="宋体" w:cs="宋体"/>
          <w:color w:val="auto"/>
          <w:spacing w:val="10"/>
          <w:sz w:val="21"/>
          <w:szCs w:val="21"/>
          <w:highlight w:val="none"/>
          <w:u w:val="single"/>
        </w:rPr>
        <w:t xml:space="preserve">      </w:t>
      </w:r>
      <w:r>
        <w:rPr>
          <w:rFonts w:hint="eastAsia" w:ascii="宋体" w:hAnsi="宋体" w:eastAsia="宋体" w:cs="宋体"/>
          <w:color w:val="auto"/>
          <w:spacing w:val="-70"/>
          <w:sz w:val="21"/>
          <w:szCs w:val="21"/>
          <w:highlight w:val="none"/>
        </w:rPr>
        <w:t xml:space="preserve"> </w:t>
      </w:r>
      <w:r>
        <w:rPr>
          <w:rFonts w:hint="eastAsia" w:ascii="宋体" w:hAnsi="宋体" w:eastAsia="宋体" w:cs="宋体"/>
          <w:color w:val="auto"/>
          <w:spacing w:val="-6"/>
          <w:sz w:val="21"/>
          <w:szCs w:val="21"/>
          <w:highlight w:val="none"/>
        </w:rPr>
        <w:t>日历天。</w:t>
      </w:r>
    </w:p>
    <w:p w14:paraId="394E4B4B">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16"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1"/>
          <w:sz w:val="21"/>
          <w:szCs w:val="21"/>
          <w:highlight w:val="none"/>
        </w:rPr>
        <w:t>3.我方承诺已具备磋商文件规定的供应商资格条件。</w:t>
      </w:r>
    </w:p>
    <w:p w14:paraId="25914632">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12"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2"/>
          <w:sz w:val="21"/>
          <w:szCs w:val="21"/>
          <w:highlight w:val="none"/>
        </w:rPr>
        <w:t>4.我方已详细审核磋商文件，包括修改文件（如有的话）和有关附件</w:t>
      </w:r>
      <w:r>
        <w:rPr>
          <w:rFonts w:hint="eastAsia" w:ascii="宋体" w:hAnsi="宋体" w:eastAsia="宋体" w:cs="宋体"/>
          <w:color w:val="auto"/>
          <w:spacing w:val="-3"/>
          <w:sz w:val="21"/>
          <w:szCs w:val="21"/>
          <w:highlight w:val="none"/>
        </w:rPr>
        <w:t>，将自行承担</w:t>
      </w:r>
      <w:r>
        <w:rPr>
          <w:rFonts w:hint="eastAsia" w:ascii="宋体" w:hAnsi="宋体" w:eastAsia="宋体" w:cs="宋体"/>
          <w:color w:val="auto"/>
          <w:spacing w:val="-1"/>
          <w:sz w:val="21"/>
          <w:szCs w:val="21"/>
          <w:highlight w:val="none"/>
        </w:rPr>
        <w:t>因对全部磋商文件理解不正确或误解而产生的</w:t>
      </w:r>
      <w:r>
        <w:rPr>
          <w:rFonts w:hint="eastAsia" w:ascii="宋体" w:hAnsi="宋体" w:eastAsia="宋体" w:cs="宋体"/>
          <w:color w:val="auto"/>
          <w:spacing w:val="-2"/>
          <w:sz w:val="21"/>
          <w:szCs w:val="21"/>
          <w:highlight w:val="none"/>
        </w:rPr>
        <w:t>相应后果。</w:t>
      </w:r>
    </w:p>
    <w:p w14:paraId="695608DE">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12"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2"/>
          <w:position w:val="8"/>
          <w:sz w:val="21"/>
          <w:szCs w:val="21"/>
          <w:highlight w:val="none"/>
        </w:rPr>
        <w:t>5.响应文件有效期为响应文件递交截止时间之日起</w:t>
      </w:r>
      <w:r>
        <w:rPr>
          <w:rFonts w:hint="eastAsia" w:ascii="宋体" w:hAnsi="宋体" w:eastAsia="宋体" w:cs="宋体"/>
          <w:color w:val="auto"/>
          <w:spacing w:val="-36"/>
          <w:position w:val="8"/>
          <w:sz w:val="21"/>
          <w:szCs w:val="21"/>
          <w:highlight w:val="none"/>
        </w:rPr>
        <w:t xml:space="preserve"> </w:t>
      </w:r>
      <w:r>
        <w:rPr>
          <w:rFonts w:hint="eastAsia" w:ascii="宋体" w:hAnsi="宋体" w:eastAsia="宋体" w:cs="宋体"/>
          <w:color w:val="auto"/>
          <w:spacing w:val="-2"/>
          <w:position w:val="8"/>
          <w:sz w:val="21"/>
          <w:szCs w:val="21"/>
          <w:highlight w:val="none"/>
        </w:rPr>
        <w:t>90</w:t>
      </w:r>
      <w:r>
        <w:rPr>
          <w:rFonts w:hint="eastAsia" w:ascii="宋体" w:hAnsi="宋体" w:eastAsia="宋体" w:cs="宋体"/>
          <w:color w:val="auto"/>
          <w:spacing w:val="-46"/>
          <w:position w:val="8"/>
          <w:sz w:val="21"/>
          <w:szCs w:val="21"/>
          <w:highlight w:val="none"/>
        </w:rPr>
        <w:t xml:space="preserve"> </w:t>
      </w:r>
      <w:r>
        <w:rPr>
          <w:rFonts w:hint="eastAsia" w:ascii="宋体" w:hAnsi="宋体" w:eastAsia="宋体" w:cs="宋体"/>
          <w:color w:val="auto"/>
          <w:spacing w:val="-2"/>
          <w:position w:val="8"/>
          <w:sz w:val="21"/>
          <w:szCs w:val="21"/>
          <w:highlight w:val="none"/>
        </w:rPr>
        <w:t>天。</w:t>
      </w:r>
    </w:p>
    <w:p w14:paraId="64DF9833">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12"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2"/>
          <w:sz w:val="21"/>
          <w:szCs w:val="21"/>
          <w:highlight w:val="none"/>
        </w:rPr>
        <w:t>6.如我方成交：</w:t>
      </w:r>
    </w:p>
    <w:p w14:paraId="092C190A">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24"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1"/>
          <w:sz w:val="21"/>
          <w:szCs w:val="21"/>
          <w:highlight w:val="none"/>
        </w:rPr>
        <w:t>（1）我方承诺在收到成交通知书后，在成交通知书规定的期限</w:t>
      </w:r>
      <w:r>
        <w:rPr>
          <w:rFonts w:hint="eastAsia" w:ascii="宋体" w:hAnsi="宋体" w:eastAsia="宋体" w:cs="宋体"/>
          <w:color w:val="auto"/>
          <w:sz w:val="21"/>
          <w:szCs w:val="21"/>
          <w:highlight w:val="none"/>
        </w:rPr>
        <w:t>内与采购人签订合</w:t>
      </w:r>
      <w:r>
        <w:rPr>
          <w:rFonts w:hint="eastAsia" w:ascii="宋体" w:hAnsi="宋体" w:eastAsia="宋体" w:cs="宋体"/>
          <w:color w:val="auto"/>
          <w:spacing w:val="-17"/>
          <w:sz w:val="21"/>
          <w:szCs w:val="21"/>
          <w:highlight w:val="none"/>
        </w:rPr>
        <w:t>同。</w:t>
      </w:r>
    </w:p>
    <w:p w14:paraId="5BB22443">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16"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1"/>
          <w:sz w:val="21"/>
          <w:szCs w:val="21"/>
          <w:highlight w:val="none"/>
        </w:rPr>
        <w:t>（2）我方承诺按照磋商文件规定递交履约担保。</w:t>
      </w:r>
    </w:p>
    <w:p w14:paraId="6FAAA96D">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24"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1"/>
          <w:sz w:val="21"/>
          <w:szCs w:val="21"/>
          <w:highlight w:val="none"/>
        </w:rPr>
        <w:t>（3）我方承诺本响应文件至本项目合同履行完毕止均保持有效</w:t>
      </w:r>
      <w:r>
        <w:rPr>
          <w:rFonts w:hint="eastAsia" w:ascii="宋体" w:hAnsi="宋体" w:eastAsia="宋体" w:cs="宋体"/>
          <w:color w:val="auto"/>
          <w:sz w:val="21"/>
          <w:szCs w:val="21"/>
          <w:highlight w:val="none"/>
        </w:rPr>
        <w:t>，按磋商文件及政</w:t>
      </w:r>
      <w:r>
        <w:rPr>
          <w:rFonts w:hint="eastAsia" w:ascii="宋体" w:hAnsi="宋体" w:eastAsia="宋体" w:cs="宋体"/>
          <w:color w:val="auto"/>
          <w:spacing w:val="-1"/>
          <w:sz w:val="21"/>
          <w:szCs w:val="21"/>
          <w:highlight w:val="none"/>
        </w:rPr>
        <w:t>府采购</w:t>
      </w:r>
      <w:r>
        <w:rPr>
          <w:rFonts w:hint="eastAsia" w:ascii="宋体" w:hAnsi="宋体" w:cs="宋体"/>
          <w:color w:val="auto"/>
          <w:spacing w:val="-1"/>
          <w:sz w:val="21"/>
          <w:szCs w:val="21"/>
          <w:highlight w:val="none"/>
          <w:lang w:eastAsia="zh-CN"/>
        </w:rPr>
        <w:t>法律法规</w:t>
      </w:r>
      <w:r>
        <w:rPr>
          <w:rFonts w:hint="eastAsia" w:ascii="宋体" w:hAnsi="宋体" w:eastAsia="宋体" w:cs="宋体"/>
          <w:color w:val="auto"/>
          <w:spacing w:val="-1"/>
          <w:sz w:val="21"/>
          <w:szCs w:val="21"/>
          <w:highlight w:val="none"/>
        </w:rPr>
        <w:t>的规定履行合同责任和义务。</w:t>
      </w:r>
    </w:p>
    <w:p w14:paraId="58D7F4F4">
      <w:pPr>
        <w:keepNext w:val="0"/>
        <w:keepLines w:val="0"/>
        <w:pageBreakBefore w:val="0"/>
        <w:widowControl w:val="0"/>
        <w:kinsoku/>
        <w:wordWrap/>
        <w:overflowPunct/>
        <w:topLinePunct w:val="0"/>
        <w:autoSpaceDE/>
        <w:autoSpaceDN/>
        <w:bidi w:val="0"/>
        <w:adjustRightInd/>
        <w:snapToGrid/>
        <w:spacing w:line="360" w:lineRule="exact"/>
        <w:ind w:left="0" w:firstLine="420" w:firstLineChars="200"/>
        <w:textAlignment w:val="auto"/>
        <w:rPr>
          <w:rFonts w:hint="eastAsia" w:ascii="宋体" w:hAnsi="宋体" w:eastAsia="宋体" w:cs="宋体"/>
          <w:color w:val="auto"/>
          <w:sz w:val="21"/>
          <w:szCs w:val="21"/>
          <w:highlight w:val="none"/>
        </w:rPr>
      </w:pPr>
    </w:p>
    <w:p w14:paraId="22D8D792">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16"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1"/>
          <w:sz w:val="21"/>
          <w:szCs w:val="21"/>
          <w:highlight w:val="none"/>
        </w:rPr>
        <w:t>与本项目有关的正式通讯地址为：</w:t>
      </w:r>
    </w:p>
    <w:p w14:paraId="65FCFB1A">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04"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4"/>
          <w:sz w:val="21"/>
          <w:szCs w:val="21"/>
          <w:highlight w:val="none"/>
        </w:rPr>
        <w:t>地址：</w:t>
      </w:r>
      <w:r>
        <w:rPr>
          <w:rFonts w:hint="eastAsia" w:ascii="宋体" w:hAnsi="宋体" w:eastAsia="宋体" w:cs="宋体"/>
          <w:color w:val="auto"/>
          <w:spacing w:val="-4"/>
          <w:sz w:val="21"/>
          <w:szCs w:val="21"/>
          <w:highlight w:val="none"/>
          <w:u w:val="single"/>
        </w:rPr>
        <w:t xml:space="preserve">                                    </w:t>
      </w:r>
      <w:r>
        <w:rPr>
          <w:rFonts w:hint="eastAsia" w:ascii="宋体" w:hAnsi="宋体" w:eastAsia="宋体" w:cs="宋体"/>
          <w:color w:val="auto"/>
          <w:spacing w:val="27"/>
          <w:sz w:val="21"/>
          <w:szCs w:val="21"/>
          <w:highlight w:val="none"/>
        </w:rPr>
        <w:t xml:space="preserve"> </w:t>
      </w:r>
      <w:r>
        <w:rPr>
          <w:rFonts w:hint="eastAsia" w:ascii="宋体" w:hAnsi="宋体" w:eastAsia="宋体" w:cs="宋体"/>
          <w:color w:val="auto"/>
          <w:spacing w:val="-4"/>
          <w:sz w:val="21"/>
          <w:szCs w:val="21"/>
          <w:highlight w:val="none"/>
        </w:rPr>
        <w:t>邮编：</w:t>
      </w:r>
      <w:r>
        <w:rPr>
          <w:rFonts w:hint="eastAsia" w:ascii="宋体" w:hAnsi="宋体" w:eastAsia="宋体" w:cs="宋体"/>
          <w:color w:val="auto"/>
          <w:spacing w:val="-4"/>
          <w:sz w:val="21"/>
          <w:szCs w:val="21"/>
          <w:highlight w:val="none"/>
          <w:u w:val="single"/>
        </w:rPr>
        <w:t xml:space="preserve">        </w:t>
      </w:r>
      <w:r>
        <w:rPr>
          <w:rFonts w:hint="eastAsia" w:ascii="宋体" w:hAnsi="宋体" w:eastAsia="宋体" w:cs="宋体"/>
          <w:color w:val="auto"/>
          <w:spacing w:val="-5"/>
          <w:sz w:val="21"/>
          <w:szCs w:val="21"/>
          <w:highlight w:val="none"/>
          <w:u w:val="single"/>
        </w:rPr>
        <w:t xml:space="preserve">  </w:t>
      </w:r>
      <w:r>
        <w:rPr>
          <w:rFonts w:hint="eastAsia" w:ascii="宋体" w:hAnsi="宋体" w:eastAsia="宋体" w:cs="宋体"/>
          <w:color w:val="auto"/>
          <w:spacing w:val="13"/>
          <w:sz w:val="21"/>
          <w:szCs w:val="21"/>
          <w:highlight w:val="none"/>
        </w:rPr>
        <w:t xml:space="preserve">  </w:t>
      </w:r>
      <w:r>
        <w:rPr>
          <w:rFonts w:hint="eastAsia" w:ascii="宋体" w:hAnsi="宋体" w:eastAsia="宋体" w:cs="宋体"/>
          <w:color w:val="auto"/>
          <w:spacing w:val="-5"/>
          <w:sz w:val="21"/>
          <w:szCs w:val="21"/>
          <w:highlight w:val="none"/>
        </w:rPr>
        <w:t>邮箱：</w:t>
      </w:r>
      <w:r>
        <w:rPr>
          <w:rFonts w:hint="eastAsia" w:ascii="宋体" w:hAnsi="宋体" w:eastAsia="宋体" w:cs="宋体"/>
          <w:color w:val="auto"/>
          <w:spacing w:val="-5"/>
          <w:sz w:val="21"/>
          <w:szCs w:val="21"/>
          <w:highlight w:val="none"/>
          <w:u w:val="single"/>
        </w:rPr>
        <w:t xml:space="preserve">      </w:t>
      </w:r>
    </w:p>
    <w:p w14:paraId="7118BCC4">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16"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1"/>
          <w:sz w:val="21"/>
          <w:szCs w:val="21"/>
          <w:highlight w:val="none"/>
        </w:rPr>
        <w:t>办公电话：</w:t>
      </w:r>
      <w:r>
        <w:rPr>
          <w:rFonts w:hint="eastAsia" w:ascii="宋体" w:hAnsi="宋体" w:eastAsia="宋体" w:cs="宋体"/>
          <w:color w:val="auto"/>
          <w:spacing w:val="-1"/>
          <w:sz w:val="21"/>
          <w:szCs w:val="21"/>
          <w:highlight w:val="none"/>
          <w:u w:val="single"/>
        </w:rPr>
        <w:t xml:space="preserve">                </w:t>
      </w:r>
      <w:r>
        <w:rPr>
          <w:rFonts w:hint="eastAsia" w:ascii="宋体" w:hAnsi="宋体" w:eastAsia="宋体" w:cs="宋体"/>
          <w:color w:val="auto"/>
          <w:spacing w:val="-1"/>
          <w:sz w:val="21"/>
          <w:szCs w:val="21"/>
          <w:highlight w:val="none"/>
        </w:rPr>
        <w:t xml:space="preserve">   传真：</w:t>
      </w:r>
      <w:r>
        <w:rPr>
          <w:rFonts w:hint="eastAsia" w:ascii="宋体" w:hAnsi="宋体" w:eastAsia="宋体" w:cs="宋体"/>
          <w:color w:val="auto"/>
          <w:sz w:val="21"/>
          <w:szCs w:val="21"/>
          <w:highlight w:val="none"/>
          <w:u w:val="single"/>
        </w:rPr>
        <w:t xml:space="preserve">         </w:t>
      </w:r>
    </w:p>
    <w:p w14:paraId="4815FADC">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16"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1"/>
          <w:sz w:val="21"/>
          <w:szCs w:val="21"/>
          <w:highlight w:val="none"/>
        </w:rPr>
        <w:t>委托代理人联系电话：</w:t>
      </w:r>
      <w:r>
        <w:rPr>
          <w:rFonts w:hint="eastAsia" w:ascii="宋体" w:hAnsi="宋体" w:eastAsia="宋体" w:cs="宋体"/>
          <w:color w:val="auto"/>
          <w:sz w:val="21"/>
          <w:szCs w:val="21"/>
          <w:highlight w:val="none"/>
          <w:u w:val="single"/>
        </w:rPr>
        <w:t xml:space="preserve">             </w:t>
      </w:r>
      <w:r>
        <w:rPr>
          <w:rFonts w:hint="eastAsia" w:ascii="宋体" w:hAnsi="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p>
    <w:p w14:paraId="4A922EF0">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08"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3"/>
          <w:sz w:val="21"/>
          <w:szCs w:val="21"/>
          <w:highlight w:val="none"/>
        </w:rPr>
        <w:t>开户名称：</w:t>
      </w:r>
      <w:r>
        <w:rPr>
          <w:rFonts w:hint="eastAsia" w:ascii="宋体" w:hAnsi="宋体" w:eastAsia="宋体" w:cs="宋体"/>
          <w:color w:val="auto"/>
          <w:sz w:val="21"/>
          <w:szCs w:val="21"/>
          <w:highlight w:val="none"/>
          <w:u w:val="single"/>
        </w:rPr>
        <w:t xml:space="preserve">                                  </w:t>
      </w:r>
    </w:p>
    <w:p w14:paraId="5EE4F91C">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08"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3"/>
          <w:sz w:val="21"/>
          <w:szCs w:val="21"/>
          <w:highlight w:val="none"/>
        </w:rPr>
        <w:t>开户银行：</w:t>
      </w:r>
      <w:r>
        <w:rPr>
          <w:rFonts w:hint="eastAsia" w:ascii="宋体" w:hAnsi="宋体" w:eastAsia="宋体" w:cs="宋体"/>
          <w:color w:val="auto"/>
          <w:sz w:val="21"/>
          <w:szCs w:val="21"/>
          <w:highlight w:val="none"/>
          <w:u w:val="single"/>
        </w:rPr>
        <w:t xml:space="preserve">                                  </w:t>
      </w:r>
    </w:p>
    <w:p w14:paraId="02F217EC">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08"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3"/>
          <w:sz w:val="21"/>
          <w:szCs w:val="21"/>
          <w:highlight w:val="none"/>
        </w:rPr>
        <w:t>账号：</w:t>
      </w:r>
      <w:r>
        <w:rPr>
          <w:rFonts w:hint="eastAsia" w:ascii="宋体" w:hAnsi="宋体" w:eastAsia="宋体" w:cs="宋体"/>
          <w:color w:val="auto"/>
          <w:spacing w:val="-3"/>
          <w:sz w:val="21"/>
          <w:szCs w:val="21"/>
          <w:highlight w:val="none"/>
          <w:u w:val="single"/>
        </w:rPr>
        <w:t xml:space="preserve">                                        </w:t>
      </w:r>
    </w:p>
    <w:p w14:paraId="6E253C7B">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12"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pacing w:val="-2"/>
          <w:sz w:val="21"/>
          <w:szCs w:val="21"/>
          <w:highlight w:val="none"/>
        </w:rPr>
        <w:t>供应商[公章(CA</w:t>
      </w:r>
      <w:r>
        <w:rPr>
          <w:rFonts w:hint="eastAsia" w:ascii="宋体" w:hAnsi="宋体" w:eastAsia="宋体" w:cs="宋体"/>
          <w:color w:val="auto"/>
          <w:spacing w:val="-43"/>
          <w:sz w:val="21"/>
          <w:szCs w:val="21"/>
          <w:highlight w:val="none"/>
        </w:rPr>
        <w:t xml:space="preserve"> </w:t>
      </w:r>
      <w:r>
        <w:rPr>
          <w:rFonts w:hint="eastAsia" w:ascii="宋体" w:hAnsi="宋体" w:eastAsia="宋体" w:cs="宋体"/>
          <w:color w:val="auto"/>
          <w:spacing w:val="-2"/>
          <w:sz w:val="21"/>
          <w:szCs w:val="21"/>
          <w:highlight w:val="none"/>
        </w:rPr>
        <w:t>签章)]：</w:t>
      </w:r>
      <w:r>
        <w:rPr>
          <w:rFonts w:hint="eastAsia" w:ascii="宋体" w:hAnsi="宋体" w:eastAsia="宋体" w:cs="宋体"/>
          <w:color w:val="auto"/>
          <w:sz w:val="21"/>
          <w:szCs w:val="21"/>
          <w:highlight w:val="none"/>
          <w:u w:val="single"/>
        </w:rPr>
        <w:t xml:space="preserve">                      </w:t>
      </w:r>
    </w:p>
    <w:p w14:paraId="388DD970">
      <w:pPr>
        <w:pStyle w:val="11"/>
        <w:keepNext w:val="0"/>
        <w:keepLines w:val="0"/>
        <w:pageBreakBefore w:val="0"/>
        <w:widowControl w:val="0"/>
        <w:kinsoku/>
        <w:wordWrap/>
        <w:overflowPunct/>
        <w:topLinePunct w:val="0"/>
        <w:autoSpaceDE/>
        <w:autoSpaceDN/>
        <w:bidi w:val="0"/>
        <w:adjustRightInd/>
        <w:snapToGrid/>
        <w:spacing w:line="360" w:lineRule="exact"/>
        <w:ind w:left="0" w:firstLine="420" w:firstLineChars="2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rPr>
        <w:t>法定代表人、负责人、自然人或相应的委托代理人签字[或盖章(CA签章)]（属自然人的应在签名处加盖大拇指指印或个人CA签章）：</w:t>
      </w:r>
      <w:r>
        <w:rPr>
          <w:rFonts w:hint="eastAsia" w:ascii="宋体" w:hAnsi="宋体" w:eastAsia="宋体" w:cs="宋体"/>
          <w:color w:val="auto"/>
          <w:sz w:val="21"/>
          <w:szCs w:val="21"/>
          <w:highlight w:val="none"/>
          <w:u w:val="single"/>
        </w:rPr>
        <w:t xml:space="preserve">             </w:t>
      </w:r>
    </w:p>
    <w:p w14:paraId="451C7719">
      <w:pPr>
        <w:pStyle w:val="8"/>
        <w:keepNext w:val="0"/>
        <w:keepLines w:val="0"/>
        <w:pageBreakBefore w:val="0"/>
        <w:widowControl w:val="0"/>
        <w:kinsoku/>
        <w:wordWrap/>
        <w:overflowPunct/>
        <w:topLinePunct w:val="0"/>
        <w:autoSpaceDE/>
        <w:autoSpaceDN/>
        <w:bidi w:val="0"/>
        <w:adjustRightInd/>
        <w:snapToGrid/>
        <w:spacing w:after="0" w:line="360" w:lineRule="exact"/>
        <w:ind w:left="0" w:firstLine="400" w:firstLineChars="200"/>
        <w:textAlignment w:val="auto"/>
        <w:rPr>
          <w:rFonts w:hint="eastAsia" w:ascii="宋体" w:hAnsi="宋体" w:eastAsia="宋体" w:cs="宋体"/>
          <w:b/>
          <w:color w:val="auto"/>
          <w:sz w:val="21"/>
          <w:szCs w:val="21"/>
          <w:highlight w:val="none"/>
          <w:lang w:val="en-US" w:eastAsia="zh-CN"/>
        </w:rPr>
      </w:pPr>
      <w:r>
        <w:rPr>
          <w:rFonts w:hint="eastAsia" w:ascii="宋体" w:hAnsi="宋体" w:eastAsia="宋体" w:cs="宋体"/>
          <w:color w:val="auto"/>
          <w:spacing w:val="-5"/>
          <w:sz w:val="21"/>
          <w:szCs w:val="21"/>
          <w:highlight w:val="none"/>
        </w:rPr>
        <w:t>日期：</w:t>
      </w:r>
      <w:r>
        <w:rPr>
          <w:rFonts w:hint="eastAsia" w:ascii="宋体" w:hAnsi="宋体" w:eastAsia="宋体" w:cs="宋体"/>
          <w:color w:val="auto"/>
          <w:sz w:val="21"/>
          <w:szCs w:val="21"/>
          <w:highlight w:val="none"/>
          <w:u w:val="single"/>
        </w:rPr>
        <w:t xml:space="preserve">                    </w:t>
      </w:r>
      <w:r>
        <w:rPr>
          <w:rFonts w:hint="eastAsia" w:ascii="宋体" w:hAnsi="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p>
    <w:p w14:paraId="4505ACDF">
      <w:pPr>
        <w:pStyle w:val="5"/>
        <w:rPr>
          <w:rFonts w:hint="eastAsia" w:ascii="宋体" w:hAnsi="宋体" w:eastAsia="宋体" w:cs="宋体"/>
          <w:color w:val="auto"/>
          <w:sz w:val="21"/>
          <w:szCs w:val="21"/>
          <w:highlight w:val="none"/>
          <w:lang w:val="en-US" w:eastAsia="zh-CN"/>
        </w:rPr>
      </w:pPr>
    </w:p>
    <w:p w14:paraId="0B414707">
      <w:pPr>
        <w:rPr>
          <w:rFonts w:hint="eastAsia" w:ascii="宋体" w:hAnsi="宋体" w:eastAsia="宋体" w:cs="宋体"/>
          <w:color w:val="auto"/>
          <w:sz w:val="21"/>
          <w:szCs w:val="21"/>
          <w:highlight w:val="none"/>
          <w:lang w:val="en-US" w:eastAsia="zh-CN"/>
        </w:rPr>
      </w:pPr>
    </w:p>
    <w:p w14:paraId="6F41E029">
      <w:pPr>
        <w:pStyle w:val="8"/>
        <w:rPr>
          <w:rFonts w:hint="eastAsia" w:ascii="宋体" w:hAnsi="宋体" w:eastAsia="宋体" w:cs="宋体"/>
          <w:color w:val="auto"/>
          <w:sz w:val="21"/>
          <w:szCs w:val="21"/>
          <w:highlight w:val="none"/>
          <w:lang w:val="en-US" w:eastAsia="zh-CN"/>
        </w:rPr>
      </w:pPr>
    </w:p>
    <w:p w14:paraId="6C56667C">
      <w:pPr>
        <w:rPr>
          <w:rFonts w:hint="eastAsia" w:ascii="宋体" w:hAnsi="宋体" w:eastAsia="宋体" w:cs="宋体"/>
          <w:color w:val="auto"/>
          <w:sz w:val="21"/>
          <w:szCs w:val="21"/>
          <w:highlight w:val="none"/>
          <w:lang w:val="en-US" w:eastAsia="zh-CN"/>
        </w:rPr>
      </w:pPr>
    </w:p>
    <w:p w14:paraId="164D68FF">
      <w:pPr>
        <w:rPr>
          <w:rFonts w:hint="eastAsia" w:ascii="宋体" w:hAnsi="宋体" w:eastAsia="宋体" w:cs="宋体"/>
          <w:color w:val="auto"/>
          <w:sz w:val="21"/>
          <w:szCs w:val="21"/>
          <w:highlight w:val="none"/>
          <w:lang w:val="en-US" w:eastAsia="zh-CN"/>
        </w:rPr>
      </w:pPr>
    </w:p>
    <w:p w14:paraId="07625BE0">
      <w:pPr>
        <w:autoSpaceDE w:val="0"/>
        <w:autoSpaceDN w:val="0"/>
        <w:spacing w:before="212"/>
        <w:ind w:right="176"/>
        <w:jc w:val="center"/>
        <w:rPr>
          <w:rFonts w:hint="eastAsia" w:ascii="宋体" w:hAnsi="宋体" w:cs="宋体"/>
          <w:b/>
          <w:color w:val="auto"/>
          <w:kern w:val="0"/>
          <w:sz w:val="30"/>
          <w:szCs w:val="22"/>
          <w:highlight w:val="none"/>
          <w:lang w:val="zh-CN" w:bidi="zh-CN"/>
        </w:rPr>
      </w:pPr>
      <w:r>
        <w:rPr>
          <w:rFonts w:ascii="宋体" w:hAnsi="宋体" w:cs="宋体"/>
          <w:b/>
          <w:color w:val="auto"/>
          <w:kern w:val="0"/>
          <w:sz w:val="30"/>
          <w:szCs w:val="22"/>
          <w:highlight w:val="none"/>
          <w:lang w:val="zh-CN" w:bidi="zh-CN"/>
        </w:rPr>
        <w:t>（二）</w:t>
      </w:r>
      <w:r>
        <w:rPr>
          <w:rFonts w:hint="eastAsia" w:ascii="宋体" w:hAnsi="宋体" w:cs="宋体"/>
          <w:b/>
          <w:color w:val="auto"/>
          <w:kern w:val="0"/>
          <w:sz w:val="30"/>
          <w:szCs w:val="22"/>
          <w:highlight w:val="none"/>
          <w:lang w:val="zh-CN" w:bidi="zh-CN"/>
        </w:rPr>
        <w:t>响应函附录</w:t>
      </w:r>
    </w:p>
    <w:p w14:paraId="082451D3">
      <w:pPr>
        <w:autoSpaceDE w:val="0"/>
        <w:autoSpaceDN w:val="0"/>
        <w:spacing w:before="212"/>
        <w:ind w:right="176"/>
        <w:jc w:val="center"/>
        <w:rPr>
          <w:rFonts w:hint="eastAsia" w:ascii="宋体" w:hAnsi="宋体" w:cs="宋体"/>
          <w:b/>
          <w:color w:val="auto"/>
          <w:kern w:val="0"/>
          <w:sz w:val="30"/>
          <w:szCs w:val="22"/>
          <w:highlight w:val="none"/>
          <w:lang w:val="zh-CN" w:bidi="zh-CN"/>
        </w:rPr>
      </w:pP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3"/>
        <w:gridCol w:w="2190"/>
        <w:gridCol w:w="2345"/>
        <w:gridCol w:w="2190"/>
        <w:gridCol w:w="1436"/>
      </w:tblGrid>
      <w:tr w14:paraId="1275E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93" w:type="dxa"/>
            <w:noWrap w:val="0"/>
            <w:vAlign w:val="center"/>
          </w:tcPr>
          <w:p w14:paraId="5715D73F">
            <w:pPr>
              <w:widowControl/>
              <w:jc w:val="center"/>
              <w:textAlignment w:val="baseline"/>
              <w:rPr>
                <w:rFonts w:ascii="宋体" w:hAnsi="宋体"/>
                <w:color w:val="auto"/>
                <w:szCs w:val="21"/>
                <w:highlight w:val="none"/>
              </w:rPr>
            </w:pPr>
            <w:r>
              <w:rPr>
                <w:rFonts w:ascii="宋体" w:hAnsi="宋体"/>
                <w:color w:val="auto"/>
                <w:szCs w:val="21"/>
                <w:highlight w:val="none"/>
              </w:rPr>
              <w:t>序 号</w:t>
            </w:r>
          </w:p>
        </w:tc>
        <w:tc>
          <w:tcPr>
            <w:tcW w:w="2190" w:type="dxa"/>
            <w:noWrap w:val="0"/>
            <w:vAlign w:val="center"/>
          </w:tcPr>
          <w:p w14:paraId="1C5F4A05">
            <w:pPr>
              <w:widowControl/>
              <w:jc w:val="center"/>
              <w:textAlignment w:val="baseline"/>
              <w:rPr>
                <w:rFonts w:ascii="宋体" w:hAnsi="宋体"/>
                <w:color w:val="auto"/>
                <w:szCs w:val="21"/>
                <w:highlight w:val="none"/>
              </w:rPr>
            </w:pPr>
            <w:r>
              <w:rPr>
                <w:rFonts w:ascii="宋体" w:hAnsi="宋体"/>
                <w:color w:val="auto"/>
                <w:szCs w:val="21"/>
                <w:highlight w:val="none"/>
              </w:rPr>
              <w:t>条款内容</w:t>
            </w:r>
          </w:p>
        </w:tc>
        <w:tc>
          <w:tcPr>
            <w:tcW w:w="2345" w:type="dxa"/>
            <w:noWrap w:val="0"/>
            <w:vAlign w:val="center"/>
          </w:tcPr>
          <w:p w14:paraId="721C78AB">
            <w:pPr>
              <w:widowControl/>
              <w:jc w:val="center"/>
              <w:textAlignment w:val="baseline"/>
              <w:rPr>
                <w:rFonts w:ascii="宋体" w:hAnsi="宋体"/>
                <w:color w:val="auto"/>
                <w:szCs w:val="21"/>
                <w:highlight w:val="none"/>
              </w:rPr>
            </w:pPr>
            <w:r>
              <w:rPr>
                <w:rFonts w:ascii="宋体" w:hAnsi="宋体"/>
                <w:color w:val="auto"/>
                <w:szCs w:val="21"/>
                <w:highlight w:val="none"/>
              </w:rPr>
              <w:t>合同条款号</w:t>
            </w:r>
          </w:p>
        </w:tc>
        <w:tc>
          <w:tcPr>
            <w:tcW w:w="2190" w:type="dxa"/>
            <w:noWrap w:val="0"/>
            <w:vAlign w:val="center"/>
          </w:tcPr>
          <w:p w14:paraId="0511CBA6">
            <w:pPr>
              <w:widowControl/>
              <w:jc w:val="center"/>
              <w:textAlignment w:val="baseline"/>
              <w:rPr>
                <w:rFonts w:ascii="宋体" w:hAnsi="宋体"/>
                <w:color w:val="auto"/>
                <w:szCs w:val="21"/>
                <w:highlight w:val="none"/>
              </w:rPr>
            </w:pPr>
            <w:r>
              <w:rPr>
                <w:rFonts w:ascii="宋体" w:hAnsi="宋体"/>
                <w:color w:val="auto"/>
                <w:szCs w:val="21"/>
                <w:highlight w:val="none"/>
              </w:rPr>
              <w:t>约定内容</w:t>
            </w:r>
          </w:p>
        </w:tc>
        <w:tc>
          <w:tcPr>
            <w:tcW w:w="1436" w:type="dxa"/>
            <w:noWrap w:val="0"/>
            <w:vAlign w:val="center"/>
          </w:tcPr>
          <w:p w14:paraId="34CDB0B1">
            <w:pPr>
              <w:widowControl/>
              <w:jc w:val="center"/>
              <w:textAlignment w:val="baseline"/>
              <w:rPr>
                <w:rFonts w:ascii="宋体" w:hAnsi="宋体"/>
                <w:color w:val="auto"/>
                <w:szCs w:val="21"/>
                <w:highlight w:val="none"/>
              </w:rPr>
            </w:pPr>
            <w:r>
              <w:rPr>
                <w:rFonts w:ascii="宋体" w:hAnsi="宋体"/>
                <w:color w:val="auto"/>
                <w:szCs w:val="21"/>
                <w:highlight w:val="none"/>
              </w:rPr>
              <w:t>备注</w:t>
            </w:r>
          </w:p>
        </w:tc>
      </w:tr>
      <w:tr w14:paraId="189A8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93" w:type="dxa"/>
            <w:noWrap w:val="0"/>
            <w:vAlign w:val="center"/>
          </w:tcPr>
          <w:p w14:paraId="091FC71F">
            <w:pPr>
              <w:widowControl/>
              <w:jc w:val="center"/>
              <w:textAlignment w:val="baseline"/>
              <w:rPr>
                <w:rFonts w:ascii="宋体" w:hAnsi="宋体"/>
                <w:color w:val="auto"/>
                <w:szCs w:val="21"/>
                <w:highlight w:val="none"/>
              </w:rPr>
            </w:pPr>
            <w:r>
              <w:rPr>
                <w:rFonts w:ascii="宋体" w:hAnsi="宋体"/>
                <w:color w:val="auto"/>
                <w:szCs w:val="21"/>
                <w:highlight w:val="none"/>
              </w:rPr>
              <w:t>1</w:t>
            </w:r>
          </w:p>
        </w:tc>
        <w:tc>
          <w:tcPr>
            <w:tcW w:w="2190" w:type="dxa"/>
            <w:noWrap w:val="0"/>
            <w:vAlign w:val="center"/>
          </w:tcPr>
          <w:p w14:paraId="2706F246">
            <w:pPr>
              <w:widowControl/>
              <w:textAlignment w:val="baseline"/>
              <w:rPr>
                <w:rFonts w:ascii="宋体" w:hAnsi="宋体"/>
                <w:color w:val="auto"/>
                <w:szCs w:val="21"/>
                <w:highlight w:val="none"/>
              </w:rPr>
            </w:pPr>
            <w:r>
              <w:rPr>
                <w:rFonts w:ascii="宋体" w:hAnsi="宋体"/>
                <w:color w:val="auto"/>
                <w:szCs w:val="21"/>
                <w:highlight w:val="none"/>
              </w:rPr>
              <w:t>项目经理</w:t>
            </w:r>
          </w:p>
        </w:tc>
        <w:tc>
          <w:tcPr>
            <w:tcW w:w="2345" w:type="dxa"/>
            <w:noWrap w:val="0"/>
            <w:tcMar>
              <w:left w:w="170" w:type="dxa"/>
            </w:tcMar>
            <w:vAlign w:val="center"/>
          </w:tcPr>
          <w:p w14:paraId="45899158">
            <w:pPr>
              <w:widowControl/>
              <w:jc w:val="center"/>
              <w:textAlignment w:val="baseline"/>
              <w:rPr>
                <w:rFonts w:ascii="宋体" w:hAnsi="宋体"/>
                <w:color w:val="auto"/>
                <w:szCs w:val="21"/>
                <w:highlight w:val="none"/>
              </w:rPr>
            </w:pPr>
            <w:r>
              <w:rPr>
                <w:rFonts w:hint="eastAsia" w:ascii="宋体" w:hAnsi="宋体"/>
                <w:color w:val="auto"/>
                <w:szCs w:val="21"/>
                <w:highlight w:val="none"/>
              </w:rPr>
              <w:t>专用合同条款</w:t>
            </w:r>
          </w:p>
        </w:tc>
        <w:tc>
          <w:tcPr>
            <w:tcW w:w="2190" w:type="dxa"/>
            <w:noWrap w:val="0"/>
            <w:vAlign w:val="center"/>
          </w:tcPr>
          <w:p w14:paraId="08D71CF2">
            <w:pPr>
              <w:widowControl/>
              <w:textAlignment w:val="baseline"/>
              <w:rPr>
                <w:rFonts w:ascii="宋体" w:hAnsi="宋体"/>
                <w:color w:val="auto"/>
                <w:szCs w:val="21"/>
                <w:highlight w:val="none"/>
              </w:rPr>
            </w:pPr>
            <w:r>
              <w:rPr>
                <w:rFonts w:ascii="宋体" w:hAnsi="宋体"/>
                <w:color w:val="auto"/>
                <w:szCs w:val="21"/>
                <w:highlight w:val="none"/>
              </w:rPr>
              <w:t>姓名：</w:t>
            </w:r>
            <w:r>
              <w:rPr>
                <w:rFonts w:ascii="宋体" w:hAnsi="宋体"/>
                <w:color w:val="auto"/>
                <w:szCs w:val="21"/>
                <w:highlight w:val="none"/>
                <w:u w:val="single"/>
              </w:rPr>
              <w:t xml:space="preserve">          </w:t>
            </w:r>
          </w:p>
        </w:tc>
        <w:tc>
          <w:tcPr>
            <w:tcW w:w="1436" w:type="dxa"/>
            <w:noWrap w:val="0"/>
            <w:vAlign w:val="center"/>
          </w:tcPr>
          <w:p w14:paraId="25EC3728">
            <w:pPr>
              <w:widowControl/>
              <w:jc w:val="center"/>
              <w:textAlignment w:val="baseline"/>
              <w:rPr>
                <w:rFonts w:ascii="宋体" w:hAnsi="宋体"/>
                <w:color w:val="auto"/>
                <w:szCs w:val="21"/>
                <w:highlight w:val="none"/>
              </w:rPr>
            </w:pPr>
          </w:p>
        </w:tc>
      </w:tr>
      <w:tr w14:paraId="2BF80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93" w:type="dxa"/>
            <w:noWrap w:val="0"/>
            <w:vAlign w:val="center"/>
          </w:tcPr>
          <w:p w14:paraId="35CD5F9F">
            <w:pPr>
              <w:widowControl/>
              <w:jc w:val="center"/>
              <w:textAlignment w:val="baseline"/>
              <w:rPr>
                <w:rFonts w:ascii="宋体" w:hAnsi="宋体"/>
                <w:color w:val="auto"/>
                <w:szCs w:val="21"/>
                <w:highlight w:val="none"/>
              </w:rPr>
            </w:pPr>
            <w:r>
              <w:rPr>
                <w:rFonts w:ascii="宋体" w:hAnsi="宋体"/>
                <w:color w:val="auto"/>
                <w:szCs w:val="21"/>
                <w:highlight w:val="none"/>
              </w:rPr>
              <w:t>2</w:t>
            </w:r>
          </w:p>
        </w:tc>
        <w:tc>
          <w:tcPr>
            <w:tcW w:w="2190" w:type="dxa"/>
            <w:noWrap w:val="0"/>
            <w:vAlign w:val="center"/>
          </w:tcPr>
          <w:p w14:paraId="5F7FBBA2">
            <w:pPr>
              <w:widowControl/>
              <w:textAlignment w:val="baseline"/>
              <w:rPr>
                <w:rFonts w:ascii="宋体" w:hAnsi="宋体"/>
                <w:color w:val="auto"/>
                <w:szCs w:val="21"/>
                <w:highlight w:val="none"/>
              </w:rPr>
            </w:pPr>
            <w:r>
              <w:rPr>
                <w:rFonts w:ascii="宋体" w:hAnsi="宋体"/>
                <w:color w:val="auto"/>
                <w:szCs w:val="21"/>
                <w:highlight w:val="none"/>
              </w:rPr>
              <w:t>工期</w:t>
            </w:r>
          </w:p>
        </w:tc>
        <w:tc>
          <w:tcPr>
            <w:tcW w:w="2345" w:type="dxa"/>
            <w:noWrap w:val="0"/>
            <w:tcMar>
              <w:left w:w="170" w:type="dxa"/>
            </w:tcMar>
            <w:vAlign w:val="center"/>
          </w:tcPr>
          <w:p w14:paraId="781FF895">
            <w:pPr>
              <w:widowControl/>
              <w:jc w:val="center"/>
              <w:textAlignment w:val="baseline"/>
              <w:rPr>
                <w:rFonts w:ascii="宋体" w:hAnsi="宋体"/>
                <w:color w:val="auto"/>
                <w:szCs w:val="21"/>
                <w:highlight w:val="none"/>
              </w:rPr>
            </w:pPr>
            <w:r>
              <w:rPr>
                <w:rFonts w:hint="eastAsia" w:ascii="宋体" w:hAnsi="宋体"/>
                <w:color w:val="auto"/>
                <w:szCs w:val="21"/>
                <w:highlight w:val="none"/>
              </w:rPr>
              <w:t>合同</w:t>
            </w:r>
            <w:r>
              <w:rPr>
                <w:rFonts w:ascii="宋体" w:hAnsi="宋体"/>
                <w:color w:val="auto"/>
                <w:szCs w:val="21"/>
                <w:highlight w:val="none"/>
              </w:rPr>
              <w:t>协议书</w:t>
            </w:r>
          </w:p>
        </w:tc>
        <w:tc>
          <w:tcPr>
            <w:tcW w:w="2190" w:type="dxa"/>
            <w:noWrap w:val="0"/>
            <w:vAlign w:val="center"/>
          </w:tcPr>
          <w:p w14:paraId="66D31185">
            <w:pPr>
              <w:widowControl/>
              <w:jc w:val="center"/>
              <w:textAlignment w:val="baseline"/>
              <w:rPr>
                <w:rFonts w:ascii="宋体" w:hAnsi="宋体"/>
                <w:color w:val="auto"/>
                <w:szCs w:val="21"/>
                <w:highlight w:val="none"/>
              </w:rPr>
            </w:pPr>
            <w:r>
              <w:rPr>
                <w:rFonts w:ascii="宋体" w:hAnsi="宋体"/>
                <w:color w:val="auto"/>
                <w:szCs w:val="21"/>
                <w:highlight w:val="none"/>
                <w:u w:val="single"/>
              </w:rPr>
              <w:t xml:space="preserve">          </w:t>
            </w:r>
            <w:r>
              <w:rPr>
                <w:rFonts w:ascii="宋体" w:hAnsi="宋体"/>
                <w:color w:val="auto"/>
                <w:szCs w:val="21"/>
                <w:highlight w:val="none"/>
              </w:rPr>
              <w:t>日历天</w:t>
            </w:r>
          </w:p>
        </w:tc>
        <w:tc>
          <w:tcPr>
            <w:tcW w:w="1436" w:type="dxa"/>
            <w:noWrap w:val="0"/>
            <w:vAlign w:val="center"/>
          </w:tcPr>
          <w:p w14:paraId="40138E5A">
            <w:pPr>
              <w:widowControl/>
              <w:jc w:val="center"/>
              <w:textAlignment w:val="baseline"/>
              <w:rPr>
                <w:rFonts w:ascii="宋体" w:hAnsi="宋体"/>
                <w:color w:val="auto"/>
                <w:szCs w:val="21"/>
                <w:highlight w:val="none"/>
              </w:rPr>
            </w:pPr>
          </w:p>
        </w:tc>
      </w:tr>
      <w:tr w14:paraId="03075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93" w:type="dxa"/>
            <w:noWrap w:val="0"/>
            <w:vAlign w:val="center"/>
          </w:tcPr>
          <w:p w14:paraId="4E5A64DF">
            <w:pPr>
              <w:widowControl/>
              <w:jc w:val="center"/>
              <w:textAlignment w:val="baseline"/>
              <w:rPr>
                <w:rFonts w:ascii="宋体" w:hAnsi="宋体"/>
                <w:color w:val="auto"/>
                <w:szCs w:val="21"/>
                <w:highlight w:val="none"/>
              </w:rPr>
            </w:pPr>
            <w:r>
              <w:rPr>
                <w:rFonts w:ascii="宋体" w:hAnsi="宋体"/>
                <w:color w:val="auto"/>
                <w:szCs w:val="21"/>
                <w:highlight w:val="none"/>
              </w:rPr>
              <w:t>3</w:t>
            </w:r>
          </w:p>
        </w:tc>
        <w:tc>
          <w:tcPr>
            <w:tcW w:w="2190" w:type="dxa"/>
            <w:noWrap w:val="0"/>
            <w:vAlign w:val="center"/>
          </w:tcPr>
          <w:p w14:paraId="52B1A1BA">
            <w:pPr>
              <w:widowControl/>
              <w:textAlignment w:val="baseline"/>
              <w:rPr>
                <w:rFonts w:ascii="宋体" w:hAnsi="宋体"/>
                <w:color w:val="auto"/>
                <w:szCs w:val="21"/>
                <w:highlight w:val="none"/>
              </w:rPr>
            </w:pPr>
            <w:r>
              <w:rPr>
                <w:rFonts w:ascii="宋体" w:hAnsi="宋体"/>
                <w:color w:val="auto"/>
                <w:szCs w:val="21"/>
                <w:highlight w:val="none"/>
              </w:rPr>
              <w:t>缺陷责任期</w:t>
            </w:r>
          </w:p>
        </w:tc>
        <w:tc>
          <w:tcPr>
            <w:tcW w:w="2345" w:type="dxa"/>
            <w:noWrap w:val="0"/>
            <w:tcMar>
              <w:left w:w="170" w:type="dxa"/>
            </w:tcMar>
            <w:vAlign w:val="center"/>
          </w:tcPr>
          <w:p w14:paraId="1564ECBD">
            <w:pPr>
              <w:widowControl/>
              <w:jc w:val="center"/>
              <w:textAlignment w:val="baseline"/>
              <w:rPr>
                <w:rFonts w:ascii="宋体" w:hAnsi="宋体"/>
                <w:color w:val="auto"/>
                <w:szCs w:val="21"/>
                <w:highlight w:val="none"/>
              </w:rPr>
            </w:pPr>
            <w:r>
              <w:rPr>
                <w:rFonts w:hint="eastAsia" w:ascii="宋体" w:hAnsi="宋体"/>
                <w:color w:val="auto"/>
                <w:szCs w:val="21"/>
                <w:highlight w:val="none"/>
              </w:rPr>
              <w:t>专用合同条款</w:t>
            </w:r>
          </w:p>
        </w:tc>
        <w:tc>
          <w:tcPr>
            <w:tcW w:w="2190" w:type="dxa"/>
            <w:noWrap w:val="0"/>
            <w:vAlign w:val="center"/>
          </w:tcPr>
          <w:p w14:paraId="563A68A4">
            <w:pPr>
              <w:widowControl/>
              <w:jc w:val="center"/>
              <w:textAlignment w:val="baseline"/>
              <w:rPr>
                <w:rFonts w:ascii="宋体" w:hAnsi="宋体"/>
                <w:color w:val="auto"/>
                <w:szCs w:val="21"/>
                <w:highlight w:val="none"/>
              </w:rPr>
            </w:pPr>
          </w:p>
        </w:tc>
        <w:tc>
          <w:tcPr>
            <w:tcW w:w="1436" w:type="dxa"/>
            <w:noWrap w:val="0"/>
            <w:vAlign w:val="center"/>
          </w:tcPr>
          <w:p w14:paraId="7660B523">
            <w:pPr>
              <w:widowControl/>
              <w:jc w:val="center"/>
              <w:textAlignment w:val="baseline"/>
              <w:rPr>
                <w:rFonts w:ascii="宋体" w:hAnsi="宋体"/>
                <w:color w:val="auto"/>
                <w:szCs w:val="21"/>
                <w:highlight w:val="none"/>
              </w:rPr>
            </w:pPr>
          </w:p>
        </w:tc>
      </w:tr>
      <w:tr w14:paraId="7B8FA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93" w:type="dxa"/>
            <w:noWrap w:val="0"/>
            <w:vAlign w:val="center"/>
          </w:tcPr>
          <w:p w14:paraId="7DCA8166">
            <w:pPr>
              <w:widowControl/>
              <w:jc w:val="center"/>
              <w:textAlignment w:val="baseline"/>
              <w:rPr>
                <w:rFonts w:ascii="宋体" w:hAnsi="宋体"/>
                <w:color w:val="auto"/>
                <w:szCs w:val="21"/>
                <w:highlight w:val="none"/>
              </w:rPr>
            </w:pPr>
            <w:r>
              <w:rPr>
                <w:rFonts w:ascii="宋体" w:hAnsi="宋体"/>
                <w:color w:val="auto"/>
                <w:szCs w:val="21"/>
                <w:highlight w:val="none"/>
              </w:rPr>
              <w:t>4</w:t>
            </w:r>
          </w:p>
        </w:tc>
        <w:tc>
          <w:tcPr>
            <w:tcW w:w="2190" w:type="dxa"/>
            <w:noWrap w:val="0"/>
            <w:vAlign w:val="center"/>
          </w:tcPr>
          <w:p w14:paraId="0EAA6A04">
            <w:pPr>
              <w:widowControl/>
              <w:textAlignment w:val="baseline"/>
              <w:rPr>
                <w:rFonts w:ascii="宋体" w:hAnsi="宋体"/>
                <w:color w:val="auto"/>
                <w:szCs w:val="21"/>
                <w:highlight w:val="none"/>
              </w:rPr>
            </w:pPr>
            <w:r>
              <w:rPr>
                <w:rFonts w:ascii="宋体" w:hAnsi="宋体"/>
                <w:color w:val="auto"/>
                <w:szCs w:val="21"/>
                <w:highlight w:val="none"/>
              </w:rPr>
              <w:t>发包人支付担保</w:t>
            </w:r>
          </w:p>
        </w:tc>
        <w:tc>
          <w:tcPr>
            <w:tcW w:w="2345" w:type="dxa"/>
            <w:noWrap w:val="0"/>
            <w:tcMar>
              <w:left w:w="170" w:type="dxa"/>
            </w:tcMar>
            <w:vAlign w:val="center"/>
          </w:tcPr>
          <w:p w14:paraId="2C03B41F">
            <w:pPr>
              <w:widowControl/>
              <w:jc w:val="center"/>
              <w:textAlignment w:val="baseline"/>
              <w:rPr>
                <w:rFonts w:ascii="宋体" w:hAnsi="宋体"/>
                <w:color w:val="auto"/>
                <w:szCs w:val="21"/>
                <w:highlight w:val="none"/>
              </w:rPr>
            </w:pPr>
            <w:r>
              <w:rPr>
                <w:rFonts w:hint="eastAsia" w:ascii="宋体" w:hAnsi="宋体"/>
                <w:color w:val="auto"/>
                <w:szCs w:val="21"/>
                <w:highlight w:val="none"/>
              </w:rPr>
              <w:t>专用合同条款</w:t>
            </w:r>
          </w:p>
        </w:tc>
        <w:tc>
          <w:tcPr>
            <w:tcW w:w="2190" w:type="dxa"/>
            <w:noWrap w:val="0"/>
            <w:vAlign w:val="center"/>
          </w:tcPr>
          <w:p w14:paraId="1BF79C57">
            <w:pPr>
              <w:widowControl/>
              <w:jc w:val="center"/>
              <w:textAlignment w:val="baseline"/>
              <w:rPr>
                <w:rFonts w:ascii="宋体" w:hAnsi="宋体"/>
                <w:color w:val="auto"/>
                <w:szCs w:val="21"/>
                <w:highlight w:val="none"/>
              </w:rPr>
            </w:pPr>
          </w:p>
        </w:tc>
        <w:tc>
          <w:tcPr>
            <w:tcW w:w="1436" w:type="dxa"/>
            <w:noWrap w:val="0"/>
            <w:vAlign w:val="center"/>
          </w:tcPr>
          <w:p w14:paraId="06FAD7A5">
            <w:pPr>
              <w:widowControl/>
              <w:jc w:val="center"/>
              <w:textAlignment w:val="baseline"/>
              <w:rPr>
                <w:rFonts w:ascii="宋体" w:hAnsi="宋体"/>
                <w:color w:val="auto"/>
                <w:szCs w:val="21"/>
                <w:highlight w:val="none"/>
              </w:rPr>
            </w:pPr>
          </w:p>
        </w:tc>
      </w:tr>
      <w:tr w14:paraId="5909F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93" w:type="dxa"/>
            <w:noWrap w:val="0"/>
            <w:vAlign w:val="center"/>
          </w:tcPr>
          <w:p w14:paraId="31B2E384">
            <w:pPr>
              <w:widowControl/>
              <w:jc w:val="center"/>
              <w:textAlignment w:val="baseline"/>
              <w:rPr>
                <w:rFonts w:ascii="宋体" w:hAnsi="宋体"/>
                <w:color w:val="auto"/>
                <w:szCs w:val="21"/>
                <w:highlight w:val="none"/>
              </w:rPr>
            </w:pPr>
            <w:r>
              <w:rPr>
                <w:rFonts w:ascii="宋体" w:hAnsi="宋体"/>
                <w:color w:val="auto"/>
                <w:szCs w:val="21"/>
                <w:highlight w:val="none"/>
              </w:rPr>
              <w:t>5</w:t>
            </w:r>
          </w:p>
        </w:tc>
        <w:tc>
          <w:tcPr>
            <w:tcW w:w="2190" w:type="dxa"/>
            <w:noWrap w:val="0"/>
            <w:vAlign w:val="center"/>
          </w:tcPr>
          <w:p w14:paraId="3B1947A7">
            <w:pPr>
              <w:widowControl/>
              <w:textAlignment w:val="baseline"/>
              <w:rPr>
                <w:rFonts w:ascii="宋体" w:hAnsi="宋体"/>
                <w:color w:val="auto"/>
                <w:szCs w:val="21"/>
                <w:highlight w:val="none"/>
              </w:rPr>
            </w:pPr>
            <w:r>
              <w:rPr>
                <w:rFonts w:ascii="宋体" w:hAnsi="宋体"/>
                <w:color w:val="auto"/>
                <w:szCs w:val="21"/>
                <w:highlight w:val="none"/>
              </w:rPr>
              <w:t>承包人履约担保金额</w:t>
            </w:r>
          </w:p>
        </w:tc>
        <w:tc>
          <w:tcPr>
            <w:tcW w:w="2345" w:type="dxa"/>
            <w:noWrap w:val="0"/>
            <w:tcMar>
              <w:left w:w="170" w:type="dxa"/>
            </w:tcMar>
            <w:vAlign w:val="center"/>
          </w:tcPr>
          <w:p w14:paraId="5DB8D053">
            <w:pPr>
              <w:widowControl/>
              <w:jc w:val="center"/>
              <w:textAlignment w:val="baseline"/>
              <w:rPr>
                <w:rFonts w:ascii="宋体" w:hAnsi="宋体"/>
                <w:color w:val="auto"/>
                <w:szCs w:val="21"/>
                <w:highlight w:val="none"/>
              </w:rPr>
            </w:pPr>
            <w:r>
              <w:rPr>
                <w:rFonts w:hint="eastAsia" w:ascii="宋体" w:hAnsi="宋体"/>
                <w:color w:val="auto"/>
                <w:szCs w:val="21"/>
                <w:highlight w:val="none"/>
              </w:rPr>
              <w:t>专用合同条款</w:t>
            </w:r>
          </w:p>
        </w:tc>
        <w:tc>
          <w:tcPr>
            <w:tcW w:w="2190" w:type="dxa"/>
            <w:noWrap w:val="0"/>
            <w:vAlign w:val="center"/>
          </w:tcPr>
          <w:p w14:paraId="25FBF69B">
            <w:pPr>
              <w:widowControl/>
              <w:jc w:val="center"/>
              <w:textAlignment w:val="baseline"/>
              <w:rPr>
                <w:rFonts w:ascii="宋体" w:hAnsi="宋体"/>
                <w:color w:val="auto"/>
                <w:szCs w:val="21"/>
                <w:highlight w:val="none"/>
              </w:rPr>
            </w:pPr>
          </w:p>
        </w:tc>
        <w:tc>
          <w:tcPr>
            <w:tcW w:w="1436" w:type="dxa"/>
            <w:noWrap w:val="0"/>
            <w:vAlign w:val="center"/>
          </w:tcPr>
          <w:p w14:paraId="3962682C">
            <w:pPr>
              <w:widowControl/>
              <w:jc w:val="center"/>
              <w:textAlignment w:val="baseline"/>
              <w:rPr>
                <w:rFonts w:ascii="宋体" w:hAnsi="宋体"/>
                <w:color w:val="auto"/>
                <w:szCs w:val="21"/>
                <w:highlight w:val="none"/>
              </w:rPr>
            </w:pPr>
          </w:p>
        </w:tc>
      </w:tr>
      <w:tr w14:paraId="57A65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93" w:type="dxa"/>
            <w:noWrap w:val="0"/>
            <w:vAlign w:val="center"/>
          </w:tcPr>
          <w:p w14:paraId="17F971DD">
            <w:pPr>
              <w:widowControl/>
              <w:jc w:val="center"/>
              <w:textAlignment w:val="baseline"/>
              <w:rPr>
                <w:rFonts w:ascii="宋体" w:hAnsi="宋体"/>
                <w:color w:val="auto"/>
                <w:szCs w:val="21"/>
                <w:highlight w:val="none"/>
              </w:rPr>
            </w:pPr>
            <w:r>
              <w:rPr>
                <w:rFonts w:ascii="宋体" w:hAnsi="宋体"/>
                <w:color w:val="auto"/>
                <w:szCs w:val="21"/>
                <w:highlight w:val="none"/>
              </w:rPr>
              <w:t>6</w:t>
            </w:r>
          </w:p>
        </w:tc>
        <w:tc>
          <w:tcPr>
            <w:tcW w:w="2190" w:type="dxa"/>
            <w:noWrap w:val="0"/>
            <w:vAlign w:val="center"/>
          </w:tcPr>
          <w:p w14:paraId="66C9641B">
            <w:pPr>
              <w:widowControl/>
              <w:textAlignment w:val="baseline"/>
              <w:rPr>
                <w:rFonts w:ascii="宋体" w:hAnsi="宋体"/>
                <w:color w:val="auto"/>
                <w:szCs w:val="21"/>
                <w:highlight w:val="none"/>
              </w:rPr>
            </w:pPr>
            <w:r>
              <w:rPr>
                <w:rFonts w:ascii="宋体" w:hAnsi="宋体"/>
                <w:color w:val="auto"/>
                <w:szCs w:val="21"/>
                <w:highlight w:val="none"/>
              </w:rPr>
              <w:t>分包</w:t>
            </w:r>
          </w:p>
        </w:tc>
        <w:tc>
          <w:tcPr>
            <w:tcW w:w="2345" w:type="dxa"/>
            <w:noWrap w:val="0"/>
            <w:tcMar>
              <w:left w:w="170" w:type="dxa"/>
            </w:tcMar>
            <w:vAlign w:val="center"/>
          </w:tcPr>
          <w:p w14:paraId="69C62827">
            <w:pPr>
              <w:widowControl/>
              <w:jc w:val="center"/>
              <w:textAlignment w:val="baseline"/>
              <w:rPr>
                <w:rFonts w:ascii="宋体" w:hAnsi="宋体"/>
                <w:color w:val="auto"/>
                <w:szCs w:val="21"/>
                <w:highlight w:val="none"/>
              </w:rPr>
            </w:pPr>
            <w:r>
              <w:rPr>
                <w:rFonts w:hint="eastAsia" w:ascii="宋体" w:hAnsi="宋体"/>
                <w:color w:val="auto"/>
                <w:szCs w:val="21"/>
                <w:highlight w:val="none"/>
              </w:rPr>
              <w:t>专用合同条款</w:t>
            </w:r>
          </w:p>
        </w:tc>
        <w:tc>
          <w:tcPr>
            <w:tcW w:w="2190" w:type="dxa"/>
            <w:noWrap w:val="0"/>
            <w:vAlign w:val="center"/>
          </w:tcPr>
          <w:p w14:paraId="5AC40D10">
            <w:pPr>
              <w:widowControl/>
              <w:jc w:val="center"/>
              <w:textAlignment w:val="baseline"/>
              <w:rPr>
                <w:rFonts w:ascii="宋体" w:hAnsi="宋体"/>
                <w:color w:val="auto"/>
                <w:szCs w:val="21"/>
                <w:highlight w:val="none"/>
              </w:rPr>
            </w:pPr>
            <w:r>
              <w:rPr>
                <w:rFonts w:ascii="宋体" w:hAnsi="宋体"/>
                <w:color w:val="auto"/>
                <w:szCs w:val="21"/>
                <w:highlight w:val="none"/>
              </w:rPr>
              <w:t>见分包项目情况表</w:t>
            </w:r>
          </w:p>
        </w:tc>
        <w:tc>
          <w:tcPr>
            <w:tcW w:w="1436" w:type="dxa"/>
            <w:noWrap w:val="0"/>
            <w:vAlign w:val="center"/>
          </w:tcPr>
          <w:p w14:paraId="7603ABBE">
            <w:pPr>
              <w:widowControl/>
              <w:jc w:val="center"/>
              <w:textAlignment w:val="baseline"/>
              <w:rPr>
                <w:rFonts w:ascii="宋体" w:hAnsi="宋体"/>
                <w:color w:val="auto"/>
                <w:szCs w:val="21"/>
                <w:highlight w:val="none"/>
              </w:rPr>
            </w:pPr>
          </w:p>
        </w:tc>
      </w:tr>
      <w:tr w14:paraId="6BF6A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93" w:type="dxa"/>
            <w:noWrap w:val="0"/>
            <w:vAlign w:val="center"/>
          </w:tcPr>
          <w:p w14:paraId="6623447B">
            <w:pPr>
              <w:widowControl/>
              <w:jc w:val="center"/>
              <w:textAlignment w:val="baseline"/>
              <w:rPr>
                <w:rFonts w:ascii="宋体" w:hAnsi="宋体"/>
                <w:color w:val="auto"/>
                <w:szCs w:val="21"/>
                <w:highlight w:val="none"/>
              </w:rPr>
            </w:pPr>
            <w:r>
              <w:rPr>
                <w:rFonts w:ascii="宋体" w:hAnsi="宋体"/>
                <w:color w:val="auto"/>
                <w:szCs w:val="21"/>
                <w:highlight w:val="none"/>
              </w:rPr>
              <w:t>7</w:t>
            </w:r>
          </w:p>
        </w:tc>
        <w:tc>
          <w:tcPr>
            <w:tcW w:w="2190" w:type="dxa"/>
            <w:noWrap w:val="0"/>
            <w:vAlign w:val="center"/>
          </w:tcPr>
          <w:p w14:paraId="57FBE1AE">
            <w:pPr>
              <w:widowControl/>
              <w:textAlignment w:val="baseline"/>
              <w:rPr>
                <w:rFonts w:ascii="宋体" w:hAnsi="宋体"/>
                <w:color w:val="auto"/>
                <w:szCs w:val="21"/>
                <w:highlight w:val="none"/>
              </w:rPr>
            </w:pPr>
            <w:r>
              <w:rPr>
                <w:rFonts w:ascii="宋体" w:hAnsi="宋体"/>
                <w:color w:val="auto"/>
                <w:szCs w:val="21"/>
                <w:highlight w:val="none"/>
              </w:rPr>
              <w:t>逾期竣工违约金</w:t>
            </w:r>
          </w:p>
        </w:tc>
        <w:tc>
          <w:tcPr>
            <w:tcW w:w="2345" w:type="dxa"/>
            <w:noWrap w:val="0"/>
            <w:tcMar>
              <w:left w:w="170" w:type="dxa"/>
            </w:tcMar>
            <w:vAlign w:val="center"/>
          </w:tcPr>
          <w:p w14:paraId="5C10B80A">
            <w:pPr>
              <w:widowControl/>
              <w:jc w:val="center"/>
              <w:textAlignment w:val="baseline"/>
              <w:rPr>
                <w:rFonts w:ascii="宋体" w:hAnsi="宋体"/>
                <w:color w:val="auto"/>
                <w:szCs w:val="21"/>
                <w:highlight w:val="none"/>
              </w:rPr>
            </w:pPr>
            <w:r>
              <w:rPr>
                <w:rFonts w:hint="eastAsia" w:ascii="宋体" w:hAnsi="宋体"/>
                <w:color w:val="auto"/>
                <w:szCs w:val="21"/>
                <w:highlight w:val="none"/>
              </w:rPr>
              <w:t>专用合同条款</w:t>
            </w:r>
          </w:p>
        </w:tc>
        <w:tc>
          <w:tcPr>
            <w:tcW w:w="2190" w:type="dxa"/>
            <w:noWrap w:val="0"/>
            <w:vAlign w:val="center"/>
          </w:tcPr>
          <w:p w14:paraId="6EEEEF8B">
            <w:pPr>
              <w:widowControl/>
              <w:jc w:val="center"/>
              <w:textAlignment w:val="baseline"/>
              <w:rPr>
                <w:rFonts w:ascii="宋体" w:hAnsi="宋体"/>
                <w:color w:val="auto"/>
                <w:szCs w:val="21"/>
                <w:highlight w:val="none"/>
              </w:rPr>
            </w:pPr>
          </w:p>
        </w:tc>
        <w:tc>
          <w:tcPr>
            <w:tcW w:w="1436" w:type="dxa"/>
            <w:noWrap w:val="0"/>
            <w:vAlign w:val="center"/>
          </w:tcPr>
          <w:p w14:paraId="45AE98D4">
            <w:pPr>
              <w:widowControl/>
              <w:jc w:val="center"/>
              <w:textAlignment w:val="baseline"/>
              <w:rPr>
                <w:rFonts w:ascii="宋体" w:hAnsi="宋体"/>
                <w:color w:val="auto"/>
                <w:szCs w:val="21"/>
                <w:highlight w:val="none"/>
              </w:rPr>
            </w:pPr>
          </w:p>
        </w:tc>
      </w:tr>
      <w:tr w14:paraId="6713E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93" w:type="dxa"/>
            <w:noWrap w:val="0"/>
            <w:vAlign w:val="center"/>
          </w:tcPr>
          <w:p w14:paraId="3DAE63D6">
            <w:pPr>
              <w:widowControl/>
              <w:jc w:val="center"/>
              <w:textAlignment w:val="baseline"/>
              <w:rPr>
                <w:rFonts w:ascii="宋体" w:hAnsi="宋体"/>
                <w:color w:val="auto"/>
                <w:szCs w:val="21"/>
                <w:highlight w:val="none"/>
              </w:rPr>
            </w:pPr>
            <w:r>
              <w:rPr>
                <w:rFonts w:ascii="宋体" w:hAnsi="宋体"/>
                <w:color w:val="auto"/>
                <w:szCs w:val="21"/>
                <w:highlight w:val="none"/>
              </w:rPr>
              <w:t>8</w:t>
            </w:r>
          </w:p>
        </w:tc>
        <w:tc>
          <w:tcPr>
            <w:tcW w:w="2190" w:type="dxa"/>
            <w:noWrap w:val="0"/>
            <w:vAlign w:val="center"/>
          </w:tcPr>
          <w:p w14:paraId="6E2C03AF">
            <w:pPr>
              <w:widowControl/>
              <w:textAlignment w:val="baseline"/>
              <w:rPr>
                <w:rFonts w:ascii="宋体" w:hAnsi="宋体"/>
                <w:color w:val="auto"/>
                <w:szCs w:val="21"/>
                <w:highlight w:val="none"/>
              </w:rPr>
            </w:pPr>
            <w:r>
              <w:rPr>
                <w:rFonts w:ascii="宋体" w:hAnsi="宋体"/>
                <w:color w:val="auto"/>
                <w:szCs w:val="21"/>
                <w:highlight w:val="none"/>
              </w:rPr>
              <w:t>逾期竣工违约金最高限额</w:t>
            </w:r>
          </w:p>
        </w:tc>
        <w:tc>
          <w:tcPr>
            <w:tcW w:w="2345" w:type="dxa"/>
            <w:noWrap w:val="0"/>
            <w:tcMar>
              <w:left w:w="170" w:type="dxa"/>
            </w:tcMar>
            <w:vAlign w:val="center"/>
          </w:tcPr>
          <w:p w14:paraId="796C9B98">
            <w:pPr>
              <w:widowControl/>
              <w:jc w:val="center"/>
              <w:textAlignment w:val="baseline"/>
              <w:rPr>
                <w:rFonts w:ascii="宋体" w:hAnsi="宋体"/>
                <w:color w:val="auto"/>
                <w:szCs w:val="21"/>
                <w:highlight w:val="none"/>
              </w:rPr>
            </w:pPr>
            <w:r>
              <w:rPr>
                <w:rFonts w:hint="eastAsia" w:ascii="宋体" w:hAnsi="宋体"/>
                <w:color w:val="auto"/>
                <w:szCs w:val="21"/>
                <w:highlight w:val="none"/>
              </w:rPr>
              <w:t>专用合同条款</w:t>
            </w:r>
          </w:p>
        </w:tc>
        <w:tc>
          <w:tcPr>
            <w:tcW w:w="2190" w:type="dxa"/>
            <w:noWrap w:val="0"/>
            <w:vAlign w:val="center"/>
          </w:tcPr>
          <w:p w14:paraId="42EC203F">
            <w:pPr>
              <w:widowControl/>
              <w:textAlignment w:val="baseline"/>
              <w:rPr>
                <w:rFonts w:ascii="宋体" w:hAnsi="宋体"/>
                <w:color w:val="auto"/>
                <w:szCs w:val="21"/>
                <w:highlight w:val="none"/>
              </w:rPr>
            </w:pPr>
            <w:r>
              <w:rPr>
                <w:rFonts w:ascii="宋体" w:hAnsi="宋体"/>
                <w:color w:val="auto"/>
                <w:szCs w:val="21"/>
                <w:highlight w:val="none"/>
                <w:u w:val="single"/>
              </w:rPr>
              <w:t xml:space="preserve">             </w:t>
            </w:r>
          </w:p>
        </w:tc>
        <w:tc>
          <w:tcPr>
            <w:tcW w:w="1436" w:type="dxa"/>
            <w:noWrap w:val="0"/>
            <w:vAlign w:val="center"/>
          </w:tcPr>
          <w:p w14:paraId="63D0917A">
            <w:pPr>
              <w:widowControl/>
              <w:jc w:val="center"/>
              <w:textAlignment w:val="baseline"/>
              <w:rPr>
                <w:rFonts w:ascii="宋体" w:hAnsi="宋体"/>
                <w:color w:val="auto"/>
                <w:szCs w:val="21"/>
                <w:highlight w:val="none"/>
              </w:rPr>
            </w:pPr>
          </w:p>
        </w:tc>
      </w:tr>
      <w:tr w14:paraId="72315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93" w:type="dxa"/>
            <w:noWrap w:val="0"/>
            <w:vAlign w:val="center"/>
          </w:tcPr>
          <w:p w14:paraId="382821C6">
            <w:pPr>
              <w:widowControl/>
              <w:jc w:val="center"/>
              <w:textAlignment w:val="baseline"/>
              <w:rPr>
                <w:rFonts w:ascii="宋体" w:hAnsi="宋体"/>
                <w:color w:val="auto"/>
                <w:szCs w:val="21"/>
                <w:highlight w:val="none"/>
              </w:rPr>
            </w:pPr>
            <w:r>
              <w:rPr>
                <w:rFonts w:ascii="宋体" w:hAnsi="宋体"/>
                <w:color w:val="auto"/>
                <w:szCs w:val="21"/>
                <w:highlight w:val="none"/>
              </w:rPr>
              <w:t>9</w:t>
            </w:r>
          </w:p>
        </w:tc>
        <w:tc>
          <w:tcPr>
            <w:tcW w:w="2190" w:type="dxa"/>
            <w:noWrap w:val="0"/>
            <w:vAlign w:val="center"/>
          </w:tcPr>
          <w:p w14:paraId="2054BCB1">
            <w:pPr>
              <w:widowControl/>
              <w:textAlignment w:val="baseline"/>
              <w:rPr>
                <w:rFonts w:ascii="宋体" w:hAnsi="宋体"/>
                <w:color w:val="auto"/>
                <w:szCs w:val="21"/>
                <w:highlight w:val="none"/>
              </w:rPr>
            </w:pPr>
            <w:r>
              <w:rPr>
                <w:rFonts w:ascii="宋体" w:hAnsi="宋体"/>
                <w:color w:val="auto"/>
                <w:szCs w:val="21"/>
                <w:highlight w:val="none"/>
              </w:rPr>
              <w:t>质量标准</w:t>
            </w:r>
          </w:p>
        </w:tc>
        <w:tc>
          <w:tcPr>
            <w:tcW w:w="2345" w:type="dxa"/>
            <w:noWrap w:val="0"/>
            <w:tcMar>
              <w:left w:w="170" w:type="dxa"/>
            </w:tcMar>
            <w:vAlign w:val="center"/>
          </w:tcPr>
          <w:p w14:paraId="766FE43F">
            <w:pPr>
              <w:widowControl/>
              <w:jc w:val="center"/>
              <w:textAlignment w:val="baseline"/>
              <w:rPr>
                <w:rFonts w:ascii="宋体" w:hAnsi="宋体"/>
                <w:color w:val="auto"/>
                <w:szCs w:val="21"/>
                <w:highlight w:val="none"/>
              </w:rPr>
            </w:pPr>
            <w:r>
              <w:rPr>
                <w:rFonts w:hint="eastAsia" w:ascii="宋体" w:hAnsi="宋体"/>
                <w:color w:val="auto"/>
                <w:szCs w:val="21"/>
                <w:highlight w:val="none"/>
              </w:rPr>
              <w:t>专用合同条款</w:t>
            </w:r>
          </w:p>
        </w:tc>
        <w:tc>
          <w:tcPr>
            <w:tcW w:w="2190" w:type="dxa"/>
            <w:noWrap w:val="0"/>
            <w:vAlign w:val="center"/>
          </w:tcPr>
          <w:p w14:paraId="19C61B6F">
            <w:pPr>
              <w:widowControl/>
              <w:jc w:val="center"/>
              <w:textAlignment w:val="baseline"/>
              <w:rPr>
                <w:rFonts w:ascii="宋体" w:hAnsi="宋体"/>
                <w:color w:val="auto"/>
                <w:szCs w:val="21"/>
                <w:highlight w:val="none"/>
              </w:rPr>
            </w:pPr>
          </w:p>
        </w:tc>
        <w:tc>
          <w:tcPr>
            <w:tcW w:w="1436" w:type="dxa"/>
            <w:noWrap w:val="0"/>
            <w:vAlign w:val="center"/>
          </w:tcPr>
          <w:p w14:paraId="4866C35A">
            <w:pPr>
              <w:widowControl/>
              <w:jc w:val="center"/>
              <w:textAlignment w:val="baseline"/>
              <w:rPr>
                <w:rFonts w:ascii="宋体" w:hAnsi="宋体"/>
                <w:color w:val="auto"/>
                <w:szCs w:val="21"/>
                <w:highlight w:val="none"/>
              </w:rPr>
            </w:pPr>
          </w:p>
        </w:tc>
      </w:tr>
      <w:tr w14:paraId="657CB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93" w:type="dxa"/>
            <w:noWrap w:val="0"/>
            <w:vAlign w:val="center"/>
          </w:tcPr>
          <w:p w14:paraId="52948780">
            <w:pPr>
              <w:widowControl/>
              <w:jc w:val="center"/>
              <w:textAlignment w:val="baseline"/>
              <w:rPr>
                <w:rFonts w:ascii="宋体" w:hAnsi="宋体"/>
                <w:color w:val="auto"/>
                <w:szCs w:val="21"/>
                <w:highlight w:val="none"/>
              </w:rPr>
            </w:pPr>
            <w:r>
              <w:rPr>
                <w:rFonts w:ascii="宋体" w:hAnsi="宋体"/>
                <w:color w:val="auto"/>
                <w:szCs w:val="21"/>
                <w:highlight w:val="none"/>
              </w:rPr>
              <w:t>10</w:t>
            </w:r>
          </w:p>
        </w:tc>
        <w:tc>
          <w:tcPr>
            <w:tcW w:w="2190" w:type="dxa"/>
            <w:noWrap w:val="0"/>
            <w:vAlign w:val="center"/>
          </w:tcPr>
          <w:p w14:paraId="44348932">
            <w:pPr>
              <w:widowControl/>
              <w:textAlignment w:val="baseline"/>
              <w:rPr>
                <w:rFonts w:ascii="宋体" w:hAnsi="宋体"/>
                <w:color w:val="auto"/>
                <w:szCs w:val="21"/>
                <w:highlight w:val="none"/>
              </w:rPr>
            </w:pPr>
            <w:r>
              <w:rPr>
                <w:rFonts w:ascii="宋体" w:hAnsi="宋体"/>
                <w:color w:val="auto"/>
                <w:szCs w:val="21"/>
                <w:highlight w:val="none"/>
              </w:rPr>
              <w:t>预付款额度</w:t>
            </w:r>
          </w:p>
        </w:tc>
        <w:tc>
          <w:tcPr>
            <w:tcW w:w="2345" w:type="dxa"/>
            <w:noWrap w:val="0"/>
            <w:tcMar>
              <w:left w:w="170" w:type="dxa"/>
            </w:tcMar>
            <w:vAlign w:val="center"/>
          </w:tcPr>
          <w:p w14:paraId="6243A922">
            <w:pPr>
              <w:widowControl/>
              <w:jc w:val="center"/>
              <w:textAlignment w:val="baseline"/>
              <w:rPr>
                <w:rFonts w:ascii="宋体" w:hAnsi="宋体"/>
                <w:color w:val="auto"/>
                <w:szCs w:val="21"/>
                <w:highlight w:val="none"/>
              </w:rPr>
            </w:pPr>
            <w:r>
              <w:rPr>
                <w:rFonts w:hint="eastAsia" w:ascii="宋体" w:hAnsi="宋体"/>
                <w:color w:val="auto"/>
                <w:szCs w:val="21"/>
                <w:highlight w:val="none"/>
              </w:rPr>
              <w:t>专用合同条款</w:t>
            </w:r>
          </w:p>
        </w:tc>
        <w:tc>
          <w:tcPr>
            <w:tcW w:w="2190" w:type="dxa"/>
            <w:noWrap w:val="0"/>
            <w:vAlign w:val="center"/>
          </w:tcPr>
          <w:p w14:paraId="4B19AEE6">
            <w:pPr>
              <w:widowControl/>
              <w:jc w:val="center"/>
              <w:textAlignment w:val="baseline"/>
              <w:rPr>
                <w:rFonts w:ascii="宋体" w:hAnsi="宋体"/>
                <w:color w:val="auto"/>
                <w:szCs w:val="21"/>
                <w:highlight w:val="none"/>
              </w:rPr>
            </w:pPr>
          </w:p>
        </w:tc>
        <w:tc>
          <w:tcPr>
            <w:tcW w:w="1436" w:type="dxa"/>
            <w:noWrap w:val="0"/>
            <w:vAlign w:val="center"/>
          </w:tcPr>
          <w:p w14:paraId="47E06947">
            <w:pPr>
              <w:widowControl/>
              <w:jc w:val="center"/>
              <w:textAlignment w:val="baseline"/>
              <w:rPr>
                <w:rFonts w:ascii="宋体" w:hAnsi="宋体"/>
                <w:color w:val="auto"/>
                <w:szCs w:val="21"/>
                <w:highlight w:val="none"/>
              </w:rPr>
            </w:pPr>
          </w:p>
        </w:tc>
      </w:tr>
      <w:tr w14:paraId="185F8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93" w:type="dxa"/>
            <w:noWrap w:val="0"/>
            <w:vAlign w:val="center"/>
          </w:tcPr>
          <w:p w14:paraId="02886FCD">
            <w:pPr>
              <w:widowControl/>
              <w:jc w:val="center"/>
              <w:textAlignment w:val="baseline"/>
              <w:rPr>
                <w:rFonts w:ascii="宋体" w:hAnsi="宋体"/>
                <w:color w:val="auto"/>
                <w:szCs w:val="21"/>
                <w:highlight w:val="none"/>
              </w:rPr>
            </w:pPr>
            <w:r>
              <w:rPr>
                <w:rFonts w:ascii="宋体" w:hAnsi="宋体"/>
                <w:color w:val="auto"/>
                <w:szCs w:val="21"/>
                <w:highlight w:val="none"/>
              </w:rPr>
              <w:t>11</w:t>
            </w:r>
          </w:p>
        </w:tc>
        <w:tc>
          <w:tcPr>
            <w:tcW w:w="2190" w:type="dxa"/>
            <w:noWrap w:val="0"/>
            <w:vAlign w:val="center"/>
          </w:tcPr>
          <w:p w14:paraId="2E163FBF">
            <w:pPr>
              <w:widowControl/>
              <w:textAlignment w:val="baseline"/>
              <w:rPr>
                <w:rFonts w:ascii="宋体" w:hAnsi="宋体"/>
                <w:color w:val="auto"/>
                <w:szCs w:val="21"/>
                <w:highlight w:val="none"/>
              </w:rPr>
            </w:pPr>
            <w:r>
              <w:rPr>
                <w:rFonts w:ascii="宋体" w:hAnsi="宋体"/>
                <w:color w:val="auto"/>
                <w:szCs w:val="21"/>
                <w:highlight w:val="none"/>
              </w:rPr>
              <w:t>预付款保函金额</w:t>
            </w:r>
          </w:p>
        </w:tc>
        <w:tc>
          <w:tcPr>
            <w:tcW w:w="2345" w:type="dxa"/>
            <w:noWrap w:val="0"/>
            <w:tcMar>
              <w:left w:w="170" w:type="dxa"/>
            </w:tcMar>
            <w:vAlign w:val="center"/>
          </w:tcPr>
          <w:p w14:paraId="71D0B7F3">
            <w:pPr>
              <w:widowControl/>
              <w:jc w:val="center"/>
              <w:textAlignment w:val="baseline"/>
              <w:rPr>
                <w:rFonts w:ascii="宋体" w:hAnsi="宋体"/>
                <w:color w:val="auto"/>
                <w:szCs w:val="21"/>
                <w:highlight w:val="none"/>
              </w:rPr>
            </w:pPr>
            <w:r>
              <w:rPr>
                <w:rFonts w:hint="eastAsia" w:ascii="宋体" w:hAnsi="宋体"/>
                <w:color w:val="auto"/>
                <w:szCs w:val="21"/>
                <w:highlight w:val="none"/>
              </w:rPr>
              <w:t>专用合同条款</w:t>
            </w:r>
          </w:p>
        </w:tc>
        <w:tc>
          <w:tcPr>
            <w:tcW w:w="2190" w:type="dxa"/>
            <w:noWrap w:val="0"/>
            <w:vAlign w:val="center"/>
          </w:tcPr>
          <w:p w14:paraId="40A88381">
            <w:pPr>
              <w:widowControl/>
              <w:jc w:val="center"/>
              <w:textAlignment w:val="baseline"/>
              <w:rPr>
                <w:rFonts w:ascii="宋体" w:hAnsi="宋体"/>
                <w:color w:val="auto"/>
                <w:szCs w:val="21"/>
                <w:highlight w:val="none"/>
              </w:rPr>
            </w:pPr>
          </w:p>
        </w:tc>
        <w:tc>
          <w:tcPr>
            <w:tcW w:w="1436" w:type="dxa"/>
            <w:noWrap w:val="0"/>
            <w:vAlign w:val="center"/>
          </w:tcPr>
          <w:p w14:paraId="5A1E1D9E">
            <w:pPr>
              <w:widowControl/>
              <w:jc w:val="center"/>
              <w:textAlignment w:val="baseline"/>
              <w:rPr>
                <w:rFonts w:ascii="宋体" w:hAnsi="宋体"/>
                <w:color w:val="auto"/>
                <w:szCs w:val="21"/>
                <w:highlight w:val="none"/>
              </w:rPr>
            </w:pPr>
          </w:p>
        </w:tc>
      </w:tr>
      <w:tr w14:paraId="76EC6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93" w:type="dxa"/>
            <w:noWrap w:val="0"/>
            <w:vAlign w:val="center"/>
          </w:tcPr>
          <w:p w14:paraId="0813F480">
            <w:pPr>
              <w:widowControl/>
              <w:jc w:val="center"/>
              <w:textAlignment w:val="baseline"/>
              <w:rPr>
                <w:rFonts w:ascii="宋体" w:hAnsi="宋体"/>
                <w:color w:val="auto"/>
                <w:szCs w:val="21"/>
                <w:highlight w:val="none"/>
              </w:rPr>
            </w:pPr>
            <w:r>
              <w:rPr>
                <w:rFonts w:ascii="宋体" w:hAnsi="宋体"/>
                <w:color w:val="auto"/>
                <w:szCs w:val="21"/>
                <w:highlight w:val="none"/>
              </w:rPr>
              <w:t>12</w:t>
            </w:r>
          </w:p>
        </w:tc>
        <w:tc>
          <w:tcPr>
            <w:tcW w:w="2190" w:type="dxa"/>
            <w:noWrap w:val="0"/>
            <w:vAlign w:val="center"/>
          </w:tcPr>
          <w:p w14:paraId="73DF10BF">
            <w:pPr>
              <w:widowControl/>
              <w:textAlignment w:val="baseline"/>
              <w:rPr>
                <w:rFonts w:ascii="宋体" w:hAnsi="宋体"/>
                <w:color w:val="auto"/>
                <w:szCs w:val="21"/>
                <w:highlight w:val="none"/>
              </w:rPr>
            </w:pPr>
            <w:r>
              <w:rPr>
                <w:rFonts w:ascii="宋体" w:hAnsi="宋体"/>
                <w:color w:val="auto"/>
                <w:szCs w:val="21"/>
                <w:highlight w:val="none"/>
              </w:rPr>
              <w:t>质量保证金额度</w:t>
            </w:r>
          </w:p>
        </w:tc>
        <w:tc>
          <w:tcPr>
            <w:tcW w:w="2345" w:type="dxa"/>
            <w:noWrap w:val="0"/>
            <w:tcMar>
              <w:left w:w="170" w:type="dxa"/>
            </w:tcMar>
            <w:vAlign w:val="center"/>
          </w:tcPr>
          <w:p w14:paraId="11E31C2D">
            <w:pPr>
              <w:widowControl/>
              <w:jc w:val="center"/>
              <w:textAlignment w:val="baseline"/>
              <w:rPr>
                <w:rFonts w:ascii="宋体" w:hAnsi="宋体"/>
                <w:color w:val="auto"/>
                <w:szCs w:val="21"/>
                <w:highlight w:val="none"/>
              </w:rPr>
            </w:pPr>
            <w:r>
              <w:rPr>
                <w:rFonts w:hint="eastAsia" w:ascii="宋体" w:hAnsi="宋体"/>
                <w:color w:val="auto"/>
                <w:szCs w:val="21"/>
                <w:highlight w:val="none"/>
              </w:rPr>
              <w:t>专用合同条款</w:t>
            </w:r>
          </w:p>
        </w:tc>
        <w:tc>
          <w:tcPr>
            <w:tcW w:w="2190" w:type="dxa"/>
            <w:noWrap w:val="0"/>
            <w:vAlign w:val="center"/>
          </w:tcPr>
          <w:p w14:paraId="0605D1EB">
            <w:pPr>
              <w:widowControl/>
              <w:jc w:val="center"/>
              <w:textAlignment w:val="baseline"/>
              <w:rPr>
                <w:rFonts w:ascii="宋体" w:hAnsi="宋体"/>
                <w:color w:val="auto"/>
                <w:szCs w:val="21"/>
                <w:highlight w:val="none"/>
              </w:rPr>
            </w:pPr>
          </w:p>
        </w:tc>
        <w:tc>
          <w:tcPr>
            <w:tcW w:w="1436" w:type="dxa"/>
            <w:noWrap w:val="0"/>
            <w:vAlign w:val="center"/>
          </w:tcPr>
          <w:p w14:paraId="48FBB722">
            <w:pPr>
              <w:widowControl/>
              <w:jc w:val="center"/>
              <w:textAlignment w:val="baseline"/>
              <w:rPr>
                <w:rFonts w:ascii="宋体" w:hAnsi="宋体"/>
                <w:color w:val="auto"/>
                <w:szCs w:val="21"/>
                <w:highlight w:val="none"/>
              </w:rPr>
            </w:pPr>
          </w:p>
        </w:tc>
      </w:tr>
      <w:tr w14:paraId="4B0BC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93" w:type="dxa"/>
            <w:noWrap w:val="0"/>
            <w:vAlign w:val="center"/>
          </w:tcPr>
          <w:p w14:paraId="5A1AA42F">
            <w:pPr>
              <w:widowControl/>
              <w:jc w:val="center"/>
              <w:textAlignment w:val="baseline"/>
              <w:rPr>
                <w:rFonts w:ascii="宋体" w:hAnsi="宋体"/>
                <w:color w:val="auto"/>
                <w:szCs w:val="21"/>
                <w:highlight w:val="none"/>
              </w:rPr>
            </w:pPr>
            <w:r>
              <w:rPr>
                <w:rFonts w:ascii="宋体" w:hAnsi="宋体"/>
                <w:color w:val="auto"/>
                <w:szCs w:val="21"/>
                <w:highlight w:val="none"/>
              </w:rPr>
              <w:t>……</w:t>
            </w:r>
          </w:p>
        </w:tc>
        <w:tc>
          <w:tcPr>
            <w:tcW w:w="2190" w:type="dxa"/>
            <w:noWrap w:val="0"/>
            <w:vAlign w:val="center"/>
          </w:tcPr>
          <w:p w14:paraId="5D688261">
            <w:pPr>
              <w:widowControl/>
              <w:jc w:val="center"/>
              <w:textAlignment w:val="baseline"/>
              <w:rPr>
                <w:rFonts w:ascii="宋体" w:hAnsi="宋体"/>
                <w:color w:val="auto"/>
                <w:szCs w:val="21"/>
                <w:highlight w:val="none"/>
              </w:rPr>
            </w:pPr>
            <w:r>
              <w:rPr>
                <w:rFonts w:ascii="宋体" w:hAnsi="宋体"/>
                <w:color w:val="auto"/>
                <w:szCs w:val="21"/>
                <w:highlight w:val="none"/>
              </w:rPr>
              <w:t>……</w:t>
            </w:r>
          </w:p>
        </w:tc>
        <w:tc>
          <w:tcPr>
            <w:tcW w:w="2345" w:type="dxa"/>
            <w:noWrap w:val="0"/>
            <w:tcMar>
              <w:left w:w="170" w:type="dxa"/>
            </w:tcMar>
            <w:vAlign w:val="center"/>
          </w:tcPr>
          <w:p w14:paraId="3BA3BC4C">
            <w:pPr>
              <w:widowControl/>
              <w:textAlignment w:val="baseline"/>
              <w:rPr>
                <w:rFonts w:ascii="宋体" w:hAnsi="宋体"/>
                <w:color w:val="auto"/>
                <w:szCs w:val="21"/>
                <w:highlight w:val="none"/>
              </w:rPr>
            </w:pPr>
          </w:p>
        </w:tc>
        <w:tc>
          <w:tcPr>
            <w:tcW w:w="2190" w:type="dxa"/>
            <w:noWrap w:val="0"/>
            <w:vAlign w:val="center"/>
          </w:tcPr>
          <w:p w14:paraId="1BE1957D">
            <w:pPr>
              <w:widowControl/>
              <w:jc w:val="center"/>
              <w:textAlignment w:val="baseline"/>
              <w:rPr>
                <w:rFonts w:ascii="宋体" w:hAnsi="宋体"/>
                <w:color w:val="auto"/>
                <w:szCs w:val="21"/>
                <w:highlight w:val="none"/>
              </w:rPr>
            </w:pPr>
          </w:p>
        </w:tc>
        <w:tc>
          <w:tcPr>
            <w:tcW w:w="1436" w:type="dxa"/>
            <w:noWrap w:val="0"/>
            <w:vAlign w:val="center"/>
          </w:tcPr>
          <w:p w14:paraId="2AFCB022">
            <w:pPr>
              <w:widowControl/>
              <w:jc w:val="center"/>
              <w:textAlignment w:val="baseline"/>
              <w:rPr>
                <w:rFonts w:ascii="宋体" w:hAnsi="宋体"/>
                <w:color w:val="auto"/>
                <w:szCs w:val="21"/>
                <w:highlight w:val="none"/>
              </w:rPr>
            </w:pPr>
          </w:p>
        </w:tc>
      </w:tr>
      <w:tr w14:paraId="09829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6" w:hRule="atLeast"/>
        </w:trPr>
        <w:tc>
          <w:tcPr>
            <w:tcW w:w="9254" w:type="dxa"/>
            <w:gridSpan w:val="5"/>
            <w:noWrap w:val="0"/>
            <w:vAlign w:val="center"/>
          </w:tcPr>
          <w:p w14:paraId="065C9AF7">
            <w:pPr>
              <w:widowControl/>
              <w:textAlignment w:val="baseline"/>
              <w:rPr>
                <w:rFonts w:ascii="宋体" w:hAnsi="宋体"/>
                <w:color w:val="auto"/>
                <w:szCs w:val="21"/>
                <w:highlight w:val="none"/>
              </w:rPr>
            </w:pPr>
            <w:r>
              <w:rPr>
                <w:rFonts w:ascii="宋体" w:hAnsi="宋体"/>
                <w:color w:val="auto"/>
                <w:szCs w:val="21"/>
                <w:highlight w:val="none"/>
              </w:rPr>
              <w:t>备注：</w:t>
            </w:r>
            <w:r>
              <w:rPr>
                <w:rFonts w:hint="eastAsia" w:ascii="宋体" w:hAnsi="宋体"/>
                <w:color w:val="auto"/>
                <w:szCs w:val="21"/>
                <w:highlight w:val="none"/>
              </w:rPr>
              <w:t>供应商</w:t>
            </w:r>
            <w:r>
              <w:rPr>
                <w:rFonts w:ascii="宋体" w:hAnsi="宋体"/>
                <w:color w:val="auto"/>
                <w:szCs w:val="21"/>
                <w:highlight w:val="none"/>
              </w:rPr>
              <w:t>在响应</w:t>
            </w:r>
            <w:r>
              <w:rPr>
                <w:rFonts w:hint="eastAsia" w:ascii="宋体" w:hAnsi="宋体"/>
                <w:color w:val="auto"/>
                <w:szCs w:val="21"/>
                <w:highlight w:val="none"/>
                <w:lang w:eastAsia="zh-CN"/>
              </w:rPr>
              <w:t>竞争性磋商</w:t>
            </w:r>
            <w:r>
              <w:rPr>
                <w:rFonts w:ascii="宋体" w:hAnsi="宋体"/>
                <w:color w:val="auto"/>
                <w:szCs w:val="21"/>
                <w:highlight w:val="none"/>
              </w:rPr>
              <w:t>文件中规定的实质性要求和条件的基础上，可做出其他有利于</w:t>
            </w:r>
            <w:r>
              <w:rPr>
                <w:rFonts w:hint="eastAsia" w:ascii="宋体" w:hAnsi="宋体"/>
                <w:color w:val="auto"/>
                <w:szCs w:val="21"/>
                <w:highlight w:val="none"/>
                <w:lang w:eastAsia="zh-CN"/>
              </w:rPr>
              <w:t>采购</w:t>
            </w:r>
            <w:r>
              <w:rPr>
                <w:rFonts w:ascii="宋体" w:hAnsi="宋体"/>
                <w:color w:val="auto"/>
                <w:szCs w:val="21"/>
                <w:highlight w:val="none"/>
              </w:rPr>
              <w:t>人的承诺。此类承诺可在本表中予以补充填写。</w:t>
            </w:r>
          </w:p>
        </w:tc>
      </w:tr>
    </w:tbl>
    <w:p w14:paraId="340860EF">
      <w:pPr>
        <w:widowControl/>
        <w:snapToGrid w:val="0"/>
        <w:spacing w:line="400" w:lineRule="atLeast"/>
        <w:ind w:firstLine="2520" w:firstLineChars="1200"/>
        <w:textAlignment w:val="baseline"/>
        <w:outlineLvl w:val="4"/>
        <w:rPr>
          <w:rFonts w:ascii="宋体" w:hAnsi="宋体"/>
          <w:color w:val="auto"/>
          <w:szCs w:val="21"/>
          <w:highlight w:val="none"/>
        </w:rPr>
      </w:pPr>
    </w:p>
    <w:p w14:paraId="2F6B4396">
      <w:pPr>
        <w:spacing w:line="340" w:lineRule="exact"/>
        <w:ind w:firstLine="420" w:firstLineChars="200"/>
        <w:rPr>
          <w:rFonts w:hint="eastAsia" w:ascii="宋体" w:hAnsi="宋体"/>
          <w:bCs/>
          <w:color w:val="auto"/>
          <w:sz w:val="21"/>
          <w:szCs w:val="21"/>
          <w:highlight w:val="none"/>
        </w:rPr>
      </w:pPr>
    </w:p>
    <w:p w14:paraId="23A81195">
      <w:pPr>
        <w:spacing w:line="340" w:lineRule="exact"/>
        <w:ind w:firstLine="420" w:firstLineChars="200"/>
        <w:rPr>
          <w:rFonts w:hint="eastAsia" w:ascii="宋体" w:hAnsi="宋体"/>
          <w:color w:val="auto"/>
          <w:sz w:val="21"/>
          <w:szCs w:val="21"/>
          <w:highlight w:val="none"/>
        </w:rPr>
      </w:pPr>
      <w:r>
        <w:rPr>
          <w:rFonts w:hint="eastAsia" w:ascii="宋体" w:hAnsi="宋体"/>
          <w:bCs/>
          <w:color w:val="auto"/>
          <w:sz w:val="21"/>
          <w:szCs w:val="21"/>
          <w:highlight w:val="none"/>
        </w:rPr>
        <w:t>供应商[公章(CA签章)]</w:t>
      </w:r>
      <w:r>
        <w:rPr>
          <w:rFonts w:hint="eastAsia" w:ascii="宋体" w:hAnsi="宋体"/>
          <w:color w:val="auto"/>
          <w:sz w:val="21"/>
          <w:szCs w:val="21"/>
          <w:highlight w:val="none"/>
        </w:rPr>
        <w:t>：</w:t>
      </w:r>
      <w:r>
        <w:rPr>
          <w:rFonts w:hint="eastAsia" w:ascii="宋体" w:hAnsi="宋体"/>
          <w:color w:val="auto"/>
          <w:sz w:val="21"/>
          <w:szCs w:val="21"/>
          <w:highlight w:val="none"/>
          <w:u w:val="single"/>
        </w:rPr>
        <w:t xml:space="preserve">          </w:t>
      </w:r>
    </w:p>
    <w:p w14:paraId="44CA2532">
      <w:pPr>
        <w:spacing w:line="340" w:lineRule="exac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法定代表人或相应的委托代理人签字[或盖章(CA签章)]：</w:t>
      </w:r>
      <w:r>
        <w:rPr>
          <w:rFonts w:hint="eastAsia" w:ascii="宋体" w:hAnsi="宋体"/>
          <w:color w:val="auto"/>
          <w:sz w:val="21"/>
          <w:szCs w:val="21"/>
          <w:highlight w:val="none"/>
          <w:u w:val="single"/>
        </w:rPr>
        <w:t xml:space="preserve">         </w:t>
      </w:r>
    </w:p>
    <w:p w14:paraId="66B24EC8">
      <w:pPr>
        <w:spacing w:line="400" w:lineRule="exact"/>
        <w:ind w:firstLine="420" w:firstLineChars="200"/>
        <w:rPr>
          <w:rFonts w:hint="eastAsia" w:ascii="宋体" w:hAnsi="宋体" w:cs="宋体"/>
          <w:bCs/>
          <w:color w:val="auto"/>
          <w:sz w:val="21"/>
          <w:szCs w:val="21"/>
          <w:highlight w:val="none"/>
        </w:rPr>
      </w:pPr>
      <w:r>
        <w:rPr>
          <w:rFonts w:hint="eastAsia" w:ascii="宋体" w:hAnsi="Courier New"/>
          <w:color w:val="auto"/>
          <w:sz w:val="21"/>
          <w:szCs w:val="21"/>
          <w:highlight w:val="none"/>
        </w:rPr>
        <w:t>日期：</w:t>
      </w:r>
      <w:r>
        <w:rPr>
          <w:rFonts w:hint="eastAsia" w:ascii="宋体" w:hAnsi="Courier New"/>
          <w:color w:val="auto"/>
          <w:sz w:val="21"/>
          <w:szCs w:val="21"/>
          <w:highlight w:val="none"/>
          <w:u w:val="single"/>
        </w:rPr>
        <w:t xml:space="preserve">                       </w:t>
      </w:r>
    </w:p>
    <w:p w14:paraId="7845F149">
      <w:pPr>
        <w:rPr>
          <w:rFonts w:hint="eastAsia" w:ascii="宋体" w:hAnsi="宋体" w:eastAsia="宋体" w:cs="宋体"/>
          <w:color w:val="auto"/>
          <w:sz w:val="21"/>
          <w:szCs w:val="21"/>
          <w:highlight w:val="none"/>
          <w:lang w:val="en-US" w:eastAsia="zh-CN"/>
        </w:rPr>
      </w:pPr>
    </w:p>
    <w:p w14:paraId="28B4EC9C">
      <w:pPr>
        <w:rPr>
          <w:rFonts w:hint="eastAsia" w:ascii="宋体" w:hAnsi="宋体" w:eastAsia="宋体" w:cs="宋体"/>
          <w:color w:val="auto"/>
          <w:sz w:val="21"/>
          <w:szCs w:val="21"/>
          <w:highlight w:val="none"/>
          <w:lang w:val="en-US" w:eastAsia="zh-CN"/>
        </w:rPr>
      </w:pPr>
    </w:p>
    <w:p w14:paraId="4BC81FBF">
      <w:pPr>
        <w:rPr>
          <w:rFonts w:hint="eastAsia" w:ascii="宋体" w:hAnsi="宋体" w:eastAsia="宋体" w:cs="宋体"/>
          <w:color w:val="auto"/>
          <w:sz w:val="21"/>
          <w:szCs w:val="21"/>
          <w:highlight w:val="none"/>
          <w:lang w:val="en-US" w:eastAsia="zh-CN"/>
        </w:rPr>
      </w:pPr>
    </w:p>
    <w:p w14:paraId="1C38B5B6">
      <w:pPr>
        <w:rPr>
          <w:rFonts w:hint="eastAsia" w:ascii="宋体" w:hAnsi="宋体" w:eastAsia="宋体" w:cs="宋体"/>
          <w:color w:val="auto"/>
          <w:sz w:val="21"/>
          <w:szCs w:val="21"/>
          <w:highlight w:val="none"/>
          <w:lang w:val="en-US" w:eastAsia="zh-CN"/>
        </w:rPr>
      </w:pPr>
    </w:p>
    <w:p w14:paraId="179381FF">
      <w:pPr>
        <w:pStyle w:val="11"/>
        <w:numPr>
          <w:ilvl w:val="0"/>
          <w:numId w:val="0"/>
        </w:numPr>
        <w:spacing w:line="340" w:lineRule="exact"/>
        <w:rPr>
          <w:rFonts w:hint="eastAsia" w:ascii="宋体" w:hAnsi="宋体" w:eastAsia="宋体" w:cs="宋体"/>
          <w:b/>
          <w:color w:val="auto"/>
          <w:sz w:val="24"/>
          <w:szCs w:val="24"/>
          <w:highlight w:val="none"/>
          <w:lang w:val="en-US" w:eastAsia="zh-CN"/>
        </w:rPr>
      </w:pPr>
    </w:p>
    <w:p w14:paraId="00D38ACA">
      <w:pPr>
        <w:pStyle w:val="11"/>
        <w:numPr>
          <w:ilvl w:val="0"/>
          <w:numId w:val="0"/>
        </w:numPr>
        <w:spacing w:line="340" w:lineRule="exact"/>
        <w:rPr>
          <w:rFonts w:hint="eastAsia" w:ascii="宋体" w:hAnsi="宋体" w:eastAsia="宋体" w:cs="宋体"/>
          <w:b/>
          <w:color w:val="auto"/>
          <w:sz w:val="24"/>
          <w:szCs w:val="24"/>
          <w:highlight w:val="none"/>
          <w:lang w:val="en-US" w:eastAsia="zh-CN"/>
        </w:rPr>
      </w:pPr>
    </w:p>
    <w:p w14:paraId="7E767CBC">
      <w:pPr>
        <w:pStyle w:val="11"/>
        <w:numPr>
          <w:ilvl w:val="0"/>
          <w:numId w:val="0"/>
        </w:numPr>
        <w:spacing w:line="340" w:lineRule="exact"/>
        <w:rPr>
          <w:rFonts w:hint="eastAsia" w:ascii="宋体" w:hAnsi="宋体" w:eastAsia="宋体" w:cs="宋体"/>
          <w:b/>
          <w:color w:val="auto"/>
          <w:sz w:val="24"/>
          <w:szCs w:val="24"/>
          <w:highlight w:val="none"/>
          <w:lang w:val="en-US" w:eastAsia="zh-CN"/>
        </w:rPr>
      </w:pPr>
    </w:p>
    <w:p w14:paraId="01F879D9">
      <w:pPr>
        <w:pStyle w:val="11"/>
        <w:numPr>
          <w:ilvl w:val="0"/>
          <w:numId w:val="0"/>
        </w:numPr>
        <w:spacing w:line="340" w:lineRule="exact"/>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lang w:val="en-US" w:eastAsia="zh-CN"/>
        </w:rPr>
        <w:t>2.已标价工程量清单（必须提供）</w:t>
      </w:r>
      <w:r>
        <w:rPr>
          <w:rFonts w:hint="eastAsia" w:ascii="宋体" w:hAnsi="宋体" w:eastAsia="宋体" w:cs="宋体"/>
          <w:b/>
          <w:color w:val="auto"/>
          <w:sz w:val="24"/>
          <w:szCs w:val="24"/>
          <w:highlight w:val="none"/>
        </w:rPr>
        <w:t>；</w:t>
      </w:r>
    </w:p>
    <w:p w14:paraId="3C63F351">
      <w:pPr>
        <w:pStyle w:val="11"/>
        <w:spacing w:line="320" w:lineRule="exact"/>
        <w:jc w:val="left"/>
        <w:rPr>
          <w:rFonts w:hint="eastAsia" w:ascii="宋体" w:hAnsi="宋体" w:eastAsia="宋体" w:cs="宋体"/>
          <w:b/>
          <w:color w:val="auto"/>
          <w:sz w:val="21"/>
          <w:szCs w:val="21"/>
          <w:highlight w:val="none"/>
        </w:rPr>
      </w:pPr>
    </w:p>
    <w:p w14:paraId="62BE2C20">
      <w:pPr>
        <w:spacing w:line="360" w:lineRule="auto"/>
        <w:ind w:firstLine="42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eastAsia="zh-CN"/>
        </w:rPr>
        <w:t>供应商</w:t>
      </w:r>
      <w:r>
        <w:rPr>
          <w:rFonts w:hint="eastAsia" w:ascii="宋体" w:hAnsi="宋体" w:eastAsia="宋体" w:cs="宋体"/>
          <w:color w:val="auto"/>
          <w:sz w:val="21"/>
          <w:szCs w:val="21"/>
          <w:highlight w:val="none"/>
        </w:rPr>
        <w:t>应按照第</w:t>
      </w:r>
      <w:r>
        <w:rPr>
          <w:rFonts w:hint="eastAsia" w:ascii="宋体" w:hAnsi="宋体" w:eastAsia="宋体" w:cs="宋体"/>
          <w:color w:val="auto"/>
          <w:sz w:val="21"/>
          <w:szCs w:val="21"/>
          <w:highlight w:val="none"/>
          <w:lang w:eastAsia="zh-CN"/>
        </w:rPr>
        <w:t>三</w:t>
      </w:r>
      <w:r>
        <w:rPr>
          <w:rFonts w:hint="eastAsia" w:ascii="宋体" w:hAnsi="宋体" w:eastAsia="宋体" w:cs="宋体"/>
          <w:color w:val="auto"/>
          <w:sz w:val="21"/>
          <w:szCs w:val="21"/>
          <w:highlight w:val="none"/>
        </w:rPr>
        <w:t>章“工程量清单”的要求逐项填报工程量清单，包括工程量清单说明、</w:t>
      </w:r>
      <w:r>
        <w:rPr>
          <w:rFonts w:hint="eastAsia" w:ascii="宋体" w:hAnsi="宋体" w:eastAsia="宋体" w:cs="宋体"/>
          <w:color w:val="auto"/>
          <w:sz w:val="21"/>
          <w:szCs w:val="21"/>
          <w:highlight w:val="none"/>
          <w:lang w:eastAsia="zh-CN"/>
        </w:rPr>
        <w:t>磋商报价</w:t>
      </w:r>
      <w:r>
        <w:rPr>
          <w:rFonts w:hint="eastAsia" w:ascii="宋体" w:hAnsi="宋体" w:eastAsia="宋体" w:cs="宋体"/>
          <w:color w:val="auto"/>
          <w:sz w:val="21"/>
          <w:szCs w:val="21"/>
          <w:highlight w:val="none"/>
        </w:rPr>
        <w:t>说明及工程量清单各项表格</w:t>
      </w:r>
      <w:r>
        <w:rPr>
          <w:rFonts w:hint="eastAsia" w:ascii="宋体" w:hAnsi="宋体" w:eastAsia="宋体" w:cs="宋体"/>
          <w:b/>
          <w:bCs/>
          <w:color w:val="auto"/>
          <w:sz w:val="21"/>
          <w:szCs w:val="21"/>
          <w:highlight w:val="none"/>
        </w:rPr>
        <w:t>（</w:t>
      </w:r>
      <w:r>
        <w:rPr>
          <w:rFonts w:hint="eastAsia" w:ascii="宋体" w:hAnsi="宋体" w:eastAsia="宋体" w:cs="宋体"/>
          <w:b/>
          <w:bCs/>
          <w:color w:val="auto"/>
          <w:sz w:val="21"/>
          <w:szCs w:val="21"/>
          <w:highlight w:val="none"/>
          <w:lang w:eastAsia="zh-CN"/>
        </w:rPr>
        <w:t>采购人</w:t>
      </w:r>
      <w:r>
        <w:rPr>
          <w:rFonts w:hint="eastAsia" w:ascii="宋体" w:hAnsi="宋体" w:eastAsia="宋体" w:cs="宋体"/>
          <w:b/>
          <w:bCs/>
          <w:color w:val="auto"/>
          <w:sz w:val="21"/>
          <w:szCs w:val="21"/>
          <w:highlight w:val="none"/>
        </w:rPr>
        <w:t>提供的工程量清单）。</w:t>
      </w:r>
    </w:p>
    <w:p w14:paraId="427D5B50">
      <w:pPr>
        <w:tabs>
          <w:tab w:val="left" w:pos="1305"/>
        </w:tabs>
        <w:spacing w:line="340" w:lineRule="exact"/>
        <w:rPr>
          <w:rFonts w:hint="eastAsia" w:ascii="宋体" w:hAnsi="宋体" w:eastAsia="宋体" w:cs="宋体"/>
          <w:bCs/>
          <w:color w:val="auto"/>
          <w:sz w:val="21"/>
          <w:szCs w:val="21"/>
          <w:highlight w:val="none"/>
        </w:rPr>
      </w:pPr>
    </w:p>
    <w:p w14:paraId="53425754">
      <w:pPr>
        <w:pStyle w:val="11"/>
        <w:numPr>
          <w:ilvl w:val="0"/>
          <w:numId w:val="0"/>
        </w:numPr>
        <w:spacing w:line="340" w:lineRule="exact"/>
        <w:rPr>
          <w:rFonts w:hint="eastAsia" w:ascii="宋体" w:hAnsi="宋体" w:eastAsia="宋体" w:cs="宋体"/>
          <w:b/>
          <w:color w:val="auto"/>
          <w:sz w:val="21"/>
          <w:szCs w:val="21"/>
          <w:highlight w:val="none"/>
          <w:lang w:val="en-US" w:eastAsia="zh-CN"/>
        </w:rPr>
      </w:pPr>
    </w:p>
    <w:p w14:paraId="727888D9">
      <w:pPr>
        <w:pStyle w:val="11"/>
        <w:numPr>
          <w:ilvl w:val="0"/>
          <w:numId w:val="0"/>
        </w:numPr>
        <w:spacing w:line="340" w:lineRule="exact"/>
        <w:rPr>
          <w:rFonts w:hint="eastAsia" w:ascii="宋体" w:hAnsi="宋体" w:eastAsia="宋体" w:cs="宋体"/>
          <w:b/>
          <w:color w:val="auto"/>
          <w:sz w:val="21"/>
          <w:szCs w:val="21"/>
          <w:highlight w:val="none"/>
          <w:lang w:val="en-US" w:eastAsia="zh-CN"/>
        </w:rPr>
      </w:pPr>
    </w:p>
    <w:p w14:paraId="03207234">
      <w:pPr>
        <w:pStyle w:val="11"/>
        <w:numPr>
          <w:ilvl w:val="0"/>
          <w:numId w:val="0"/>
        </w:numPr>
        <w:spacing w:line="340" w:lineRule="exact"/>
        <w:rPr>
          <w:rFonts w:hint="eastAsia" w:ascii="宋体" w:hAnsi="宋体" w:eastAsia="宋体" w:cs="宋体"/>
          <w:b/>
          <w:color w:val="auto"/>
          <w:sz w:val="21"/>
          <w:szCs w:val="21"/>
          <w:highlight w:val="none"/>
          <w:lang w:val="en-US" w:eastAsia="zh-CN"/>
        </w:rPr>
      </w:pPr>
    </w:p>
    <w:p w14:paraId="47B8AED4">
      <w:pPr>
        <w:pStyle w:val="11"/>
        <w:numPr>
          <w:ilvl w:val="0"/>
          <w:numId w:val="0"/>
        </w:numPr>
        <w:spacing w:line="340" w:lineRule="exact"/>
        <w:rPr>
          <w:rFonts w:hint="eastAsia" w:ascii="宋体" w:hAnsi="宋体" w:eastAsia="宋体" w:cs="宋体"/>
          <w:b/>
          <w:color w:val="auto"/>
          <w:sz w:val="21"/>
          <w:szCs w:val="21"/>
          <w:highlight w:val="none"/>
          <w:lang w:val="en-US" w:eastAsia="zh-CN"/>
        </w:rPr>
      </w:pPr>
    </w:p>
    <w:p w14:paraId="1008EEB8">
      <w:pPr>
        <w:pStyle w:val="11"/>
        <w:numPr>
          <w:ilvl w:val="0"/>
          <w:numId w:val="0"/>
        </w:numPr>
        <w:spacing w:line="340" w:lineRule="exact"/>
        <w:rPr>
          <w:rFonts w:hint="eastAsia" w:ascii="宋体" w:hAnsi="宋体" w:eastAsia="宋体" w:cs="宋体"/>
          <w:b/>
          <w:color w:val="auto"/>
          <w:sz w:val="21"/>
          <w:szCs w:val="21"/>
          <w:highlight w:val="none"/>
          <w:lang w:val="en-US" w:eastAsia="zh-CN"/>
        </w:rPr>
      </w:pPr>
    </w:p>
    <w:p w14:paraId="24814A25">
      <w:pPr>
        <w:pStyle w:val="11"/>
        <w:numPr>
          <w:ilvl w:val="0"/>
          <w:numId w:val="0"/>
        </w:numPr>
        <w:spacing w:line="340" w:lineRule="exact"/>
        <w:rPr>
          <w:rFonts w:hint="eastAsia" w:ascii="宋体" w:hAnsi="宋体" w:eastAsia="宋体" w:cs="宋体"/>
          <w:b/>
          <w:color w:val="auto"/>
          <w:sz w:val="21"/>
          <w:szCs w:val="21"/>
          <w:highlight w:val="none"/>
          <w:lang w:val="en-US" w:eastAsia="zh-CN"/>
        </w:rPr>
      </w:pPr>
    </w:p>
    <w:p w14:paraId="7A65F0DA">
      <w:pPr>
        <w:pStyle w:val="11"/>
        <w:numPr>
          <w:ilvl w:val="0"/>
          <w:numId w:val="0"/>
        </w:numPr>
        <w:spacing w:line="340" w:lineRule="exact"/>
        <w:rPr>
          <w:rFonts w:hint="eastAsia" w:ascii="宋体" w:hAnsi="宋体" w:eastAsia="宋体" w:cs="宋体"/>
          <w:b/>
          <w:color w:val="auto"/>
          <w:sz w:val="21"/>
          <w:szCs w:val="21"/>
          <w:highlight w:val="none"/>
          <w:lang w:val="en-US" w:eastAsia="zh-CN"/>
        </w:rPr>
      </w:pPr>
    </w:p>
    <w:p w14:paraId="6A9674A7">
      <w:pPr>
        <w:pStyle w:val="11"/>
        <w:numPr>
          <w:ilvl w:val="0"/>
          <w:numId w:val="0"/>
        </w:numPr>
        <w:spacing w:line="340" w:lineRule="exact"/>
        <w:rPr>
          <w:rFonts w:hint="eastAsia" w:ascii="宋体" w:hAnsi="宋体" w:eastAsia="宋体" w:cs="宋体"/>
          <w:b/>
          <w:color w:val="auto"/>
          <w:sz w:val="21"/>
          <w:szCs w:val="21"/>
          <w:highlight w:val="none"/>
          <w:lang w:val="en-US" w:eastAsia="zh-CN"/>
        </w:rPr>
      </w:pPr>
    </w:p>
    <w:p w14:paraId="5C5BB85F">
      <w:pPr>
        <w:pStyle w:val="11"/>
        <w:numPr>
          <w:ilvl w:val="0"/>
          <w:numId w:val="0"/>
        </w:numPr>
        <w:spacing w:line="340" w:lineRule="exact"/>
        <w:rPr>
          <w:rFonts w:hint="eastAsia" w:ascii="宋体" w:hAnsi="宋体" w:eastAsia="宋体" w:cs="宋体"/>
          <w:b/>
          <w:color w:val="auto"/>
          <w:sz w:val="21"/>
          <w:szCs w:val="21"/>
          <w:highlight w:val="none"/>
          <w:lang w:val="en-US" w:eastAsia="zh-CN"/>
        </w:rPr>
      </w:pPr>
    </w:p>
    <w:p w14:paraId="7E7CB6E7">
      <w:pPr>
        <w:pStyle w:val="11"/>
        <w:numPr>
          <w:ilvl w:val="0"/>
          <w:numId w:val="0"/>
        </w:numPr>
        <w:spacing w:line="340" w:lineRule="exact"/>
        <w:rPr>
          <w:rFonts w:hint="eastAsia" w:ascii="宋体" w:hAnsi="宋体" w:eastAsia="宋体" w:cs="宋体"/>
          <w:b/>
          <w:color w:val="auto"/>
          <w:sz w:val="21"/>
          <w:szCs w:val="21"/>
          <w:highlight w:val="none"/>
          <w:lang w:val="en-US" w:eastAsia="zh-CN"/>
        </w:rPr>
      </w:pPr>
    </w:p>
    <w:p w14:paraId="25537292">
      <w:pPr>
        <w:pStyle w:val="11"/>
        <w:numPr>
          <w:ilvl w:val="0"/>
          <w:numId w:val="0"/>
        </w:numPr>
        <w:spacing w:line="340" w:lineRule="exact"/>
        <w:rPr>
          <w:rFonts w:hint="eastAsia" w:ascii="宋体" w:hAnsi="宋体" w:eastAsia="宋体" w:cs="宋体"/>
          <w:b/>
          <w:color w:val="auto"/>
          <w:sz w:val="21"/>
          <w:szCs w:val="21"/>
          <w:highlight w:val="none"/>
          <w:lang w:val="en-US" w:eastAsia="zh-CN"/>
        </w:rPr>
      </w:pPr>
    </w:p>
    <w:p w14:paraId="4D676CF1">
      <w:pPr>
        <w:pStyle w:val="11"/>
        <w:numPr>
          <w:ilvl w:val="0"/>
          <w:numId w:val="0"/>
        </w:numPr>
        <w:spacing w:line="340" w:lineRule="exact"/>
        <w:rPr>
          <w:rFonts w:hint="eastAsia" w:ascii="宋体" w:hAnsi="宋体" w:eastAsia="宋体" w:cs="宋体"/>
          <w:b/>
          <w:color w:val="auto"/>
          <w:sz w:val="21"/>
          <w:szCs w:val="21"/>
          <w:highlight w:val="none"/>
          <w:lang w:val="en-US" w:eastAsia="zh-CN"/>
        </w:rPr>
      </w:pPr>
    </w:p>
    <w:p w14:paraId="1FA77DF9">
      <w:pPr>
        <w:pStyle w:val="11"/>
        <w:numPr>
          <w:ilvl w:val="0"/>
          <w:numId w:val="0"/>
        </w:numPr>
        <w:spacing w:line="340" w:lineRule="exact"/>
        <w:rPr>
          <w:rFonts w:hint="eastAsia" w:ascii="宋体" w:hAnsi="宋体" w:eastAsia="宋体" w:cs="宋体"/>
          <w:b/>
          <w:color w:val="auto"/>
          <w:sz w:val="21"/>
          <w:szCs w:val="21"/>
          <w:highlight w:val="none"/>
          <w:lang w:val="en-US" w:eastAsia="zh-CN"/>
        </w:rPr>
      </w:pPr>
    </w:p>
    <w:p w14:paraId="0431A8BD">
      <w:pPr>
        <w:pStyle w:val="5"/>
        <w:rPr>
          <w:rFonts w:hint="eastAsia" w:ascii="宋体" w:hAnsi="宋体" w:eastAsia="宋体" w:cs="宋体"/>
          <w:b/>
          <w:color w:val="auto"/>
          <w:sz w:val="21"/>
          <w:szCs w:val="21"/>
          <w:highlight w:val="none"/>
          <w:lang w:val="en-US" w:eastAsia="zh-CN"/>
        </w:rPr>
      </w:pPr>
    </w:p>
    <w:p w14:paraId="0BD2A876">
      <w:pPr>
        <w:rPr>
          <w:rFonts w:hint="eastAsia" w:ascii="宋体" w:hAnsi="宋体" w:eastAsia="宋体" w:cs="宋体"/>
          <w:b/>
          <w:color w:val="auto"/>
          <w:sz w:val="21"/>
          <w:szCs w:val="21"/>
          <w:highlight w:val="none"/>
          <w:lang w:val="en-US" w:eastAsia="zh-CN"/>
        </w:rPr>
      </w:pPr>
    </w:p>
    <w:p w14:paraId="39C61E69">
      <w:pPr>
        <w:rPr>
          <w:rFonts w:hint="eastAsia" w:ascii="宋体" w:hAnsi="宋体" w:eastAsia="宋体" w:cs="宋体"/>
          <w:color w:val="auto"/>
          <w:sz w:val="21"/>
          <w:szCs w:val="21"/>
          <w:highlight w:val="none"/>
        </w:rPr>
      </w:pPr>
    </w:p>
    <w:p w14:paraId="3C17D30D">
      <w:pPr>
        <w:pStyle w:val="23"/>
        <w:rPr>
          <w:rFonts w:hint="eastAsia" w:ascii="宋体" w:hAnsi="宋体" w:eastAsia="宋体" w:cs="宋体"/>
          <w:color w:val="auto"/>
          <w:sz w:val="21"/>
          <w:szCs w:val="21"/>
          <w:highlight w:val="none"/>
        </w:rPr>
      </w:pPr>
    </w:p>
    <w:p w14:paraId="4B4C73A9">
      <w:pPr>
        <w:pStyle w:val="23"/>
        <w:rPr>
          <w:rFonts w:hint="eastAsia" w:ascii="宋体" w:hAnsi="宋体" w:eastAsia="宋体" w:cs="宋体"/>
          <w:color w:val="auto"/>
          <w:sz w:val="21"/>
          <w:szCs w:val="21"/>
          <w:highlight w:val="none"/>
        </w:rPr>
      </w:pPr>
    </w:p>
    <w:p w14:paraId="4462231D">
      <w:pPr>
        <w:pStyle w:val="23"/>
        <w:rPr>
          <w:rFonts w:hint="eastAsia" w:ascii="宋体" w:hAnsi="宋体" w:eastAsia="宋体" w:cs="宋体"/>
          <w:color w:val="auto"/>
          <w:sz w:val="21"/>
          <w:szCs w:val="21"/>
          <w:highlight w:val="none"/>
        </w:rPr>
      </w:pPr>
    </w:p>
    <w:p w14:paraId="52B05B33">
      <w:pPr>
        <w:pStyle w:val="23"/>
        <w:rPr>
          <w:rFonts w:hint="eastAsia" w:ascii="宋体" w:hAnsi="宋体" w:eastAsia="宋体" w:cs="宋体"/>
          <w:color w:val="auto"/>
          <w:sz w:val="21"/>
          <w:szCs w:val="21"/>
          <w:highlight w:val="none"/>
        </w:rPr>
      </w:pPr>
    </w:p>
    <w:p w14:paraId="4146B4F6">
      <w:pPr>
        <w:pStyle w:val="23"/>
        <w:rPr>
          <w:rFonts w:hint="eastAsia" w:ascii="宋体" w:hAnsi="宋体" w:eastAsia="宋体" w:cs="宋体"/>
          <w:color w:val="auto"/>
          <w:sz w:val="21"/>
          <w:szCs w:val="21"/>
          <w:highlight w:val="none"/>
        </w:rPr>
      </w:pPr>
    </w:p>
    <w:p w14:paraId="63486B93">
      <w:pPr>
        <w:pStyle w:val="23"/>
        <w:rPr>
          <w:rFonts w:hint="eastAsia" w:ascii="宋体" w:hAnsi="宋体" w:eastAsia="宋体" w:cs="宋体"/>
          <w:color w:val="auto"/>
          <w:sz w:val="21"/>
          <w:szCs w:val="21"/>
          <w:highlight w:val="none"/>
        </w:rPr>
      </w:pPr>
    </w:p>
    <w:p w14:paraId="610D9B6D">
      <w:pPr>
        <w:pStyle w:val="23"/>
        <w:rPr>
          <w:rFonts w:hint="eastAsia" w:ascii="宋体" w:hAnsi="宋体" w:eastAsia="宋体" w:cs="宋体"/>
          <w:color w:val="auto"/>
          <w:sz w:val="21"/>
          <w:szCs w:val="21"/>
          <w:highlight w:val="none"/>
        </w:rPr>
      </w:pPr>
    </w:p>
    <w:p w14:paraId="2EFD8C81">
      <w:pPr>
        <w:pStyle w:val="8"/>
        <w:rPr>
          <w:rFonts w:hint="eastAsia" w:ascii="宋体" w:hAnsi="宋体" w:eastAsia="宋体" w:cs="宋体"/>
          <w:color w:val="auto"/>
          <w:sz w:val="21"/>
          <w:szCs w:val="21"/>
          <w:highlight w:val="none"/>
        </w:rPr>
      </w:pPr>
    </w:p>
    <w:p w14:paraId="1B8161C5">
      <w:pPr>
        <w:rPr>
          <w:rFonts w:hint="eastAsia" w:ascii="宋体" w:hAnsi="宋体" w:eastAsia="宋体" w:cs="宋体"/>
          <w:color w:val="auto"/>
          <w:sz w:val="21"/>
          <w:szCs w:val="21"/>
          <w:highlight w:val="none"/>
        </w:rPr>
      </w:pPr>
    </w:p>
    <w:p w14:paraId="6BE6DC0D">
      <w:pPr>
        <w:rPr>
          <w:rFonts w:hint="eastAsia" w:ascii="宋体" w:hAnsi="宋体" w:eastAsia="宋体" w:cs="宋体"/>
          <w:color w:val="auto"/>
          <w:sz w:val="21"/>
          <w:szCs w:val="21"/>
          <w:highlight w:val="none"/>
        </w:rPr>
      </w:pPr>
    </w:p>
    <w:p w14:paraId="3C1D0733">
      <w:pPr>
        <w:pStyle w:val="12"/>
        <w:rPr>
          <w:rFonts w:hint="eastAsia" w:ascii="宋体" w:hAnsi="宋体" w:eastAsia="宋体" w:cs="宋体"/>
          <w:color w:val="auto"/>
          <w:sz w:val="21"/>
          <w:szCs w:val="21"/>
          <w:highlight w:val="none"/>
        </w:rPr>
      </w:pPr>
    </w:p>
    <w:p w14:paraId="4628C161">
      <w:pPr>
        <w:pStyle w:val="12"/>
        <w:rPr>
          <w:rFonts w:hint="eastAsia" w:ascii="宋体" w:hAnsi="宋体" w:eastAsia="宋体" w:cs="宋体"/>
          <w:color w:val="auto"/>
          <w:sz w:val="21"/>
          <w:szCs w:val="21"/>
          <w:highlight w:val="none"/>
        </w:rPr>
      </w:pPr>
    </w:p>
    <w:p w14:paraId="2748CA37">
      <w:pPr>
        <w:pStyle w:val="12"/>
        <w:rPr>
          <w:rFonts w:hint="eastAsia" w:ascii="宋体" w:hAnsi="宋体" w:eastAsia="宋体" w:cs="宋体"/>
          <w:color w:val="auto"/>
          <w:sz w:val="21"/>
          <w:szCs w:val="21"/>
          <w:highlight w:val="none"/>
        </w:rPr>
      </w:pPr>
    </w:p>
    <w:p w14:paraId="7F1E0601">
      <w:pPr>
        <w:pStyle w:val="12"/>
        <w:rPr>
          <w:rFonts w:hint="eastAsia" w:ascii="宋体" w:hAnsi="宋体" w:eastAsia="宋体" w:cs="宋体"/>
          <w:color w:val="auto"/>
          <w:sz w:val="21"/>
          <w:szCs w:val="21"/>
          <w:highlight w:val="none"/>
        </w:rPr>
      </w:pPr>
    </w:p>
    <w:p w14:paraId="51E19627">
      <w:pPr>
        <w:pStyle w:val="12"/>
        <w:rPr>
          <w:rFonts w:hint="eastAsia" w:ascii="宋体" w:hAnsi="宋体" w:eastAsia="宋体" w:cs="宋体"/>
          <w:color w:val="auto"/>
          <w:sz w:val="21"/>
          <w:szCs w:val="21"/>
          <w:highlight w:val="none"/>
        </w:rPr>
      </w:pPr>
    </w:p>
    <w:p w14:paraId="7406AE87">
      <w:pPr>
        <w:pStyle w:val="12"/>
        <w:rPr>
          <w:rFonts w:hint="eastAsia" w:ascii="宋体" w:hAnsi="宋体" w:eastAsia="宋体" w:cs="宋体"/>
          <w:color w:val="auto"/>
          <w:sz w:val="21"/>
          <w:szCs w:val="21"/>
          <w:highlight w:val="none"/>
        </w:rPr>
      </w:pPr>
    </w:p>
    <w:p w14:paraId="659600FF">
      <w:pPr>
        <w:pStyle w:val="12"/>
        <w:rPr>
          <w:rFonts w:hint="eastAsia" w:ascii="宋体" w:hAnsi="宋体" w:eastAsia="宋体" w:cs="宋体"/>
          <w:color w:val="auto"/>
          <w:sz w:val="21"/>
          <w:szCs w:val="21"/>
          <w:highlight w:val="none"/>
        </w:rPr>
      </w:pPr>
    </w:p>
    <w:p w14:paraId="2287E10F">
      <w:pPr>
        <w:pStyle w:val="12"/>
        <w:rPr>
          <w:rFonts w:hint="eastAsia" w:ascii="宋体" w:hAnsi="宋体" w:eastAsia="宋体" w:cs="宋体"/>
          <w:color w:val="auto"/>
          <w:sz w:val="21"/>
          <w:szCs w:val="21"/>
          <w:highlight w:val="none"/>
        </w:rPr>
      </w:pPr>
    </w:p>
    <w:p w14:paraId="779D2CB3">
      <w:pPr>
        <w:pStyle w:val="12"/>
        <w:rPr>
          <w:rFonts w:hint="eastAsia" w:ascii="宋体" w:hAnsi="宋体" w:eastAsia="宋体" w:cs="宋体"/>
          <w:color w:val="auto"/>
          <w:sz w:val="21"/>
          <w:szCs w:val="21"/>
          <w:highlight w:val="none"/>
        </w:rPr>
      </w:pPr>
    </w:p>
    <w:p w14:paraId="25F58E97">
      <w:pPr>
        <w:pStyle w:val="12"/>
        <w:rPr>
          <w:rFonts w:hint="eastAsia" w:ascii="宋体" w:hAnsi="宋体" w:eastAsia="宋体" w:cs="宋体"/>
          <w:color w:val="auto"/>
          <w:sz w:val="21"/>
          <w:szCs w:val="21"/>
          <w:highlight w:val="none"/>
        </w:rPr>
      </w:pPr>
    </w:p>
    <w:p w14:paraId="7AFFCC03">
      <w:pPr>
        <w:pStyle w:val="12"/>
        <w:rPr>
          <w:rFonts w:hint="eastAsia" w:ascii="宋体" w:hAnsi="宋体" w:eastAsia="宋体" w:cs="宋体"/>
          <w:color w:val="auto"/>
          <w:sz w:val="21"/>
          <w:szCs w:val="21"/>
          <w:highlight w:val="none"/>
        </w:rPr>
      </w:pPr>
    </w:p>
    <w:p w14:paraId="1F5F17BE">
      <w:pPr>
        <w:pStyle w:val="12"/>
        <w:rPr>
          <w:rFonts w:hint="eastAsia" w:ascii="宋体" w:hAnsi="宋体" w:eastAsia="宋体" w:cs="宋体"/>
          <w:color w:val="auto"/>
          <w:sz w:val="21"/>
          <w:szCs w:val="21"/>
          <w:highlight w:val="none"/>
        </w:rPr>
      </w:pPr>
    </w:p>
    <w:p w14:paraId="61954C0F">
      <w:pPr>
        <w:pStyle w:val="12"/>
        <w:rPr>
          <w:rFonts w:hint="eastAsia" w:ascii="宋体" w:hAnsi="宋体" w:eastAsia="宋体" w:cs="宋体"/>
          <w:color w:val="auto"/>
          <w:sz w:val="21"/>
          <w:szCs w:val="21"/>
          <w:highlight w:val="none"/>
        </w:rPr>
      </w:pPr>
    </w:p>
    <w:p w14:paraId="3D96A2DE">
      <w:pPr>
        <w:pStyle w:val="12"/>
        <w:rPr>
          <w:rFonts w:hint="eastAsia" w:ascii="宋体" w:hAnsi="宋体" w:eastAsia="宋体" w:cs="宋体"/>
          <w:color w:val="auto"/>
          <w:sz w:val="21"/>
          <w:szCs w:val="21"/>
          <w:highlight w:val="none"/>
        </w:rPr>
      </w:pPr>
    </w:p>
    <w:p w14:paraId="2ABF7A52">
      <w:pPr>
        <w:spacing w:line="240" w:lineRule="auto"/>
        <w:rPr>
          <w:rFonts w:hint="eastAsia" w:ascii="宋体" w:hAnsi="宋体" w:eastAsia="宋体" w:cs="宋体"/>
          <w:b/>
          <w:bCs/>
          <w:iCs/>
          <w:color w:val="auto"/>
          <w:kern w:val="2"/>
          <w:sz w:val="24"/>
          <w:szCs w:val="24"/>
          <w:highlight w:val="none"/>
          <w:lang w:val="en-US" w:eastAsia="zh-CN" w:bidi="ar-SA"/>
        </w:rPr>
      </w:pPr>
      <w:r>
        <w:rPr>
          <w:rFonts w:hint="eastAsia" w:ascii="宋体" w:hAnsi="宋体" w:cs="宋体"/>
          <w:b/>
          <w:color w:val="auto"/>
          <w:sz w:val="24"/>
          <w:szCs w:val="24"/>
          <w:highlight w:val="none"/>
          <w:lang w:val="en-US" w:eastAsia="zh-CN"/>
        </w:rPr>
        <w:t>3</w:t>
      </w:r>
      <w:r>
        <w:rPr>
          <w:rFonts w:hint="eastAsia" w:ascii="宋体" w:hAnsi="宋体" w:eastAsia="宋体" w:cs="宋体"/>
          <w:b/>
          <w:color w:val="auto"/>
          <w:sz w:val="24"/>
          <w:szCs w:val="24"/>
          <w:highlight w:val="none"/>
          <w:lang w:val="en-US" w:eastAsia="zh-CN"/>
        </w:rPr>
        <w:t>.项目管理机构组成表（必须提供)</w:t>
      </w:r>
      <w:r>
        <w:rPr>
          <w:rFonts w:hint="eastAsia" w:ascii="宋体" w:hAnsi="宋体" w:eastAsia="宋体" w:cs="宋体"/>
          <w:b/>
          <w:bCs/>
          <w:iCs/>
          <w:color w:val="auto"/>
          <w:kern w:val="2"/>
          <w:sz w:val="24"/>
          <w:szCs w:val="24"/>
          <w:highlight w:val="none"/>
          <w:lang w:val="en-US" w:eastAsia="zh-CN" w:bidi="ar-SA"/>
        </w:rPr>
        <w:t>；</w:t>
      </w:r>
    </w:p>
    <w:p w14:paraId="051D980F">
      <w:pPr>
        <w:spacing w:line="500" w:lineRule="exact"/>
        <w:jc w:val="center"/>
        <w:rPr>
          <w:rFonts w:hint="eastAsia" w:ascii="宋体" w:hAnsi="宋体" w:eastAsia="宋体" w:cs="宋体"/>
          <w:b/>
          <w:color w:val="auto"/>
          <w:sz w:val="21"/>
          <w:szCs w:val="21"/>
          <w:highlight w:val="none"/>
          <w:lang w:val="en-US" w:eastAsia="zh-CN"/>
        </w:rPr>
      </w:pPr>
    </w:p>
    <w:p w14:paraId="7FA35630">
      <w:pPr>
        <w:spacing w:line="500" w:lineRule="exact"/>
        <w:jc w:val="center"/>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lang w:val="en-US" w:eastAsia="zh-CN"/>
        </w:rPr>
        <w:t>项目管理机构组成表</w:t>
      </w:r>
    </w:p>
    <w:p w14:paraId="23613E56">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sz w:val="21"/>
          <w:szCs w:val="21"/>
          <w:highlight w:val="none"/>
        </w:rPr>
        <w:t>工程名称：</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rPr>
        <w:t xml:space="preserve"> </w:t>
      </w:r>
    </w:p>
    <w:tbl>
      <w:tblPr>
        <w:tblStyle w:val="18"/>
        <w:tblW w:w="98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50"/>
        <w:gridCol w:w="793"/>
        <w:gridCol w:w="792"/>
        <w:gridCol w:w="1447"/>
        <w:gridCol w:w="3672"/>
      </w:tblGrid>
      <w:tr w14:paraId="467F4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0836882F">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名   称</w:t>
            </w:r>
          </w:p>
        </w:tc>
        <w:tc>
          <w:tcPr>
            <w:tcW w:w="793" w:type="dxa"/>
            <w:tcBorders>
              <w:top w:val="single" w:color="auto" w:sz="4" w:space="0"/>
              <w:left w:val="single" w:color="auto" w:sz="4" w:space="0"/>
              <w:bottom w:val="single" w:color="auto" w:sz="4" w:space="0"/>
              <w:right w:val="single" w:color="auto" w:sz="4" w:space="0"/>
            </w:tcBorders>
            <w:vAlign w:val="center"/>
          </w:tcPr>
          <w:p w14:paraId="5F45DD0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姓名</w:t>
            </w:r>
          </w:p>
        </w:tc>
        <w:tc>
          <w:tcPr>
            <w:tcW w:w="792" w:type="dxa"/>
            <w:tcBorders>
              <w:top w:val="single" w:color="auto" w:sz="4" w:space="0"/>
              <w:left w:val="single" w:color="auto" w:sz="4" w:space="0"/>
              <w:bottom w:val="single" w:color="auto" w:sz="4" w:space="0"/>
              <w:right w:val="single" w:color="auto" w:sz="4" w:space="0"/>
            </w:tcBorders>
            <w:vAlign w:val="center"/>
          </w:tcPr>
          <w:p w14:paraId="7E48AC0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职务</w:t>
            </w:r>
          </w:p>
        </w:tc>
        <w:tc>
          <w:tcPr>
            <w:tcW w:w="1447" w:type="dxa"/>
            <w:tcBorders>
              <w:top w:val="single" w:color="auto" w:sz="4" w:space="0"/>
              <w:left w:val="single" w:color="auto" w:sz="4" w:space="0"/>
              <w:bottom w:val="single" w:color="auto" w:sz="4" w:space="0"/>
              <w:right w:val="single" w:color="auto" w:sz="4" w:space="0"/>
            </w:tcBorders>
            <w:vAlign w:val="center"/>
          </w:tcPr>
          <w:p w14:paraId="6153A86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资质/职称</w:t>
            </w:r>
          </w:p>
        </w:tc>
        <w:tc>
          <w:tcPr>
            <w:tcW w:w="3672" w:type="dxa"/>
            <w:tcBorders>
              <w:top w:val="single" w:color="auto" w:sz="4" w:space="0"/>
              <w:left w:val="single" w:color="auto" w:sz="4" w:space="0"/>
              <w:bottom w:val="single" w:color="auto" w:sz="4" w:space="0"/>
              <w:right w:val="single" w:color="auto" w:sz="4" w:space="0"/>
            </w:tcBorders>
            <w:vAlign w:val="center"/>
          </w:tcPr>
          <w:p w14:paraId="1CCE5A2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执业资格证号/上岗证号</w:t>
            </w:r>
          </w:p>
        </w:tc>
      </w:tr>
      <w:tr w14:paraId="46188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2ADA1ACC">
            <w:pPr>
              <w:widowControl/>
              <w:spacing w:line="300" w:lineRule="auto"/>
              <w:textAlignment w:val="baseline"/>
              <w:rPr>
                <w:rFonts w:hint="eastAsia" w:ascii="宋体" w:hAnsi="宋体" w:eastAsia="宋体" w:cs="宋体"/>
                <w:color w:val="auto"/>
                <w:sz w:val="21"/>
                <w:szCs w:val="21"/>
                <w:highlight w:val="none"/>
              </w:rPr>
            </w:pPr>
            <w:r>
              <w:rPr>
                <w:rFonts w:hint="eastAsia" w:ascii="宋体" w:hAnsi="宋体"/>
                <w:color w:val="auto"/>
                <w:szCs w:val="21"/>
                <w:highlight w:val="none"/>
              </w:rPr>
              <w:t>一、总部</w:t>
            </w:r>
          </w:p>
        </w:tc>
        <w:tc>
          <w:tcPr>
            <w:tcW w:w="793" w:type="dxa"/>
            <w:tcBorders>
              <w:top w:val="single" w:color="auto" w:sz="4" w:space="0"/>
              <w:left w:val="single" w:color="auto" w:sz="4" w:space="0"/>
              <w:bottom w:val="single" w:color="auto" w:sz="4" w:space="0"/>
              <w:right w:val="single" w:color="auto" w:sz="4" w:space="0"/>
            </w:tcBorders>
            <w:vAlign w:val="center"/>
          </w:tcPr>
          <w:p w14:paraId="25194EF0">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792" w:type="dxa"/>
            <w:tcBorders>
              <w:top w:val="single" w:color="auto" w:sz="4" w:space="0"/>
              <w:left w:val="single" w:color="auto" w:sz="4" w:space="0"/>
              <w:bottom w:val="single" w:color="auto" w:sz="4" w:space="0"/>
              <w:right w:val="single" w:color="auto" w:sz="4" w:space="0"/>
            </w:tcBorders>
            <w:vAlign w:val="center"/>
          </w:tcPr>
          <w:p w14:paraId="08EC81FA">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1447" w:type="dxa"/>
            <w:tcBorders>
              <w:top w:val="single" w:color="auto" w:sz="4" w:space="0"/>
              <w:left w:val="single" w:color="auto" w:sz="4" w:space="0"/>
              <w:bottom w:val="single" w:color="auto" w:sz="4" w:space="0"/>
              <w:right w:val="single" w:color="auto" w:sz="4" w:space="0"/>
            </w:tcBorders>
            <w:vAlign w:val="center"/>
          </w:tcPr>
          <w:p w14:paraId="44BF4521">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060A1999">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r>
      <w:tr w14:paraId="01432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2557D4F2">
            <w:pPr>
              <w:widowControl/>
              <w:spacing w:line="300" w:lineRule="auto"/>
              <w:textAlignment w:val="baseline"/>
              <w:rPr>
                <w:rFonts w:hint="eastAsia" w:ascii="宋体" w:hAnsi="宋体" w:eastAsia="宋体" w:cs="宋体"/>
                <w:color w:val="auto"/>
                <w:sz w:val="21"/>
                <w:szCs w:val="21"/>
                <w:highlight w:val="none"/>
              </w:rPr>
            </w:pPr>
            <w:r>
              <w:rPr>
                <w:rFonts w:hint="eastAsia" w:ascii="宋体" w:hAnsi="宋体"/>
                <w:color w:val="auto"/>
                <w:szCs w:val="21"/>
                <w:highlight w:val="none"/>
              </w:rPr>
              <w:t>1.项目主管</w:t>
            </w:r>
          </w:p>
        </w:tc>
        <w:tc>
          <w:tcPr>
            <w:tcW w:w="793" w:type="dxa"/>
            <w:tcBorders>
              <w:top w:val="single" w:color="auto" w:sz="4" w:space="0"/>
              <w:left w:val="single" w:color="auto" w:sz="4" w:space="0"/>
              <w:bottom w:val="single" w:color="auto" w:sz="4" w:space="0"/>
              <w:right w:val="single" w:color="auto" w:sz="4" w:space="0"/>
            </w:tcBorders>
            <w:vAlign w:val="center"/>
          </w:tcPr>
          <w:p w14:paraId="5DDACCCF">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792" w:type="dxa"/>
            <w:tcBorders>
              <w:top w:val="single" w:color="auto" w:sz="4" w:space="0"/>
              <w:left w:val="single" w:color="auto" w:sz="4" w:space="0"/>
              <w:bottom w:val="single" w:color="auto" w:sz="4" w:space="0"/>
              <w:right w:val="single" w:color="auto" w:sz="4" w:space="0"/>
            </w:tcBorders>
            <w:vAlign w:val="center"/>
          </w:tcPr>
          <w:p w14:paraId="6C1D10FA">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1447" w:type="dxa"/>
            <w:tcBorders>
              <w:top w:val="single" w:color="auto" w:sz="4" w:space="0"/>
              <w:left w:val="single" w:color="auto" w:sz="4" w:space="0"/>
              <w:bottom w:val="single" w:color="auto" w:sz="4" w:space="0"/>
              <w:right w:val="single" w:color="auto" w:sz="4" w:space="0"/>
            </w:tcBorders>
            <w:vAlign w:val="center"/>
          </w:tcPr>
          <w:p w14:paraId="68C3AB13">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7C92D509">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r>
      <w:tr w14:paraId="41E29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14F112E4">
            <w:pPr>
              <w:widowControl/>
              <w:spacing w:line="300" w:lineRule="auto"/>
              <w:textAlignment w:val="baseline"/>
              <w:rPr>
                <w:rFonts w:hint="eastAsia" w:ascii="宋体" w:hAnsi="宋体" w:eastAsia="宋体" w:cs="宋体"/>
                <w:color w:val="auto"/>
                <w:sz w:val="21"/>
                <w:szCs w:val="21"/>
                <w:highlight w:val="none"/>
              </w:rPr>
            </w:pPr>
            <w:r>
              <w:rPr>
                <w:rFonts w:hint="eastAsia" w:ascii="宋体" w:hAnsi="宋体"/>
                <w:color w:val="auto"/>
                <w:szCs w:val="21"/>
                <w:highlight w:val="none"/>
              </w:rPr>
              <w:t>2.其他人员</w:t>
            </w:r>
          </w:p>
        </w:tc>
        <w:tc>
          <w:tcPr>
            <w:tcW w:w="793" w:type="dxa"/>
            <w:tcBorders>
              <w:top w:val="single" w:color="auto" w:sz="4" w:space="0"/>
              <w:left w:val="single" w:color="auto" w:sz="4" w:space="0"/>
              <w:bottom w:val="single" w:color="auto" w:sz="4" w:space="0"/>
              <w:right w:val="single" w:color="auto" w:sz="4" w:space="0"/>
            </w:tcBorders>
            <w:vAlign w:val="center"/>
          </w:tcPr>
          <w:p w14:paraId="7D686A09">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792" w:type="dxa"/>
            <w:tcBorders>
              <w:top w:val="single" w:color="auto" w:sz="4" w:space="0"/>
              <w:left w:val="single" w:color="auto" w:sz="4" w:space="0"/>
              <w:bottom w:val="single" w:color="auto" w:sz="4" w:space="0"/>
              <w:right w:val="single" w:color="auto" w:sz="4" w:space="0"/>
            </w:tcBorders>
            <w:vAlign w:val="center"/>
          </w:tcPr>
          <w:p w14:paraId="76AD3819">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1447" w:type="dxa"/>
            <w:tcBorders>
              <w:top w:val="single" w:color="auto" w:sz="4" w:space="0"/>
              <w:left w:val="single" w:color="auto" w:sz="4" w:space="0"/>
              <w:bottom w:val="single" w:color="auto" w:sz="4" w:space="0"/>
              <w:right w:val="single" w:color="auto" w:sz="4" w:space="0"/>
            </w:tcBorders>
            <w:vAlign w:val="center"/>
          </w:tcPr>
          <w:p w14:paraId="6DB3B7AF">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46F99BE1">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r>
      <w:tr w14:paraId="6582D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7ACEE62C">
            <w:pPr>
              <w:widowControl/>
              <w:spacing w:line="300" w:lineRule="auto"/>
              <w:textAlignment w:val="baseline"/>
              <w:rPr>
                <w:rFonts w:hint="eastAsia" w:ascii="宋体" w:hAnsi="宋体" w:eastAsia="宋体" w:cs="宋体"/>
                <w:color w:val="auto"/>
                <w:sz w:val="21"/>
                <w:szCs w:val="21"/>
                <w:highlight w:val="none"/>
              </w:rPr>
            </w:pPr>
            <w:r>
              <w:rPr>
                <w:rFonts w:hint="eastAsia" w:ascii="宋体" w:hAnsi="宋体"/>
                <w:color w:val="auto"/>
                <w:szCs w:val="21"/>
                <w:highlight w:val="none"/>
              </w:rPr>
              <w:t>...</w:t>
            </w:r>
          </w:p>
        </w:tc>
        <w:tc>
          <w:tcPr>
            <w:tcW w:w="793" w:type="dxa"/>
            <w:tcBorders>
              <w:top w:val="single" w:color="auto" w:sz="4" w:space="0"/>
              <w:left w:val="single" w:color="auto" w:sz="4" w:space="0"/>
              <w:bottom w:val="single" w:color="auto" w:sz="4" w:space="0"/>
              <w:right w:val="single" w:color="auto" w:sz="4" w:space="0"/>
            </w:tcBorders>
            <w:vAlign w:val="center"/>
          </w:tcPr>
          <w:p w14:paraId="0E09C922">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792" w:type="dxa"/>
            <w:tcBorders>
              <w:top w:val="single" w:color="auto" w:sz="4" w:space="0"/>
              <w:left w:val="single" w:color="auto" w:sz="4" w:space="0"/>
              <w:bottom w:val="single" w:color="auto" w:sz="4" w:space="0"/>
              <w:right w:val="single" w:color="auto" w:sz="4" w:space="0"/>
            </w:tcBorders>
            <w:vAlign w:val="center"/>
          </w:tcPr>
          <w:p w14:paraId="4F8A0E39">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1447" w:type="dxa"/>
            <w:tcBorders>
              <w:top w:val="single" w:color="auto" w:sz="4" w:space="0"/>
              <w:left w:val="single" w:color="auto" w:sz="4" w:space="0"/>
              <w:bottom w:val="single" w:color="auto" w:sz="4" w:space="0"/>
              <w:right w:val="single" w:color="auto" w:sz="4" w:space="0"/>
            </w:tcBorders>
            <w:vAlign w:val="center"/>
          </w:tcPr>
          <w:p w14:paraId="6D3ABE23">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12AFA3C7">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r>
      <w:tr w14:paraId="71A07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7F534357">
            <w:pPr>
              <w:widowControl/>
              <w:spacing w:line="300" w:lineRule="auto"/>
              <w:textAlignment w:val="baseline"/>
              <w:rPr>
                <w:rFonts w:hint="eastAsia" w:ascii="宋体" w:hAnsi="宋体" w:eastAsia="宋体" w:cs="宋体"/>
                <w:color w:val="auto"/>
                <w:sz w:val="21"/>
                <w:szCs w:val="21"/>
                <w:highlight w:val="none"/>
              </w:rPr>
            </w:pPr>
            <w:r>
              <w:rPr>
                <w:rFonts w:hint="eastAsia" w:ascii="宋体" w:hAnsi="宋体"/>
                <w:color w:val="auto"/>
                <w:szCs w:val="21"/>
                <w:highlight w:val="none"/>
              </w:rPr>
              <w:t>二、现场</w:t>
            </w:r>
          </w:p>
        </w:tc>
        <w:tc>
          <w:tcPr>
            <w:tcW w:w="793" w:type="dxa"/>
            <w:tcBorders>
              <w:top w:val="single" w:color="auto" w:sz="4" w:space="0"/>
              <w:left w:val="single" w:color="auto" w:sz="4" w:space="0"/>
              <w:bottom w:val="single" w:color="auto" w:sz="4" w:space="0"/>
              <w:right w:val="single" w:color="auto" w:sz="4" w:space="0"/>
            </w:tcBorders>
            <w:vAlign w:val="center"/>
          </w:tcPr>
          <w:p w14:paraId="4DBD75BC">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792" w:type="dxa"/>
            <w:tcBorders>
              <w:top w:val="single" w:color="auto" w:sz="4" w:space="0"/>
              <w:left w:val="single" w:color="auto" w:sz="4" w:space="0"/>
              <w:bottom w:val="single" w:color="auto" w:sz="4" w:space="0"/>
              <w:right w:val="single" w:color="auto" w:sz="4" w:space="0"/>
            </w:tcBorders>
            <w:vAlign w:val="center"/>
          </w:tcPr>
          <w:p w14:paraId="40690E9B">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1447" w:type="dxa"/>
            <w:tcBorders>
              <w:top w:val="single" w:color="auto" w:sz="4" w:space="0"/>
              <w:left w:val="single" w:color="auto" w:sz="4" w:space="0"/>
              <w:bottom w:val="single" w:color="auto" w:sz="4" w:space="0"/>
              <w:right w:val="single" w:color="auto" w:sz="4" w:space="0"/>
            </w:tcBorders>
            <w:vAlign w:val="center"/>
          </w:tcPr>
          <w:p w14:paraId="7F639F16">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22FBF703">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r>
      <w:tr w14:paraId="17CB1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0F96BD8B">
            <w:pPr>
              <w:widowControl/>
              <w:spacing w:line="300" w:lineRule="auto"/>
              <w:textAlignment w:val="baseline"/>
              <w:rPr>
                <w:rFonts w:hint="eastAsia" w:ascii="宋体" w:hAnsi="宋体" w:eastAsia="宋体" w:cs="宋体"/>
                <w:color w:val="auto"/>
                <w:sz w:val="21"/>
                <w:szCs w:val="21"/>
                <w:highlight w:val="none"/>
                <w:lang w:eastAsia="zh-CN"/>
              </w:rPr>
            </w:pPr>
            <w:r>
              <w:rPr>
                <w:rFonts w:hint="eastAsia" w:ascii="宋体" w:hAnsi="宋体"/>
                <w:color w:val="auto"/>
                <w:szCs w:val="21"/>
                <w:highlight w:val="none"/>
              </w:rPr>
              <w:t>1.项目经理</w:t>
            </w:r>
          </w:p>
        </w:tc>
        <w:tc>
          <w:tcPr>
            <w:tcW w:w="793" w:type="dxa"/>
            <w:tcBorders>
              <w:top w:val="single" w:color="auto" w:sz="4" w:space="0"/>
              <w:left w:val="single" w:color="auto" w:sz="4" w:space="0"/>
              <w:bottom w:val="single" w:color="auto" w:sz="4" w:space="0"/>
              <w:right w:val="single" w:color="auto" w:sz="4" w:space="0"/>
            </w:tcBorders>
            <w:vAlign w:val="center"/>
          </w:tcPr>
          <w:p w14:paraId="1D33C03F">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792" w:type="dxa"/>
            <w:tcBorders>
              <w:top w:val="single" w:color="auto" w:sz="4" w:space="0"/>
              <w:left w:val="single" w:color="auto" w:sz="4" w:space="0"/>
              <w:bottom w:val="single" w:color="auto" w:sz="4" w:space="0"/>
              <w:right w:val="single" w:color="auto" w:sz="4" w:space="0"/>
            </w:tcBorders>
            <w:vAlign w:val="center"/>
          </w:tcPr>
          <w:p w14:paraId="74AD6F07">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1447" w:type="dxa"/>
            <w:tcBorders>
              <w:top w:val="single" w:color="auto" w:sz="4" w:space="0"/>
              <w:left w:val="single" w:color="auto" w:sz="4" w:space="0"/>
              <w:bottom w:val="single" w:color="auto" w:sz="4" w:space="0"/>
              <w:right w:val="single" w:color="auto" w:sz="4" w:space="0"/>
            </w:tcBorders>
            <w:vAlign w:val="center"/>
          </w:tcPr>
          <w:p w14:paraId="37BDE79B">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6D101FC2">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r>
      <w:tr w14:paraId="4130C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7E1C70F4">
            <w:pPr>
              <w:widowControl/>
              <w:spacing w:line="300" w:lineRule="auto"/>
              <w:textAlignment w:val="baseline"/>
              <w:rPr>
                <w:rFonts w:hint="eastAsia" w:ascii="宋体" w:hAnsi="宋体" w:eastAsia="宋体" w:cs="宋体"/>
                <w:color w:val="auto"/>
                <w:sz w:val="21"/>
                <w:szCs w:val="21"/>
                <w:highlight w:val="none"/>
              </w:rPr>
            </w:pPr>
            <w:r>
              <w:rPr>
                <w:rFonts w:hint="eastAsia" w:ascii="宋体" w:hAnsi="宋体"/>
                <w:color w:val="auto"/>
                <w:szCs w:val="21"/>
                <w:highlight w:val="none"/>
              </w:rPr>
              <w:t>2.项目副经理（如有）</w:t>
            </w:r>
          </w:p>
        </w:tc>
        <w:tc>
          <w:tcPr>
            <w:tcW w:w="793" w:type="dxa"/>
            <w:tcBorders>
              <w:top w:val="single" w:color="auto" w:sz="4" w:space="0"/>
              <w:left w:val="single" w:color="auto" w:sz="4" w:space="0"/>
              <w:bottom w:val="single" w:color="auto" w:sz="4" w:space="0"/>
              <w:right w:val="single" w:color="auto" w:sz="4" w:space="0"/>
            </w:tcBorders>
            <w:vAlign w:val="center"/>
          </w:tcPr>
          <w:p w14:paraId="0CAFA8FC">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792" w:type="dxa"/>
            <w:tcBorders>
              <w:top w:val="single" w:color="auto" w:sz="4" w:space="0"/>
              <w:left w:val="single" w:color="auto" w:sz="4" w:space="0"/>
              <w:bottom w:val="single" w:color="auto" w:sz="4" w:space="0"/>
              <w:right w:val="single" w:color="auto" w:sz="4" w:space="0"/>
            </w:tcBorders>
            <w:vAlign w:val="center"/>
          </w:tcPr>
          <w:p w14:paraId="526E6195">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1447" w:type="dxa"/>
            <w:tcBorders>
              <w:top w:val="single" w:color="auto" w:sz="4" w:space="0"/>
              <w:left w:val="single" w:color="auto" w:sz="4" w:space="0"/>
              <w:bottom w:val="single" w:color="auto" w:sz="4" w:space="0"/>
              <w:right w:val="single" w:color="auto" w:sz="4" w:space="0"/>
            </w:tcBorders>
            <w:vAlign w:val="center"/>
          </w:tcPr>
          <w:p w14:paraId="3032F292">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72E7892F">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r>
      <w:tr w14:paraId="01228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2A2DA738">
            <w:pPr>
              <w:widowControl/>
              <w:spacing w:line="300" w:lineRule="auto"/>
              <w:textAlignment w:val="baseline"/>
              <w:rPr>
                <w:rFonts w:hint="eastAsia" w:ascii="宋体" w:hAnsi="宋体" w:eastAsia="宋体" w:cs="宋体"/>
                <w:color w:val="auto"/>
                <w:sz w:val="21"/>
                <w:szCs w:val="21"/>
                <w:highlight w:val="none"/>
              </w:rPr>
            </w:pPr>
            <w:r>
              <w:rPr>
                <w:rFonts w:ascii="宋体" w:hAnsi="宋体"/>
                <w:color w:val="auto"/>
                <w:szCs w:val="21"/>
                <w:highlight w:val="none"/>
              </w:rPr>
              <w:t>……</w:t>
            </w:r>
          </w:p>
        </w:tc>
        <w:tc>
          <w:tcPr>
            <w:tcW w:w="793" w:type="dxa"/>
            <w:tcBorders>
              <w:top w:val="single" w:color="auto" w:sz="4" w:space="0"/>
              <w:left w:val="single" w:color="auto" w:sz="4" w:space="0"/>
              <w:bottom w:val="single" w:color="auto" w:sz="4" w:space="0"/>
              <w:right w:val="single" w:color="auto" w:sz="4" w:space="0"/>
            </w:tcBorders>
            <w:vAlign w:val="center"/>
          </w:tcPr>
          <w:p w14:paraId="54AE5C0D">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792" w:type="dxa"/>
            <w:tcBorders>
              <w:top w:val="single" w:color="auto" w:sz="4" w:space="0"/>
              <w:left w:val="single" w:color="auto" w:sz="4" w:space="0"/>
              <w:bottom w:val="single" w:color="auto" w:sz="4" w:space="0"/>
              <w:right w:val="single" w:color="auto" w:sz="4" w:space="0"/>
            </w:tcBorders>
            <w:vAlign w:val="center"/>
          </w:tcPr>
          <w:p w14:paraId="5010FBEA">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1447" w:type="dxa"/>
            <w:tcBorders>
              <w:top w:val="single" w:color="auto" w:sz="4" w:space="0"/>
              <w:left w:val="single" w:color="auto" w:sz="4" w:space="0"/>
              <w:bottom w:val="single" w:color="auto" w:sz="4" w:space="0"/>
              <w:right w:val="single" w:color="auto" w:sz="4" w:space="0"/>
            </w:tcBorders>
            <w:vAlign w:val="center"/>
          </w:tcPr>
          <w:p w14:paraId="70D0048E">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24250843">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r>
      <w:tr w14:paraId="67971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2474E7F6">
            <w:pPr>
              <w:widowControl/>
              <w:spacing w:line="300" w:lineRule="auto"/>
              <w:textAlignment w:val="baseline"/>
              <w:rPr>
                <w:rFonts w:hint="eastAsia" w:ascii="宋体" w:hAnsi="宋体" w:eastAsia="宋体" w:cs="宋体"/>
                <w:color w:val="auto"/>
                <w:sz w:val="21"/>
                <w:szCs w:val="21"/>
                <w:highlight w:val="none"/>
              </w:rPr>
            </w:pPr>
            <w:r>
              <w:rPr>
                <w:rFonts w:hint="eastAsia" w:ascii="宋体" w:hAnsi="宋体"/>
                <w:color w:val="auto"/>
                <w:szCs w:val="21"/>
                <w:highlight w:val="none"/>
              </w:rPr>
              <w:t>3.技术负责人</w:t>
            </w:r>
          </w:p>
        </w:tc>
        <w:tc>
          <w:tcPr>
            <w:tcW w:w="793" w:type="dxa"/>
            <w:tcBorders>
              <w:top w:val="single" w:color="auto" w:sz="4" w:space="0"/>
              <w:left w:val="single" w:color="auto" w:sz="4" w:space="0"/>
              <w:bottom w:val="single" w:color="auto" w:sz="4" w:space="0"/>
              <w:right w:val="single" w:color="auto" w:sz="4" w:space="0"/>
            </w:tcBorders>
            <w:vAlign w:val="center"/>
          </w:tcPr>
          <w:p w14:paraId="7F33D7B3">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792" w:type="dxa"/>
            <w:tcBorders>
              <w:top w:val="single" w:color="auto" w:sz="4" w:space="0"/>
              <w:left w:val="single" w:color="auto" w:sz="4" w:space="0"/>
              <w:bottom w:val="single" w:color="auto" w:sz="4" w:space="0"/>
              <w:right w:val="single" w:color="auto" w:sz="4" w:space="0"/>
            </w:tcBorders>
            <w:vAlign w:val="center"/>
          </w:tcPr>
          <w:p w14:paraId="61A74D1F">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1447" w:type="dxa"/>
            <w:tcBorders>
              <w:top w:val="single" w:color="auto" w:sz="4" w:space="0"/>
              <w:left w:val="single" w:color="auto" w:sz="4" w:space="0"/>
              <w:bottom w:val="single" w:color="auto" w:sz="4" w:space="0"/>
              <w:right w:val="single" w:color="auto" w:sz="4" w:space="0"/>
            </w:tcBorders>
            <w:vAlign w:val="center"/>
          </w:tcPr>
          <w:p w14:paraId="4628ADD2">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3849870C">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r>
      <w:tr w14:paraId="0873BA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58F0EB05">
            <w:pPr>
              <w:widowControl/>
              <w:spacing w:line="300" w:lineRule="auto"/>
              <w:textAlignment w:val="baseline"/>
              <w:rPr>
                <w:rFonts w:hint="eastAsia" w:ascii="宋体" w:hAnsi="宋体" w:eastAsia="宋体" w:cs="宋体"/>
                <w:color w:val="auto"/>
                <w:sz w:val="21"/>
                <w:szCs w:val="21"/>
                <w:highlight w:val="none"/>
              </w:rPr>
            </w:pPr>
            <w:r>
              <w:rPr>
                <w:rFonts w:hint="eastAsia" w:ascii="宋体" w:hAnsi="宋体"/>
                <w:color w:val="auto"/>
                <w:szCs w:val="21"/>
                <w:highlight w:val="none"/>
              </w:rPr>
              <w:t>4.施工员</w:t>
            </w:r>
          </w:p>
        </w:tc>
        <w:tc>
          <w:tcPr>
            <w:tcW w:w="793" w:type="dxa"/>
            <w:tcBorders>
              <w:top w:val="single" w:color="auto" w:sz="4" w:space="0"/>
              <w:left w:val="single" w:color="auto" w:sz="4" w:space="0"/>
              <w:bottom w:val="single" w:color="auto" w:sz="4" w:space="0"/>
              <w:right w:val="single" w:color="auto" w:sz="4" w:space="0"/>
            </w:tcBorders>
            <w:vAlign w:val="center"/>
          </w:tcPr>
          <w:p w14:paraId="5CF54CE2">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792" w:type="dxa"/>
            <w:tcBorders>
              <w:top w:val="single" w:color="auto" w:sz="4" w:space="0"/>
              <w:left w:val="single" w:color="auto" w:sz="4" w:space="0"/>
              <w:bottom w:val="single" w:color="auto" w:sz="4" w:space="0"/>
              <w:right w:val="single" w:color="auto" w:sz="4" w:space="0"/>
            </w:tcBorders>
            <w:vAlign w:val="center"/>
          </w:tcPr>
          <w:p w14:paraId="39D5274C">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1447" w:type="dxa"/>
            <w:tcBorders>
              <w:top w:val="single" w:color="auto" w:sz="4" w:space="0"/>
              <w:left w:val="single" w:color="auto" w:sz="4" w:space="0"/>
              <w:bottom w:val="single" w:color="auto" w:sz="4" w:space="0"/>
              <w:right w:val="single" w:color="auto" w:sz="4" w:space="0"/>
            </w:tcBorders>
            <w:vAlign w:val="center"/>
          </w:tcPr>
          <w:p w14:paraId="2BD10E42">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7FC0F63D">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r>
      <w:tr w14:paraId="2CD42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5FE6C35B">
            <w:pPr>
              <w:widowControl/>
              <w:spacing w:line="300" w:lineRule="auto"/>
              <w:textAlignment w:val="baseline"/>
              <w:rPr>
                <w:rFonts w:hint="eastAsia" w:ascii="宋体" w:hAnsi="宋体" w:eastAsia="宋体" w:cs="宋体"/>
                <w:color w:val="auto"/>
                <w:sz w:val="21"/>
                <w:szCs w:val="21"/>
                <w:highlight w:val="none"/>
              </w:rPr>
            </w:pPr>
            <w:r>
              <w:rPr>
                <w:rFonts w:ascii="宋体" w:hAnsi="宋体"/>
                <w:color w:val="auto"/>
                <w:szCs w:val="21"/>
                <w:highlight w:val="none"/>
              </w:rPr>
              <w:t>……</w:t>
            </w:r>
          </w:p>
        </w:tc>
        <w:tc>
          <w:tcPr>
            <w:tcW w:w="793" w:type="dxa"/>
            <w:tcBorders>
              <w:top w:val="single" w:color="auto" w:sz="4" w:space="0"/>
              <w:left w:val="single" w:color="auto" w:sz="4" w:space="0"/>
              <w:bottom w:val="single" w:color="auto" w:sz="4" w:space="0"/>
              <w:right w:val="single" w:color="auto" w:sz="4" w:space="0"/>
            </w:tcBorders>
            <w:vAlign w:val="center"/>
          </w:tcPr>
          <w:p w14:paraId="121E7735">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792" w:type="dxa"/>
            <w:tcBorders>
              <w:top w:val="single" w:color="auto" w:sz="4" w:space="0"/>
              <w:left w:val="single" w:color="auto" w:sz="4" w:space="0"/>
              <w:bottom w:val="single" w:color="auto" w:sz="4" w:space="0"/>
              <w:right w:val="single" w:color="auto" w:sz="4" w:space="0"/>
            </w:tcBorders>
            <w:vAlign w:val="center"/>
          </w:tcPr>
          <w:p w14:paraId="4F5E5091">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1447" w:type="dxa"/>
            <w:tcBorders>
              <w:top w:val="single" w:color="auto" w:sz="4" w:space="0"/>
              <w:left w:val="single" w:color="auto" w:sz="4" w:space="0"/>
              <w:bottom w:val="single" w:color="auto" w:sz="4" w:space="0"/>
              <w:right w:val="single" w:color="auto" w:sz="4" w:space="0"/>
            </w:tcBorders>
            <w:vAlign w:val="center"/>
          </w:tcPr>
          <w:p w14:paraId="5EEA3144">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70B0B5AF">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r>
      <w:tr w14:paraId="4089F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25321532">
            <w:pPr>
              <w:widowControl/>
              <w:spacing w:line="300" w:lineRule="auto"/>
              <w:textAlignment w:val="baseline"/>
              <w:rPr>
                <w:rFonts w:hint="eastAsia" w:ascii="宋体" w:hAnsi="宋体" w:eastAsia="宋体" w:cs="宋体"/>
                <w:color w:val="auto"/>
                <w:sz w:val="21"/>
                <w:szCs w:val="21"/>
                <w:highlight w:val="none"/>
              </w:rPr>
            </w:pPr>
            <w:r>
              <w:rPr>
                <w:rFonts w:hint="eastAsia" w:ascii="宋体" w:hAnsi="宋体"/>
                <w:color w:val="auto"/>
                <w:szCs w:val="21"/>
                <w:highlight w:val="none"/>
              </w:rPr>
              <w:t>5.质检员</w:t>
            </w:r>
          </w:p>
        </w:tc>
        <w:tc>
          <w:tcPr>
            <w:tcW w:w="793" w:type="dxa"/>
            <w:tcBorders>
              <w:top w:val="single" w:color="auto" w:sz="4" w:space="0"/>
              <w:left w:val="single" w:color="auto" w:sz="4" w:space="0"/>
              <w:bottom w:val="single" w:color="auto" w:sz="4" w:space="0"/>
              <w:right w:val="single" w:color="auto" w:sz="4" w:space="0"/>
            </w:tcBorders>
            <w:vAlign w:val="center"/>
          </w:tcPr>
          <w:p w14:paraId="0B2FF2F8">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792" w:type="dxa"/>
            <w:tcBorders>
              <w:top w:val="single" w:color="auto" w:sz="4" w:space="0"/>
              <w:left w:val="single" w:color="auto" w:sz="4" w:space="0"/>
              <w:bottom w:val="single" w:color="auto" w:sz="4" w:space="0"/>
              <w:right w:val="single" w:color="auto" w:sz="4" w:space="0"/>
            </w:tcBorders>
            <w:vAlign w:val="center"/>
          </w:tcPr>
          <w:p w14:paraId="3A5AB1CE">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1447" w:type="dxa"/>
            <w:tcBorders>
              <w:top w:val="single" w:color="auto" w:sz="4" w:space="0"/>
              <w:left w:val="single" w:color="auto" w:sz="4" w:space="0"/>
              <w:bottom w:val="single" w:color="auto" w:sz="4" w:space="0"/>
              <w:right w:val="single" w:color="auto" w:sz="4" w:space="0"/>
            </w:tcBorders>
            <w:vAlign w:val="center"/>
          </w:tcPr>
          <w:p w14:paraId="1C6F31AE">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1A064643">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r>
      <w:tr w14:paraId="7B1BC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5DB2B1FD">
            <w:pPr>
              <w:widowControl/>
              <w:spacing w:line="300" w:lineRule="auto"/>
              <w:textAlignment w:val="baseline"/>
              <w:rPr>
                <w:rFonts w:hint="eastAsia" w:ascii="宋体" w:hAnsi="宋体" w:eastAsia="宋体" w:cs="宋体"/>
                <w:color w:val="auto"/>
                <w:sz w:val="21"/>
                <w:szCs w:val="21"/>
                <w:highlight w:val="none"/>
                <w:lang w:val="en-US" w:eastAsia="zh-CN"/>
              </w:rPr>
            </w:pPr>
            <w:r>
              <w:rPr>
                <w:rFonts w:ascii="宋体" w:hAnsi="宋体"/>
                <w:color w:val="auto"/>
                <w:szCs w:val="21"/>
                <w:highlight w:val="none"/>
              </w:rPr>
              <w:t>……</w:t>
            </w:r>
          </w:p>
        </w:tc>
        <w:tc>
          <w:tcPr>
            <w:tcW w:w="793" w:type="dxa"/>
            <w:tcBorders>
              <w:top w:val="single" w:color="auto" w:sz="4" w:space="0"/>
              <w:left w:val="single" w:color="auto" w:sz="4" w:space="0"/>
              <w:bottom w:val="single" w:color="auto" w:sz="4" w:space="0"/>
              <w:right w:val="single" w:color="auto" w:sz="4" w:space="0"/>
            </w:tcBorders>
            <w:vAlign w:val="center"/>
          </w:tcPr>
          <w:p w14:paraId="1F47A75B">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792" w:type="dxa"/>
            <w:tcBorders>
              <w:top w:val="single" w:color="auto" w:sz="4" w:space="0"/>
              <w:left w:val="single" w:color="auto" w:sz="4" w:space="0"/>
              <w:bottom w:val="single" w:color="auto" w:sz="4" w:space="0"/>
              <w:right w:val="single" w:color="auto" w:sz="4" w:space="0"/>
            </w:tcBorders>
            <w:vAlign w:val="center"/>
          </w:tcPr>
          <w:p w14:paraId="6BDBB3A0">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1447" w:type="dxa"/>
            <w:tcBorders>
              <w:top w:val="single" w:color="auto" w:sz="4" w:space="0"/>
              <w:left w:val="single" w:color="auto" w:sz="4" w:space="0"/>
              <w:bottom w:val="single" w:color="auto" w:sz="4" w:space="0"/>
              <w:right w:val="single" w:color="auto" w:sz="4" w:space="0"/>
            </w:tcBorders>
            <w:vAlign w:val="center"/>
          </w:tcPr>
          <w:p w14:paraId="04DA15CF">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2A62C1F3">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r>
      <w:tr w14:paraId="2957E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4601374D">
            <w:pPr>
              <w:widowControl/>
              <w:spacing w:line="300" w:lineRule="auto"/>
              <w:textAlignment w:val="baseline"/>
              <w:rPr>
                <w:rFonts w:ascii="宋体" w:hAnsi="宋体"/>
                <w:color w:val="auto"/>
                <w:szCs w:val="21"/>
                <w:highlight w:val="none"/>
              </w:rPr>
            </w:pPr>
            <w:r>
              <w:rPr>
                <w:rFonts w:hint="eastAsia" w:ascii="宋体" w:hAnsi="宋体"/>
                <w:color w:val="auto"/>
                <w:szCs w:val="21"/>
                <w:highlight w:val="none"/>
              </w:rPr>
              <w:t>6.专职安全生产管理人员</w:t>
            </w:r>
          </w:p>
        </w:tc>
        <w:tc>
          <w:tcPr>
            <w:tcW w:w="793" w:type="dxa"/>
            <w:tcBorders>
              <w:top w:val="single" w:color="auto" w:sz="4" w:space="0"/>
              <w:left w:val="single" w:color="auto" w:sz="4" w:space="0"/>
              <w:bottom w:val="single" w:color="auto" w:sz="4" w:space="0"/>
              <w:right w:val="single" w:color="auto" w:sz="4" w:space="0"/>
            </w:tcBorders>
            <w:vAlign w:val="center"/>
          </w:tcPr>
          <w:p w14:paraId="57F1A57C">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792" w:type="dxa"/>
            <w:tcBorders>
              <w:top w:val="single" w:color="auto" w:sz="4" w:space="0"/>
              <w:left w:val="single" w:color="auto" w:sz="4" w:space="0"/>
              <w:bottom w:val="single" w:color="auto" w:sz="4" w:space="0"/>
              <w:right w:val="single" w:color="auto" w:sz="4" w:space="0"/>
            </w:tcBorders>
            <w:vAlign w:val="center"/>
          </w:tcPr>
          <w:p w14:paraId="4BBCF30B">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1447" w:type="dxa"/>
            <w:tcBorders>
              <w:top w:val="single" w:color="auto" w:sz="4" w:space="0"/>
              <w:left w:val="single" w:color="auto" w:sz="4" w:space="0"/>
              <w:bottom w:val="single" w:color="auto" w:sz="4" w:space="0"/>
              <w:right w:val="single" w:color="auto" w:sz="4" w:space="0"/>
            </w:tcBorders>
            <w:vAlign w:val="center"/>
          </w:tcPr>
          <w:p w14:paraId="34671E6E">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585A48BC">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r>
      <w:tr w14:paraId="41B47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56BBDDF4">
            <w:pPr>
              <w:widowControl/>
              <w:spacing w:line="300" w:lineRule="auto"/>
              <w:textAlignment w:val="baseline"/>
              <w:rPr>
                <w:rFonts w:ascii="宋体" w:hAnsi="宋体"/>
                <w:color w:val="auto"/>
                <w:szCs w:val="21"/>
                <w:highlight w:val="none"/>
              </w:rPr>
            </w:pPr>
            <w:r>
              <w:rPr>
                <w:rFonts w:ascii="宋体" w:hAnsi="宋体"/>
                <w:color w:val="auto"/>
                <w:szCs w:val="21"/>
                <w:highlight w:val="none"/>
              </w:rPr>
              <w:t>……</w:t>
            </w:r>
          </w:p>
        </w:tc>
        <w:tc>
          <w:tcPr>
            <w:tcW w:w="793" w:type="dxa"/>
            <w:tcBorders>
              <w:top w:val="single" w:color="auto" w:sz="4" w:space="0"/>
              <w:left w:val="single" w:color="auto" w:sz="4" w:space="0"/>
              <w:bottom w:val="single" w:color="auto" w:sz="4" w:space="0"/>
              <w:right w:val="single" w:color="auto" w:sz="4" w:space="0"/>
            </w:tcBorders>
            <w:vAlign w:val="center"/>
          </w:tcPr>
          <w:p w14:paraId="51719974">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792" w:type="dxa"/>
            <w:tcBorders>
              <w:top w:val="single" w:color="auto" w:sz="4" w:space="0"/>
              <w:left w:val="single" w:color="auto" w:sz="4" w:space="0"/>
              <w:bottom w:val="single" w:color="auto" w:sz="4" w:space="0"/>
              <w:right w:val="single" w:color="auto" w:sz="4" w:space="0"/>
            </w:tcBorders>
            <w:vAlign w:val="center"/>
          </w:tcPr>
          <w:p w14:paraId="428E8191">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1447" w:type="dxa"/>
            <w:tcBorders>
              <w:top w:val="single" w:color="auto" w:sz="4" w:space="0"/>
              <w:left w:val="single" w:color="auto" w:sz="4" w:space="0"/>
              <w:bottom w:val="single" w:color="auto" w:sz="4" w:space="0"/>
              <w:right w:val="single" w:color="auto" w:sz="4" w:space="0"/>
            </w:tcBorders>
            <w:vAlign w:val="center"/>
          </w:tcPr>
          <w:p w14:paraId="2ADB63F5">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2C03438D">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r>
      <w:tr w14:paraId="168CA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150" w:type="dxa"/>
            <w:tcBorders>
              <w:top w:val="single" w:color="auto" w:sz="4" w:space="0"/>
              <w:left w:val="single" w:color="auto" w:sz="4" w:space="0"/>
              <w:bottom w:val="single" w:color="auto" w:sz="4" w:space="0"/>
              <w:right w:val="single" w:color="auto" w:sz="4" w:space="0"/>
            </w:tcBorders>
            <w:vAlign w:val="center"/>
          </w:tcPr>
          <w:p w14:paraId="28A1CC33">
            <w:pPr>
              <w:widowControl/>
              <w:spacing w:line="300" w:lineRule="auto"/>
              <w:textAlignment w:val="baseline"/>
              <w:rPr>
                <w:rFonts w:ascii="宋体" w:hAnsi="宋体"/>
                <w:color w:val="auto"/>
                <w:szCs w:val="21"/>
                <w:highlight w:val="none"/>
              </w:rPr>
            </w:pPr>
          </w:p>
        </w:tc>
        <w:tc>
          <w:tcPr>
            <w:tcW w:w="793" w:type="dxa"/>
            <w:tcBorders>
              <w:top w:val="single" w:color="auto" w:sz="4" w:space="0"/>
              <w:left w:val="single" w:color="auto" w:sz="4" w:space="0"/>
              <w:bottom w:val="single" w:color="auto" w:sz="4" w:space="0"/>
              <w:right w:val="single" w:color="auto" w:sz="4" w:space="0"/>
            </w:tcBorders>
            <w:vAlign w:val="center"/>
          </w:tcPr>
          <w:p w14:paraId="181956C3">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792" w:type="dxa"/>
            <w:tcBorders>
              <w:top w:val="single" w:color="auto" w:sz="4" w:space="0"/>
              <w:left w:val="single" w:color="auto" w:sz="4" w:space="0"/>
              <w:bottom w:val="single" w:color="auto" w:sz="4" w:space="0"/>
              <w:right w:val="single" w:color="auto" w:sz="4" w:space="0"/>
            </w:tcBorders>
            <w:vAlign w:val="center"/>
          </w:tcPr>
          <w:p w14:paraId="60AA3B26">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1447" w:type="dxa"/>
            <w:tcBorders>
              <w:top w:val="single" w:color="auto" w:sz="4" w:space="0"/>
              <w:left w:val="single" w:color="auto" w:sz="4" w:space="0"/>
              <w:bottom w:val="single" w:color="auto" w:sz="4" w:space="0"/>
              <w:right w:val="single" w:color="auto" w:sz="4" w:space="0"/>
            </w:tcBorders>
            <w:vAlign w:val="center"/>
          </w:tcPr>
          <w:p w14:paraId="123BF8FB">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71B20A08">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highlight w:val="none"/>
              </w:rPr>
            </w:pPr>
          </w:p>
        </w:tc>
      </w:tr>
    </w:tbl>
    <w:p w14:paraId="107A850C">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eastAsia="宋体" w:cs="宋体"/>
          <w:color w:val="auto"/>
          <w:spacing w:val="-2"/>
          <w:kern w:val="0"/>
          <w:sz w:val="21"/>
          <w:szCs w:val="21"/>
          <w:highlight w:val="none"/>
        </w:rPr>
      </w:pPr>
      <w:r>
        <w:rPr>
          <w:rFonts w:hint="eastAsia" w:ascii="宋体" w:hAnsi="宋体" w:eastAsia="宋体" w:cs="宋体"/>
          <w:bCs/>
          <w:color w:val="auto"/>
          <w:spacing w:val="-2"/>
          <w:sz w:val="21"/>
          <w:szCs w:val="21"/>
          <w:highlight w:val="none"/>
        </w:rPr>
        <w:t>注：人员配备</w:t>
      </w:r>
      <w:r>
        <w:rPr>
          <w:rFonts w:hint="eastAsia" w:ascii="宋体" w:hAnsi="宋体" w:eastAsia="宋体" w:cs="宋体"/>
          <w:color w:val="auto"/>
          <w:spacing w:val="-2"/>
          <w:sz w:val="21"/>
          <w:szCs w:val="21"/>
          <w:highlight w:val="none"/>
        </w:rPr>
        <w:t>应按桂林市建设与规划委员会市建规〔2006〕270号文《关于调整建筑施工现场项目部管理的通知》的规定执行，须满足最低要求。</w:t>
      </w:r>
      <w:r>
        <w:rPr>
          <w:rFonts w:hint="eastAsia" w:ascii="宋体" w:hAnsi="宋体" w:eastAsia="宋体" w:cs="宋体"/>
          <w:color w:val="auto"/>
          <w:spacing w:val="-2"/>
          <w:kern w:val="0"/>
          <w:sz w:val="21"/>
          <w:szCs w:val="21"/>
          <w:highlight w:val="none"/>
        </w:rPr>
        <w:t>其中，</w:t>
      </w:r>
      <w:r>
        <w:rPr>
          <w:rFonts w:hint="eastAsia" w:ascii="宋体" w:hAnsi="宋体" w:eastAsia="宋体" w:cs="宋体"/>
          <w:color w:val="auto"/>
          <w:spacing w:val="-2"/>
          <w:kern w:val="0"/>
          <w:sz w:val="21"/>
          <w:szCs w:val="21"/>
          <w:highlight w:val="none"/>
          <w:lang w:eastAsia="zh-CN"/>
        </w:rPr>
        <w:t>项目经理</w:t>
      </w:r>
      <w:r>
        <w:rPr>
          <w:rFonts w:hint="eastAsia" w:ascii="宋体" w:hAnsi="宋体" w:eastAsia="宋体" w:cs="宋体"/>
          <w:color w:val="auto"/>
          <w:spacing w:val="-2"/>
          <w:kern w:val="0"/>
          <w:sz w:val="21"/>
          <w:szCs w:val="21"/>
          <w:highlight w:val="none"/>
        </w:rPr>
        <w:t>至少应附身份证复印件、</w:t>
      </w:r>
      <w:r>
        <w:rPr>
          <w:rFonts w:hint="eastAsia" w:ascii="宋体" w:hAnsi="宋体" w:eastAsia="宋体" w:cs="宋体"/>
          <w:color w:val="auto"/>
          <w:spacing w:val="-2"/>
          <w:kern w:val="0"/>
          <w:sz w:val="21"/>
          <w:szCs w:val="21"/>
          <w:highlight w:val="none"/>
          <w:lang w:val="en-US" w:eastAsia="zh-CN"/>
        </w:rPr>
        <w:t>建造师注册证书</w:t>
      </w:r>
      <w:r>
        <w:rPr>
          <w:rFonts w:hint="eastAsia" w:ascii="宋体" w:hAnsi="宋体" w:eastAsia="宋体" w:cs="宋体"/>
          <w:color w:val="auto"/>
          <w:spacing w:val="-2"/>
          <w:kern w:val="0"/>
          <w:sz w:val="21"/>
          <w:szCs w:val="21"/>
          <w:highlight w:val="none"/>
        </w:rPr>
        <w:t>复印件、安全生产考核合格证书（B类）复印件；技术负责人应附身份证复印件、职称证复印件；专职安全生产管理人员至少应附身份证复印件、专职安全员安全生产考核合格证书（C类）复印件；其他主要人员应附执业证或上岗证书复印件。</w:t>
      </w:r>
      <w:r>
        <w:rPr>
          <w:rFonts w:hint="eastAsia" w:ascii="宋体" w:hAnsi="宋体" w:eastAsia="宋体" w:cs="宋体"/>
          <w:color w:val="auto"/>
          <w:kern w:val="0"/>
          <w:sz w:val="21"/>
          <w:szCs w:val="21"/>
          <w:highlight w:val="none"/>
        </w:rPr>
        <w:t>同时还需提供社保部门出具</w:t>
      </w:r>
      <w:r>
        <w:rPr>
          <w:rFonts w:hint="eastAsia" w:ascii="宋体" w:hAnsi="宋体" w:eastAsia="宋体" w:cs="宋体"/>
          <w:color w:val="auto"/>
          <w:kern w:val="0"/>
          <w:sz w:val="21"/>
          <w:szCs w:val="21"/>
          <w:highlight w:val="none"/>
          <w:lang w:val="en-US" w:eastAsia="zh-CN"/>
        </w:rPr>
        <w:t>供应商</w:t>
      </w:r>
      <w:r>
        <w:rPr>
          <w:rFonts w:hint="eastAsia" w:ascii="宋体" w:hAnsi="宋体" w:eastAsia="宋体" w:cs="宋体"/>
          <w:color w:val="auto"/>
          <w:kern w:val="0"/>
          <w:sz w:val="21"/>
          <w:szCs w:val="21"/>
          <w:highlight w:val="none"/>
        </w:rPr>
        <w:t>为项目管理机构成员（包含项目经理、技术负责人、专职安全员、施工员、质检员）缴纳的响应文件递交截止时间前半年内任意连续三个月社保证明复印件。若为近期新聘员工的，以提供劳动合同证明材料复印件</w:t>
      </w:r>
      <w:r>
        <w:rPr>
          <w:rFonts w:hint="eastAsia" w:ascii="宋体" w:hAnsi="宋体" w:eastAsia="宋体" w:cs="宋体"/>
          <w:color w:val="auto"/>
          <w:kern w:val="0"/>
          <w:sz w:val="21"/>
          <w:szCs w:val="21"/>
          <w:highlight w:val="none"/>
          <w:lang w:eastAsia="zh-CN"/>
        </w:rPr>
        <w:t>，</w:t>
      </w:r>
      <w:r>
        <w:rPr>
          <w:rFonts w:hint="eastAsia" w:ascii="宋体" w:hAnsi="宋体" w:eastAsia="宋体" w:cs="宋体"/>
          <w:color w:val="auto"/>
          <w:kern w:val="0"/>
          <w:sz w:val="21"/>
          <w:szCs w:val="21"/>
          <w:highlight w:val="none"/>
        </w:rPr>
        <w:t>若</w:t>
      </w:r>
      <w:r>
        <w:rPr>
          <w:rFonts w:hint="eastAsia" w:ascii="宋体" w:hAnsi="宋体" w:eastAsia="宋体" w:cs="宋体"/>
          <w:color w:val="auto"/>
          <w:kern w:val="0"/>
          <w:sz w:val="21"/>
          <w:szCs w:val="21"/>
          <w:highlight w:val="none"/>
          <w:lang w:val="en-US" w:eastAsia="zh-CN"/>
        </w:rPr>
        <w:t>为退休员工则需提供退休证明及劳动合同</w:t>
      </w:r>
      <w:r>
        <w:rPr>
          <w:rFonts w:hint="eastAsia" w:ascii="宋体" w:hAnsi="宋体" w:eastAsia="宋体" w:cs="宋体"/>
          <w:color w:val="auto"/>
          <w:kern w:val="0"/>
          <w:sz w:val="21"/>
          <w:szCs w:val="21"/>
          <w:highlight w:val="none"/>
        </w:rPr>
        <w:t>为准</w:t>
      </w:r>
      <w:r>
        <w:rPr>
          <w:rFonts w:hint="eastAsia" w:ascii="宋体" w:hAnsi="宋体" w:eastAsia="宋体" w:cs="宋体"/>
          <w:color w:val="auto"/>
          <w:kern w:val="0"/>
          <w:sz w:val="21"/>
          <w:szCs w:val="21"/>
          <w:highlight w:val="none"/>
          <w:lang w:eastAsia="zh-CN"/>
        </w:rPr>
        <w:t>，</w:t>
      </w:r>
      <w:r>
        <w:rPr>
          <w:rFonts w:hint="eastAsia" w:ascii="宋体" w:hAnsi="宋体" w:eastAsia="宋体" w:cs="宋体"/>
          <w:color w:val="auto"/>
          <w:spacing w:val="-2"/>
          <w:kern w:val="0"/>
          <w:sz w:val="21"/>
          <w:szCs w:val="21"/>
          <w:highlight w:val="none"/>
        </w:rPr>
        <w:t>上述复印件均需加盖</w:t>
      </w:r>
      <w:r>
        <w:rPr>
          <w:rFonts w:hint="eastAsia" w:ascii="宋体" w:hAnsi="宋体" w:eastAsia="宋体" w:cs="宋体"/>
          <w:color w:val="auto"/>
          <w:spacing w:val="-2"/>
          <w:kern w:val="0"/>
          <w:sz w:val="21"/>
          <w:szCs w:val="21"/>
          <w:highlight w:val="none"/>
          <w:lang w:val="en-US" w:eastAsia="zh-CN"/>
        </w:rPr>
        <w:t>供应商</w:t>
      </w:r>
      <w:r>
        <w:rPr>
          <w:rFonts w:hint="eastAsia" w:ascii="宋体" w:hAnsi="宋体" w:eastAsia="宋体" w:cs="宋体"/>
          <w:color w:val="auto"/>
          <w:spacing w:val="-2"/>
          <w:kern w:val="0"/>
          <w:sz w:val="21"/>
          <w:szCs w:val="21"/>
          <w:highlight w:val="none"/>
        </w:rPr>
        <w:t>公章。</w:t>
      </w:r>
    </w:p>
    <w:p w14:paraId="50043E72">
      <w:pPr>
        <w:pStyle w:val="11"/>
        <w:spacing w:line="340" w:lineRule="exact"/>
        <w:jc w:val="center"/>
        <w:rPr>
          <w:rFonts w:hint="eastAsia" w:ascii="宋体" w:hAnsi="宋体" w:eastAsia="宋体" w:cs="宋体"/>
          <w:b/>
          <w:color w:val="auto"/>
          <w:sz w:val="21"/>
          <w:szCs w:val="21"/>
          <w:highlight w:val="none"/>
        </w:rPr>
      </w:pPr>
    </w:p>
    <w:p w14:paraId="352A1CDB">
      <w:pPr>
        <w:pStyle w:val="6"/>
        <w:rPr>
          <w:rFonts w:hint="eastAsia" w:ascii="宋体" w:hAnsi="宋体" w:eastAsia="宋体" w:cs="宋体"/>
          <w:color w:val="auto"/>
          <w:sz w:val="21"/>
          <w:szCs w:val="21"/>
          <w:highlight w:val="none"/>
        </w:rPr>
      </w:pPr>
    </w:p>
    <w:p w14:paraId="2757FE85">
      <w:pPr>
        <w:keepNext w:val="0"/>
        <w:keepLines w:val="0"/>
        <w:pageBreakBefore w:val="0"/>
        <w:widowControl w:val="0"/>
        <w:kinsoku/>
        <w:wordWrap/>
        <w:overflowPunct/>
        <w:topLinePunct w:val="0"/>
        <w:autoSpaceDE/>
        <w:autoSpaceDN/>
        <w:bidi w:val="0"/>
        <w:adjustRightInd/>
        <w:snapToGrid w:val="0"/>
        <w:spacing w:line="360" w:lineRule="auto"/>
        <w:ind w:firstLine="1890" w:firstLineChars="9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eastAsia="zh-CN"/>
        </w:rPr>
        <w:t>供应商</w:t>
      </w:r>
      <w:r>
        <w:rPr>
          <w:rFonts w:hint="eastAsia" w:ascii="宋体" w:hAnsi="宋体" w:eastAsia="宋体" w:cs="宋体"/>
          <w:color w:val="auto"/>
          <w:sz w:val="21"/>
          <w:szCs w:val="21"/>
          <w:highlight w:val="none"/>
          <w:lang w:val="en-US" w:eastAsia="zh-CN"/>
        </w:rPr>
        <w:t>[</w:t>
      </w:r>
      <w:r>
        <w:rPr>
          <w:rFonts w:hint="eastAsia" w:ascii="宋体" w:hAnsi="宋体" w:eastAsia="宋体" w:cs="宋体"/>
          <w:color w:val="auto"/>
          <w:sz w:val="21"/>
          <w:szCs w:val="21"/>
          <w:highlight w:val="none"/>
        </w:rPr>
        <w:t>公章</w:t>
      </w:r>
      <w:r>
        <w:rPr>
          <w:rFonts w:hint="eastAsia" w:ascii="宋体" w:hAnsi="宋体" w:eastAsia="宋体" w:cs="宋体"/>
          <w:color w:val="auto"/>
          <w:sz w:val="21"/>
          <w:szCs w:val="21"/>
          <w:highlight w:val="none"/>
          <w:lang w:val="en-US" w:eastAsia="zh-CN"/>
        </w:rPr>
        <w:t>(CA签章)</w:t>
      </w:r>
      <w:r>
        <w:rPr>
          <w:rFonts w:hint="eastAsia" w:ascii="宋体" w:hAnsi="宋体" w:eastAsia="宋体" w:cs="宋体"/>
          <w:color w:val="auto"/>
          <w:sz w:val="21"/>
          <w:szCs w:val="21"/>
          <w:highlight w:val="none"/>
        </w:rPr>
        <w:t>，自然人</w:t>
      </w:r>
      <w:r>
        <w:rPr>
          <w:rFonts w:hint="eastAsia" w:ascii="宋体" w:hAnsi="宋体" w:eastAsia="宋体" w:cs="宋体"/>
          <w:color w:val="auto"/>
          <w:sz w:val="21"/>
          <w:szCs w:val="21"/>
          <w:highlight w:val="none"/>
          <w:lang w:eastAsia="zh-CN"/>
        </w:rPr>
        <w:t>签字或个人</w:t>
      </w:r>
      <w:r>
        <w:rPr>
          <w:rFonts w:hint="eastAsia" w:ascii="宋体" w:hAnsi="宋体" w:eastAsia="宋体" w:cs="宋体"/>
          <w:color w:val="auto"/>
          <w:sz w:val="21"/>
          <w:szCs w:val="21"/>
          <w:highlight w:val="none"/>
          <w:lang w:val="en-US" w:eastAsia="zh-CN"/>
        </w:rPr>
        <w:t>CA签章]</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u w:val="single"/>
        </w:rPr>
        <w:t xml:space="preserve">               </w:t>
      </w:r>
    </w:p>
    <w:p w14:paraId="35FBDDF1">
      <w:pPr>
        <w:keepNext w:val="0"/>
        <w:keepLines w:val="0"/>
        <w:pageBreakBefore w:val="0"/>
        <w:widowControl w:val="0"/>
        <w:kinsoku/>
        <w:wordWrap/>
        <w:overflowPunct/>
        <w:topLinePunct w:val="0"/>
        <w:autoSpaceDE/>
        <w:autoSpaceDN/>
        <w:bidi w:val="0"/>
        <w:adjustRightInd/>
        <w:snapToGrid w:val="0"/>
        <w:spacing w:line="360" w:lineRule="auto"/>
        <w:ind w:firstLine="1890" w:firstLineChars="900"/>
        <w:textAlignment w:val="auto"/>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lang w:eastAsia="zh-CN"/>
        </w:rPr>
        <w:t>日</w:t>
      </w:r>
      <w:r>
        <w:rPr>
          <w:rFonts w:hint="eastAsia" w:ascii="宋体" w:hAnsi="宋体" w:eastAsia="宋体" w:cs="宋体"/>
          <w:color w:val="auto"/>
          <w:sz w:val="21"/>
          <w:szCs w:val="21"/>
          <w:highlight w:val="none"/>
          <w:lang w:val="en-US" w:eastAsia="zh-CN"/>
        </w:rPr>
        <w:t xml:space="preserve">    </w:t>
      </w:r>
      <w:r>
        <w:rPr>
          <w:rFonts w:hint="eastAsia" w:ascii="宋体" w:hAnsi="宋体" w:eastAsia="宋体" w:cs="宋体"/>
          <w:color w:val="auto"/>
          <w:sz w:val="21"/>
          <w:szCs w:val="21"/>
          <w:highlight w:val="none"/>
        </w:rPr>
        <w:t>期：</w:t>
      </w:r>
      <w:r>
        <w:rPr>
          <w:rFonts w:hint="eastAsia" w:ascii="宋体" w:hAnsi="宋体" w:eastAsia="宋体" w:cs="宋体"/>
          <w:color w:val="auto"/>
          <w:sz w:val="21"/>
          <w:szCs w:val="21"/>
          <w:highlight w:val="none"/>
          <w:u w:val="single"/>
        </w:rPr>
        <w:t xml:space="preserve">                            </w:t>
      </w:r>
    </w:p>
    <w:p w14:paraId="156CEA26">
      <w:pPr>
        <w:pStyle w:val="8"/>
        <w:rPr>
          <w:rFonts w:hint="eastAsia" w:ascii="宋体" w:hAnsi="宋体" w:eastAsia="宋体" w:cs="宋体"/>
          <w:color w:val="auto"/>
          <w:sz w:val="21"/>
          <w:szCs w:val="21"/>
          <w:highlight w:val="none"/>
          <w:u w:val="single"/>
        </w:rPr>
      </w:pPr>
    </w:p>
    <w:p w14:paraId="24C7E6C3">
      <w:pPr>
        <w:pStyle w:val="11"/>
        <w:numPr>
          <w:ilvl w:val="0"/>
          <w:numId w:val="0"/>
        </w:numPr>
        <w:spacing w:line="340" w:lineRule="exact"/>
        <w:ind w:left="0" w:firstLine="0"/>
        <w:rPr>
          <w:rFonts w:hint="eastAsia" w:ascii="宋体" w:hAnsi="宋体" w:eastAsia="宋体" w:cs="宋体"/>
          <w:b/>
          <w:color w:val="auto"/>
          <w:sz w:val="24"/>
          <w:szCs w:val="24"/>
          <w:highlight w:val="none"/>
          <w:lang w:val="en-US" w:eastAsia="zh-CN"/>
        </w:rPr>
      </w:pPr>
      <w:r>
        <w:rPr>
          <w:rFonts w:hint="eastAsia" w:hAnsi="宋体" w:cs="宋体"/>
          <w:b/>
          <w:color w:val="auto"/>
          <w:sz w:val="24"/>
          <w:szCs w:val="24"/>
          <w:highlight w:val="none"/>
          <w:lang w:val="en-US" w:eastAsia="zh-CN"/>
        </w:rPr>
        <w:t>4</w:t>
      </w:r>
      <w:r>
        <w:rPr>
          <w:rFonts w:hint="eastAsia" w:ascii="宋体" w:hAnsi="宋体" w:eastAsia="宋体" w:cs="宋体"/>
          <w:b/>
          <w:color w:val="auto"/>
          <w:sz w:val="24"/>
          <w:szCs w:val="24"/>
          <w:highlight w:val="none"/>
          <w:lang w:val="en-US" w:eastAsia="zh-CN"/>
        </w:rPr>
        <w:t>.施工组织设计（必须提供）；</w:t>
      </w:r>
    </w:p>
    <w:p w14:paraId="632DED8D">
      <w:pPr>
        <w:snapToGrid w:val="0"/>
        <w:spacing w:line="400" w:lineRule="exact"/>
        <w:jc w:val="center"/>
        <w:outlineLvl w:val="4"/>
        <w:rPr>
          <w:rFonts w:hint="eastAsia" w:ascii="宋体" w:hAnsi="宋体" w:eastAsia="宋体" w:cs="宋体"/>
          <w:b/>
          <w:color w:val="auto"/>
          <w:sz w:val="21"/>
          <w:szCs w:val="21"/>
          <w:highlight w:val="none"/>
          <w:lang w:val="en-US" w:eastAsia="zh-CN"/>
        </w:rPr>
      </w:pPr>
    </w:p>
    <w:p w14:paraId="4A8F9885">
      <w:pPr>
        <w:snapToGrid w:val="0"/>
        <w:spacing w:line="400" w:lineRule="exact"/>
        <w:jc w:val="center"/>
        <w:outlineLvl w:val="4"/>
        <w:rPr>
          <w:rFonts w:hint="eastAsia" w:ascii="宋体" w:hAnsi="宋体" w:eastAsia="宋体" w:cs="宋体"/>
          <w:b/>
          <w:color w:val="auto"/>
          <w:sz w:val="21"/>
          <w:szCs w:val="21"/>
          <w:highlight w:val="none"/>
        </w:rPr>
      </w:pPr>
    </w:p>
    <w:p w14:paraId="5C4BA7E6">
      <w:pPr>
        <w:snapToGrid w:val="0"/>
        <w:spacing w:line="400" w:lineRule="exact"/>
        <w:jc w:val="center"/>
        <w:outlineLvl w:val="4"/>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（根据工程量清单、评分办法及工程情况自行编制，格式自拟）（必须提供）</w:t>
      </w:r>
    </w:p>
    <w:p w14:paraId="608DDC2C">
      <w:pPr>
        <w:pStyle w:val="26"/>
        <w:rPr>
          <w:rFonts w:hint="eastAsia" w:ascii="宋体" w:hAnsi="宋体" w:eastAsia="宋体" w:cs="宋体"/>
          <w:color w:val="auto"/>
          <w:sz w:val="21"/>
          <w:szCs w:val="21"/>
          <w:highlight w:val="none"/>
        </w:rPr>
      </w:pPr>
    </w:p>
    <w:p w14:paraId="3A1BBD87">
      <w:pPr>
        <w:pStyle w:val="26"/>
        <w:rPr>
          <w:rFonts w:hint="eastAsia" w:ascii="宋体" w:hAnsi="宋体" w:eastAsia="宋体" w:cs="宋体"/>
          <w:color w:val="auto"/>
          <w:sz w:val="21"/>
          <w:szCs w:val="21"/>
          <w:highlight w:val="none"/>
        </w:rPr>
      </w:pPr>
    </w:p>
    <w:p w14:paraId="06DCB5EC">
      <w:pPr>
        <w:pStyle w:val="26"/>
        <w:rPr>
          <w:rFonts w:hint="eastAsia" w:ascii="宋体" w:hAnsi="宋体" w:eastAsia="宋体" w:cs="宋体"/>
          <w:color w:val="auto"/>
          <w:sz w:val="21"/>
          <w:szCs w:val="21"/>
          <w:highlight w:val="none"/>
        </w:rPr>
      </w:pPr>
    </w:p>
    <w:p w14:paraId="23D24C61">
      <w:pPr>
        <w:pStyle w:val="6"/>
        <w:widowControl w:val="0"/>
        <w:numPr>
          <w:ilvl w:val="0"/>
          <w:numId w:val="0"/>
        </w:numPr>
        <w:jc w:val="both"/>
        <w:rPr>
          <w:rFonts w:hint="eastAsia" w:ascii="宋体" w:hAnsi="宋体" w:eastAsia="宋体" w:cs="宋体"/>
          <w:color w:val="auto"/>
          <w:sz w:val="21"/>
          <w:szCs w:val="21"/>
          <w:highlight w:val="none"/>
        </w:rPr>
      </w:pPr>
    </w:p>
    <w:p w14:paraId="434A58C6">
      <w:pPr>
        <w:spacing w:line="340" w:lineRule="exact"/>
        <w:ind w:firstLine="3150" w:firstLineChars="1500"/>
        <w:rPr>
          <w:rFonts w:hint="eastAsia" w:ascii="宋体" w:hAnsi="宋体"/>
          <w:color w:val="auto"/>
          <w:sz w:val="21"/>
          <w:szCs w:val="21"/>
          <w:highlight w:val="none"/>
        </w:rPr>
      </w:pPr>
      <w:r>
        <w:rPr>
          <w:rFonts w:hint="eastAsia" w:ascii="宋体" w:hAnsi="宋体"/>
          <w:bCs/>
          <w:color w:val="auto"/>
          <w:sz w:val="21"/>
          <w:szCs w:val="21"/>
          <w:highlight w:val="none"/>
        </w:rPr>
        <w:t>供应商[公章(CA签章)]</w:t>
      </w:r>
      <w:r>
        <w:rPr>
          <w:rFonts w:hint="eastAsia" w:ascii="宋体" w:hAnsi="宋体"/>
          <w:color w:val="auto"/>
          <w:sz w:val="21"/>
          <w:szCs w:val="21"/>
          <w:highlight w:val="none"/>
        </w:rPr>
        <w:t>：</w:t>
      </w:r>
      <w:r>
        <w:rPr>
          <w:rFonts w:hint="eastAsia" w:ascii="宋体" w:hAnsi="宋体"/>
          <w:color w:val="auto"/>
          <w:sz w:val="21"/>
          <w:szCs w:val="21"/>
          <w:highlight w:val="none"/>
          <w:u w:val="single"/>
        </w:rPr>
        <w:t xml:space="preserve">          </w:t>
      </w:r>
    </w:p>
    <w:p w14:paraId="17C7BFAD">
      <w:pPr>
        <w:spacing w:line="340" w:lineRule="exact"/>
        <w:ind w:firstLine="3150" w:firstLineChars="1500"/>
        <w:rPr>
          <w:rFonts w:hint="eastAsia" w:ascii="宋体" w:hAnsi="宋体"/>
          <w:color w:val="auto"/>
          <w:sz w:val="21"/>
          <w:szCs w:val="21"/>
          <w:highlight w:val="none"/>
        </w:rPr>
      </w:pPr>
      <w:r>
        <w:rPr>
          <w:rFonts w:hint="eastAsia" w:ascii="宋体" w:hAnsi="宋体"/>
          <w:color w:val="auto"/>
          <w:sz w:val="21"/>
          <w:szCs w:val="21"/>
          <w:highlight w:val="none"/>
        </w:rPr>
        <w:t>法定代表人或相应的委托代理人签字[或盖章(CA签章)]：</w:t>
      </w:r>
      <w:r>
        <w:rPr>
          <w:rFonts w:hint="eastAsia" w:ascii="宋体" w:hAnsi="宋体"/>
          <w:color w:val="auto"/>
          <w:sz w:val="21"/>
          <w:szCs w:val="21"/>
          <w:highlight w:val="none"/>
          <w:u w:val="single"/>
        </w:rPr>
        <w:t xml:space="preserve">         </w:t>
      </w:r>
    </w:p>
    <w:p w14:paraId="52EDA889">
      <w:pPr>
        <w:spacing w:line="400" w:lineRule="exact"/>
        <w:ind w:firstLine="3150" w:firstLineChars="1500"/>
        <w:rPr>
          <w:rFonts w:hint="eastAsia" w:ascii="宋体" w:hAnsi="宋体" w:cs="宋体"/>
          <w:bCs/>
          <w:color w:val="auto"/>
          <w:sz w:val="21"/>
          <w:szCs w:val="21"/>
          <w:highlight w:val="none"/>
        </w:rPr>
      </w:pPr>
      <w:r>
        <w:rPr>
          <w:rFonts w:hint="eastAsia" w:ascii="宋体" w:hAnsi="Courier New"/>
          <w:color w:val="auto"/>
          <w:sz w:val="21"/>
          <w:szCs w:val="21"/>
          <w:highlight w:val="none"/>
        </w:rPr>
        <w:t>日期：</w:t>
      </w:r>
      <w:r>
        <w:rPr>
          <w:rFonts w:hint="eastAsia" w:ascii="宋体" w:hAnsi="Courier New"/>
          <w:color w:val="auto"/>
          <w:sz w:val="21"/>
          <w:szCs w:val="21"/>
          <w:highlight w:val="none"/>
          <w:u w:val="single"/>
        </w:rPr>
        <w:t xml:space="preserve">                       </w:t>
      </w:r>
    </w:p>
    <w:p w14:paraId="145F1576">
      <w:pPr>
        <w:pStyle w:val="3"/>
        <w:rPr>
          <w:rFonts w:hint="eastAsia" w:ascii="宋体" w:hAnsi="宋体" w:eastAsia="宋体" w:cs="宋体"/>
          <w:color w:val="auto"/>
          <w:sz w:val="21"/>
          <w:szCs w:val="21"/>
          <w:highlight w:val="none"/>
        </w:rPr>
      </w:pPr>
    </w:p>
    <w:p w14:paraId="415EBBAF">
      <w:pPr>
        <w:rPr>
          <w:rFonts w:hint="eastAsia" w:ascii="宋体" w:hAnsi="宋体" w:eastAsia="宋体" w:cs="宋体"/>
          <w:color w:val="auto"/>
          <w:sz w:val="21"/>
          <w:szCs w:val="21"/>
          <w:highlight w:val="none"/>
        </w:rPr>
      </w:pPr>
    </w:p>
    <w:p w14:paraId="282DE818">
      <w:pPr>
        <w:pStyle w:val="11"/>
        <w:numPr>
          <w:ilvl w:val="0"/>
          <w:numId w:val="0"/>
        </w:numPr>
        <w:spacing w:line="340" w:lineRule="exact"/>
        <w:rPr>
          <w:rFonts w:hint="eastAsia" w:ascii="宋体" w:hAnsi="宋体" w:eastAsia="宋体" w:cs="宋体"/>
          <w:b/>
          <w:color w:val="auto"/>
          <w:sz w:val="21"/>
          <w:szCs w:val="21"/>
          <w:highlight w:val="none"/>
          <w:lang w:val="en-US" w:eastAsia="zh-CN"/>
        </w:rPr>
      </w:pPr>
    </w:p>
    <w:p w14:paraId="5C8512F3">
      <w:pPr>
        <w:pStyle w:val="5"/>
        <w:rPr>
          <w:rFonts w:hint="eastAsia" w:ascii="宋体" w:hAnsi="宋体" w:eastAsia="宋体" w:cs="宋体"/>
          <w:b/>
          <w:color w:val="auto"/>
          <w:sz w:val="21"/>
          <w:szCs w:val="21"/>
          <w:highlight w:val="none"/>
          <w:lang w:val="en-US" w:eastAsia="zh-CN"/>
        </w:rPr>
      </w:pPr>
    </w:p>
    <w:p w14:paraId="35C6DBF4">
      <w:pPr>
        <w:rPr>
          <w:rFonts w:hint="eastAsia" w:ascii="宋体" w:hAnsi="宋体" w:eastAsia="宋体" w:cs="宋体"/>
          <w:b/>
          <w:color w:val="auto"/>
          <w:sz w:val="21"/>
          <w:szCs w:val="21"/>
          <w:highlight w:val="none"/>
          <w:lang w:val="en-US" w:eastAsia="zh-CN"/>
        </w:rPr>
      </w:pPr>
    </w:p>
    <w:p w14:paraId="5C7479B8">
      <w:pPr>
        <w:pStyle w:val="8"/>
        <w:rPr>
          <w:rFonts w:hint="eastAsia" w:ascii="宋体" w:hAnsi="宋体" w:eastAsia="宋体" w:cs="宋体"/>
          <w:b/>
          <w:color w:val="auto"/>
          <w:sz w:val="21"/>
          <w:szCs w:val="21"/>
          <w:highlight w:val="none"/>
          <w:lang w:val="en-US" w:eastAsia="zh-CN"/>
        </w:rPr>
      </w:pPr>
    </w:p>
    <w:p w14:paraId="62D66562">
      <w:pPr>
        <w:rPr>
          <w:rFonts w:hint="eastAsia" w:ascii="宋体" w:hAnsi="宋体" w:eastAsia="宋体" w:cs="宋体"/>
          <w:b/>
          <w:color w:val="auto"/>
          <w:sz w:val="21"/>
          <w:szCs w:val="21"/>
          <w:highlight w:val="none"/>
          <w:lang w:val="en-US" w:eastAsia="zh-CN"/>
        </w:rPr>
      </w:pPr>
    </w:p>
    <w:p w14:paraId="4DB3CFDF">
      <w:pPr>
        <w:rPr>
          <w:rFonts w:hint="eastAsia" w:ascii="宋体" w:hAnsi="宋体" w:eastAsia="宋体" w:cs="宋体"/>
          <w:b/>
          <w:color w:val="auto"/>
          <w:sz w:val="21"/>
          <w:szCs w:val="21"/>
          <w:highlight w:val="none"/>
          <w:lang w:val="en-US" w:eastAsia="zh-CN"/>
        </w:rPr>
      </w:pPr>
    </w:p>
    <w:p w14:paraId="22D13BC8">
      <w:pPr>
        <w:rPr>
          <w:rFonts w:hint="eastAsia" w:ascii="宋体" w:hAnsi="宋体" w:eastAsia="宋体" w:cs="宋体"/>
          <w:b/>
          <w:color w:val="auto"/>
          <w:sz w:val="21"/>
          <w:szCs w:val="21"/>
          <w:highlight w:val="none"/>
          <w:lang w:val="en-US" w:eastAsia="zh-CN"/>
        </w:rPr>
      </w:pPr>
    </w:p>
    <w:p w14:paraId="27ECD336">
      <w:pPr>
        <w:rPr>
          <w:rFonts w:hint="eastAsia" w:ascii="宋体" w:hAnsi="宋体" w:eastAsia="宋体" w:cs="宋体"/>
          <w:b/>
          <w:color w:val="auto"/>
          <w:sz w:val="21"/>
          <w:szCs w:val="21"/>
          <w:highlight w:val="none"/>
          <w:lang w:val="en-US" w:eastAsia="zh-CN"/>
        </w:rPr>
      </w:pPr>
    </w:p>
    <w:p w14:paraId="53E19E74">
      <w:pPr>
        <w:rPr>
          <w:rFonts w:hint="eastAsia" w:ascii="宋体" w:hAnsi="宋体" w:eastAsia="宋体" w:cs="宋体"/>
          <w:b/>
          <w:color w:val="auto"/>
          <w:sz w:val="21"/>
          <w:szCs w:val="21"/>
          <w:highlight w:val="none"/>
          <w:lang w:val="en-US" w:eastAsia="zh-CN"/>
        </w:rPr>
      </w:pPr>
    </w:p>
    <w:p w14:paraId="0BC87292">
      <w:pPr>
        <w:rPr>
          <w:rFonts w:hint="eastAsia" w:ascii="宋体" w:hAnsi="宋体" w:eastAsia="宋体" w:cs="宋体"/>
          <w:b/>
          <w:color w:val="auto"/>
          <w:sz w:val="21"/>
          <w:szCs w:val="21"/>
          <w:highlight w:val="none"/>
          <w:lang w:val="en-US" w:eastAsia="zh-CN"/>
        </w:rPr>
      </w:pPr>
    </w:p>
    <w:p w14:paraId="354956B1">
      <w:pPr>
        <w:rPr>
          <w:rFonts w:hint="eastAsia" w:ascii="宋体" w:hAnsi="宋体" w:eastAsia="宋体" w:cs="宋体"/>
          <w:b/>
          <w:color w:val="auto"/>
          <w:sz w:val="21"/>
          <w:szCs w:val="21"/>
          <w:highlight w:val="none"/>
          <w:lang w:val="en-US" w:eastAsia="zh-CN"/>
        </w:rPr>
      </w:pPr>
    </w:p>
    <w:p w14:paraId="0B9B718B">
      <w:pPr>
        <w:rPr>
          <w:rFonts w:hint="eastAsia" w:ascii="宋体" w:hAnsi="宋体" w:eastAsia="宋体" w:cs="宋体"/>
          <w:b/>
          <w:color w:val="auto"/>
          <w:sz w:val="21"/>
          <w:szCs w:val="21"/>
          <w:highlight w:val="none"/>
          <w:lang w:val="en-US" w:eastAsia="zh-CN"/>
        </w:rPr>
      </w:pPr>
    </w:p>
    <w:p w14:paraId="365336E4">
      <w:pPr>
        <w:rPr>
          <w:rFonts w:hint="eastAsia" w:ascii="宋体" w:hAnsi="宋体" w:eastAsia="宋体" w:cs="宋体"/>
          <w:b/>
          <w:color w:val="auto"/>
          <w:sz w:val="21"/>
          <w:szCs w:val="21"/>
          <w:highlight w:val="none"/>
          <w:lang w:val="en-US" w:eastAsia="zh-CN"/>
        </w:rPr>
      </w:pPr>
    </w:p>
    <w:p w14:paraId="30A70565">
      <w:pPr>
        <w:rPr>
          <w:rFonts w:hint="eastAsia" w:ascii="宋体" w:hAnsi="宋体" w:eastAsia="宋体" w:cs="宋体"/>
          <w:b/>
          <w:color w:val="auto"/>
          <w:sz w:val="21"/>
          <w:szCs w:val="21"/>
          <w:highlight w:val="none"/>
          <w:lang w:val="en-US" w:eastAsia="zh-CN"/>
        </w:rPr>
      </w:pPr>
    </w:p>
    <w:p w14:paraId="6D9FD3B3">
      <w:pPr>
        <w:rPr>
          <w:rFonts w:hint="eastAsia" w:ascii="宋体" w:hAnsi="宋体" w:eastAsia="宋体" w:cs="宋体"/>
          <w:b/>
          <w:color w:val="auto"/>
          <w:sz w:val="21"/>
          <w:szCs w:val="21"/>
          <w:highlight w:val="none"/>
          <w:lang w:val="en-US" w:eastAsia="zh-CN"/>
        </w:rPr>
      </w:pPr>
    </w:p>
    <w:p w14:paraId="4EC3D213">
      <w:pPr>
        <w:rPr>
          <w:rFonts w:hint="eastAsia" w:ascii="宋体" w:hAnsi="宋体" w:eastAsia="宋体" w:cs="宋体"/>
          <w:b/>
          <w:color w:val="auto"/>
          <w:sz w:val="21"/>
          <w:szCs w:val="21"/>
          <w:highlight w:val="none"/>
          <w:lang w:val="en-US" w:eastAsia="zh-CN"/>
        </w:rPr>
      </w:pPr>
    </w:p>
    <w:p w14:paraId="76C93F15">
      <w:pPr>
        <w:pStyle w:val="3"/>
        <w:numPr>
          <w:ilvl w:val="0"/>
          <w:numId w:val="0"/>
        </w:numPr>
        <w:rPr>
          <w:rFonts w:hint="eastAsia" w:ascii="宋体" w:hAnsi="宋体" w:eastAsia="宋体" w:cs="宋体"/>
          <w:b/>
          <w:color w:val="auto"/>
          <w:sz w:val="24"/>
          <w:szCs w:val="24"/>
          <w:highlight w:val="none"/>
          <w:lang w:val="en-US" w:eastAsia="zh-CN"/>
        </w:rPr>
      </w:pPr>
      <w:r>
        <w:rPr>
          <w:rFonts w:hint="eastAsia" w:ascii="宋体" w:hAnsi="宋体" w:cs="宋体"/>
          <w:b/>
          <w:color w:val="auto"/>
          <w:sz w:val="24"/>
          <w:szCs w:val="24"/>
          <w:highlight w:val="none"/>
          <w:lang w:val="en-US" w:eastAsia="zh-CN"/>
        </w:rPr>
        <w:t>5</w:t>
      </w:r>
      <w:r>
        <w:rPr>
          <w:rFonts w:hint="eastAsia" w:ascii="宋体" w:hAnsi="宋体" w:eastAsia="宋体" w:cs="宋体"/>
          <w:b/>
          <w:color w:val="auto"/>
          <w:sz w:val="24"/>
          <w:szCs w:val="24"/>
          <w:highlight w:val="none"/>
          <w:lang w:val="en-US" w:eastAsia="zh-CN"/>
        </w:rPr>
        <w:t>.城乡清洁工程渣土清运承诺书（必须提供）</w:t>
      </w:r>
      <w:r>
        <w:rPr>
          <w:rFonts w:hint="eastAsia" w:ascii="宋体" w:hAnsi="宋体" w:cs="宋体"/>
          <w:b/>
          <w:color w:val="auto"/>
          <w:sz w:val="24"/>
          <w:szCs w:val="24"/>
          <w:highlight w:val="none"/>
          <w:lang w:val="en-US" w:eastAsia="zh-CN"/>
        </w:rPr>
        <w:t>；</w:t>
      </w:r>
    </w:p>
    <w:p w14:paraId="4E37EF6E">
      <w:pPr>
        <w:rPr>
          <w:rFonts w:hint="eastAsia" w:ascii="宋体" w:hAnsi="宋体" w:eastAsia="宋体" w:cs="宋体"/>
          <w:b/>
          <w:color w:val="auto"/>
          <w:sz w:val="21"/>
          <w:szCs w:val="21"/>
          <w:highlight w:val="none"/>
          <w:lang w:val="en-US" w:eastAsia="zh-CN"/>
        </w:rPr>
      </w:pPr>
    </w:p>
    <w:p w14:paraId="2BDE496A">
      <w:pPr>
        <w:rPr>
          <w:rFonts w:hint="eastAsia" w:ascii="宋体" w:hAnsi="宋体" w:eastAsia="宋体" w:cs="宋体"/>
          <w:b/>
          <w:color w:val="auto"/>
          <w:sz w:val="21"/>
          <w:szCs w:val="21"/>
          <w:highlight w:val="none"/>
          <w:lang w:val="en-US" w:eastAsia="zh-CN"/>
        </w:rPr>
      </w:pPr>
    </w:p>
    <w:p w14:paraId="3C3CD7BA">
      <w:pPr>
        <w:rPr>
          <w:rFonts w:hint="eastAsia" w:ascii="宋体" w:hAnsi="宋体" w:eastAsia="宋体" w:cs="宋体"/>
          <w:b/>
          <w:color w:val="auto"/>
          <w:sz w:val="21"/>
          <w:szCs w:val="21"/>
          <w:highlight w:val="none"/>
          <w:lang w:val="en-US" w:eastAsia="zh-CN"/>
        </w:rPr>
      </w:pPr>
    </w:p>
    <w:p w14:paraId="3C0DFE76">
      <w:pPr>
        <w:rPr>
          <w:rFonts w:hint="eastAsia" w:ascii="宋体" w:hAnsi="宋体" w:eastAsia="宋体" w:cs="宋体"/>
          <w:b/>
          <w:color w:val="auto"/>
          <w:sz w:val="21"/>
          <w:szCs w:val="21"/>
          <w:highlight w:val="none"/>
          <w:lang w:val="en-US" w:eastAsia="zh-CN"/>
        </w:rPr>
      </w:pPr>
    </w:p>
    <w:p w14:paraId="3391AED7">
      <w:pPr>
        <w:rPr>
          <w:rFonts w:hint="eastAsia" w:ascii="宋体" w:hAnsi="宋体" w:eastAsia="宋体" w:cs="宋体"/>
          <w:b/>
          <w:color w:val="auto"/>
          <w:sz w:val="21"/>
          <w:szCs w:val="21"/>
          <w:highlight w:val="none"/>
          <w:lang w:val="en-US" w:eastAsia="zh-CN"/>
        </w:rPr>
      </w:pPr>
    </w:p>
    <w:p w14:paraId="6C351435">
      <w:pPr>
        <w:rPr>
          <w:rFonts w:hint="eastAsia" w:ascii="宋体" w:hAnsi="宋体" w:eastAsia="宋体" w:cs="宋体"/>
          <w:b/>
          <w:color w:val="auto"/>
          <w:sz w:val="21"/>
          <w:szCs w:val="21"/>
          <w:highlight w:val="none"/>
          <w:lang w:val="en-US" w:eastAsia="zh-CN"/>
        </w:rPr>
      </w:pPr>
    </w:p>
    <w:p w14:paraId="524BB30C">
      <w:pPr>
        <w:rPr>
          <w:rFonts w:hint="eastAsia" w:ascii="宋体" w:hAnsi="宋体" w:eastAsia="宋体" w:cs="宋体"/>
          <w:b/>
          <w:color w:val="auto"/>
          <w:sz w:val="21"/>
          <w:szCs w:val="21"/>
          <w:highlight w:val="none"/>
          <w:lang w:val="en-US" w:eastAsia="zh-CN"/>
        </w:rPr>
      </w:pPr>
    </w:p>
    <w:p w14:paraId="0ECEB5A6">
      <w:pPr>
        <w:rPr>
          <w:rFonts w:hint="eastAsia" w:ascii="宋体" w:hAnsi="宋体" w:eastAsia="宋体" w:cs="宋体"/>
          <w:b/>
          <w:color w:val="auto"/>
          <w:sz w:val="21"/>
          <w:szCs w:val="21"/>
          <w:highlight w:val="none"/>
          <w:lang w:val="en-US" w:eastAsia="zh-CN"/>
        </w:rPr>
      </w:pPr>
    </w:p>
    <w:p w14:paraId="38C6499F">
      <w:pPr>
        <w:rPr>
          <w:rFonts w:hint="eastAsia" w:ascii="宋体" w:hAnsi="宋体" w:eastAsia="宋体" w:cs="宋体"/>
          <w:b/>
          <w:color w:val="auto"/>
          <w:sz w:val="21"/>
          <w:szCs w:val="21"/>
          <w:highlight w:val="none"/>
          <w:lang w:val="en-US" w:eastAsia="zh-CN"/>
        </w:rPr>
      </w:pPr>
    </w:p>
    <w:p w14:paraId="4546E9A7">
      <w:pPr>
        <w:rPr>
          <w:rFonts w:hint="eastAsia" w:ascii="宋体" w:hAnsi="宋体" w:eastAsia="宋体" w:cs="宋体"/>
          <w:b/>
          <w:color w:val="auto"/>
          <w:sz w:val="21"/>
          <w:szCs w:val="21"/>
          <w:highlight w:val="none"/>
          <w:lang w:val="en-US" w:eastAsia="zh-CN"/>
        </w:rPr>
      </w:pPr>
    </w:p>
    <w:p w14:paraId="652A19F0">
      <w:pPr>
        <w:rPr>
          <w:rFonts w:hint="eastAsia" w:ascii="宋体" w:hAnsi="宋体" w:eastAsia="宋体" w:cs="宋体"/>
          <w:b/>
          <w:color w:val="auto"/>
          <w:sz w:val="21"/>
          <w:szCs w:val="21"/>
          <w:highlight w:val="none"/>
          <w:lang w:val="en-US" w:eastAsia="zh-CN"/>
        </w:rPr>
      </w:pPr>
    </w:p>
    <w:p w14:paraId="11AE1D2D">
      <w:pPr>
        <w:rPr>
          <w:rFonts w:hint="eastAsia"/>
          <w:color w:val="auto"/>
          <w:highlight w:val="none"/>
          <w:lang w:val="en-US" w:eastAsia="zh-CN"/>
        </w:rPr>
      </w:pPr>
    </w:p>
    <w:p w14:paraId="24FDE9AF">
      <w:pPr>
        <w:pStyle w:val="11"/>
        <w:numPr>
          <w:ilvl w:val="0"/>
          <w:numId w:val="0"/>
        </w:numPr>
        <w:spacing w:line="340" w:lineRule="exact"/>
        <w:rPr>
          <w:rFonts w:hint="eastAsia" w:ascii="宋体" w:hAnsi="宋体" w:eastAsia="宋体" w:cs="宋体"/>
          <w:b/>
          <w:color w:val="auto"/>
          <w:sz w:val="24"/>
          <w:szCs w:val="24"/>
          <w:highlight w:val="none"/>
        </w:rPr>
      </w:pPr>
      <w:r>
        <w:rPr>
          <w:rFonts w:hint="eastAsia" w:hAnsi="宋体" w:cs="宋体"/>
          <w:b/>
          <w:color w:val="auto"/>
          <w:sz w:val="24"/>
          <w:szCs w:val="24"/>
          <w:highlight w:val="none"/>
          <w:lang w:val="en-US" w:eastAsia="zh-CN"/>
        </w:rPr>
        <w:t>6</w:t>
      </w:r>
      <w:r>
        <w:rPr>
          <w:rFonts w:hint="eastAsia" w:ascii="宋体" w:hAnsi="宋体" w:eastAsia="宋体" w:cs="宋体"/>
          <w:b/>
          <w:color w:val="auto"/>
          <w:sz w:val="24"/>
          <w:szCs w:val="24"/>
          <w:highlight w:val="none"/>
          <w:lang w:val="en-US" w:eastAsia="zh-CN"/>
        </w:rPr>
        <w:t>.建设工程项目管理承诺书（必须提供）</w:t>
      </w:r>
      <w:r>
        <w:rPr>
          <w:rFonts w:hint="eastAsia" w:hAnsi="宋体" w:cs="宋体"/>
          <w:b/>
          <w:color w:val="auto"/>
          <w:sz w:val="24"/>
          <w:szCs w:val="24"/>
          <w:highlight w:val="none"/>
          <w:lang w:val="en-US" w:eastAsia="zh-CN"/>
        </w:rPr>
        <w:t>。</w:t>
      </w:r>
    </w:p>
    <w:p w14:paraId="53DE0192">
      <w:pPr>
        <w:spacing w:line="360" w:lineRule="auto"/>
        <w:jc w:val="center"/>
        <w:rPr>
          <w:rFonts w:hint="eastAsia" w:ascii="宋体" w:hAnsi="宋体" w:eastAsia="宋体" w:cs="宋体"/>
          <w:b/>
          <w:color w:val="auto"/>
          <w:sz w:val="21"/>
          <w:szCs w:val="21"/>
          <w:highlight w:val="none"/>
        </w:rPr>
      </w:pPr>
    </w:p>
    <w:p w14:paraId="0DC5BDE5">
      <w:pPr>
        <w:spacing w:line="480" w:lineRule="auto"/>
        <w:jc w:val="left"/>
        <w:rPr>
          <w:rFonts w:hint="eastAsia" w:ascii="宋体"/>
          <w:color w:val="auto"/>
          <w:highlight w:val="none"/>
        </w:rPr>
      </w:pPr>
      <w:r>
        <w:rPr>
          <w:rFonts w:hint="eastAsia" w:ascii="宋体"/>
          <w:color w:val="auto"/>
          <w:highlight w:val="none"/>
          <w:u w:val="single"/>
        </w:rPr>
        <w:t xml:space="preserve">  </w:t>
      </w:r>
      <w:r>
        <w:rPr>
          <w:rFonts w:hint="eastAsia" w:ascii="宋体"/>
          <w:color w:val="auto"/>
          <w:highlight w:val="none"/>
          <w:u w:val="single"/>
          <w:lang w:val="en-US" w:eastAsia="zh-CN"/>
        </w:rPr>
        <w:t xml:space="preserve">（采购人）  </w:t>
      </w:r>
      <w:r>
        <w:rPr>
          <w:rFonts w:hint="eastAsia" w:ascii="宋体"/>
          <w:color w:val="auto"/>
          <w:highlight w:val="none"/>
          <w:u w:val="single"/>
        </w:rPr>
        <w:t xml:space="preserve"> </w:t>
      </w:r>
      <w:r>
        <w:rPr>
          <w:rFonts w:hint="eastAsia" w:ascii="宋体"/>
          <w:color w:val="auto"/>
          <w:highlight w:val="none"/>
        </w:rPr>
        <w:t>：</w:t>
      </w:r>
    </w:p>
    <w:p w14:paraId="606E756E">
      <w:pPr>
        <w:spacing w:line="520" w:lineRule="exact"/>
        <w:ind w:firstLine="422" w:firstLineChars="201"/>
        <w:jc w:val="left"/>
        <w:rPr>
          <w:rFonts w:hint="eastAsia" w:ascii="宋体" w:hAnsi="宋体" w:eastAsia="宋体" w:cs="宋体"/>
          <w:color w:val="auto"/>
          <w:highlight w:val="none"/>
        </w:rPr>
      </w:pPr>
      <w:r>
        <w:rPr>
          <w:rFonts w:hint="eastAsia" w:ascii="宋体" w:hAnsi="宋体" w:eastAsia="宋体" w:cs="宋体"/>
          <w:color w:val="auto"/>
          <w:highlight w:val="none"/>
        </w:rPr>
        <w:t>作为参与</w:t>
      </w:r>
      <w:r>
        <w:rPr>
          <w:rFonts w:hint="eastAsia" w:ascii="宋体" w:hAnsi="宋体" w:eastAsia="宋体" w:cs="宋体"/>
          <w:color w:val="auto"/>
          <w:szCs w:val="21"/>
          <w:highlight w:val="none"/>
          <w:u w:val="single"/>
          <w:lang w:bidi="ar-SA"/>
        </w:rPr>
        <w:t></w:t>
      </w:r>
      <w:r>
        <w:rPr>
          <w:rFonts w:hint="eastAsia" w:ascii="宋体" w:hAnsi="宋体" w:eastAsia="宋体" w:cs="宋体"/>
          <w:color w:val="auto"/>
          <w:highlight w:val="none"/>
          <w:u w:val="single"/>
        </w:rPr>
        <w:t>（项目名称、项目编号  ）</w:t>
      </w:r>
      <w:r>
        <w:rPr>
          <w:rFonts w:hint="eastAsia" w:ascii="宋体" w:hAnsi="宋体" w:eastAsia="宋体" w:cs="宋体"/>
          <w:color w:val="auto"/>
          <w:highlight w:val="none"/>
        </w:rPr>
        <w:t>项目的竞标方，根据国家、自治区及桂林市相关文件规定，我方在此向采购人承诺：</w:t>
      </w:r>
    </w:p>
    <w:p w14:paraId="4FC1B58F">
      <w:pPr>
        <w:spacing w:line="520" w:lineRule="exact"/>
        <w:ind w:firstLine="422" w:firstLineChars="201"/>
        <w:jc w:val="left"/>
        <w:rPr>
          <w:rFonts w:hint="eastAsia" w:ascii="宋体" w:hAnsi="宋体" w:eastAsia="宋体" w:cs="宋体"/>
          <w:color w:val="auto"/>
          <w:highlight w:val="none"/>
        </w:rPr>
      </w:pPr>
      <w:r>
        <w:rPr>
          <w:rFonts w:hint="eastAsia" w:ascii="宋体" w:hAnsi="宋体" w:eastAsia="宋体" w:cs="宋体"/>
          <w:color w:val="auto"/>
          <w:highlight w:val="none"/>
        </w:rPr>
        <w:t>1.一旦成交，我方保证按照政府相关部门的规定，在规定时间内足额将农民工工资保障金转入农民工工资保障金专用账户。一旦我方所承包的该项目中出现拖欠农民工和工人工资情况，由建设行政主管部门或财政部门从我方农民工工资保障金中先予划支。我方在中标后如不按时、足额存入农民工工资保障金的，将被取消中标资格。</w:t>
      </w:r>
    </w:p>
    <w:p w14:paraId="46079B81">
      <w:pPr>
        <w:spacing w:line="520" w:lineRule="exact"/>
        <w:ind w:left="-10" w:firstLine="455" w:firstLineChars="217"/>
        <w:jc w:val="left"/>
        <w:rPr>
          <w:rFonts w:hint="eastAsia" w:ascii="宋体" w:hAnsi="宋体" w:eastAsia="宋体" w:cs="宋体"/>
          <w:color w:val="auto"/>
          <w:highlight w:val="none"/>
        </w:rPr>
      </w:pPr>
      <w:r>
        <w:rPr>
          <w:rFonts w:hint="eastAsia" w:ascii="宋体" w:hAnsi="宋体" w:eastAsia="宋体" w:cs="宋体"/>
          <w:color w:val="auto"/>
          <w:highlight w:val="none"/>
        </w:rPr>
        <w:t>2.一旦成交，我方保证在施工过程中，严格执行桂建质安</w:t>
      </w:r>
      <w:r>
        <w:rPr>
          <w:rFonts w:hint="eastAsia" w:ascii="宋体" w:hAnsi="宋体" w:cs="宋体"/>
          <w:color w:val="auto"/>
          <w:highlight w:val="none"/>
          <w:lang w:eastAsia="zh-CN"/>
        </w:rPr>
        <w:t>〔2015〕16号</w:t>
      </w:r>
      <w:r>
        <w:rPr>
          <w:rFonts w:hint="eastAsia" w:ascii="宋体" w:hAnsi="宋体" w:eastAsia="宋体" w:cs="宋体"/>
          <w:color w:val="auto"/>
          <w:highlight w:val="none"/>
        </w:rPr>
        <w:t>文《广西壮族自治区建筑工程安全文明施工费使用管理细则》的有关规定，确保建设工程各项安全防护、文明施工措施落实到位。如我方在该项目的承包中出现未按桂建质安</w:t>
      </w:r>
      <w:r>
        <w:rPr>
          <w:rFonts w:hint="eastAsia" w:ascii="宋体" w:hAnsi="宋体" w:cs="宋体"/>
          <w:color w:val="auto"/>
          <w:highlight w:val="none"/>
          <w:lang w:eastAsia="zh-CN"/>
        </w:rPr>
        <w:t>〔2015〕16号</w:t>
      </w:r>
      <w:r>
        <w:rPr>
          <w:rFonts w:hint="eastAsia" w:ascii="宋体" w:hAnsi="宋体" w:eastAsia="宋体" w:cs="宋体"/>
          <w:color w:val="auto"/>
          <w:highlight w:val="none"/>
        </w:rPr>
        <w:t>文附件一规定执行的情形，我方愿意按照相关规定接受建设单位及有关主管部门的处罚。</w:t>
      </w:r>
    </w:p>
    <w:p w14:paraId="26503FFB">
      <w:pPr>
        <w:spacing w:line="520" w:lineRule="exact"/>
        <w:ind w:left="-2" w:leftChars="-1" w:firstLine="449" w:firstLineChars="214"/>
        <w:jc w:val="left"/>
        <w:rPr>
          <w:rFonts w:hint="eastAsia" w:ascii="宋体" w:hAnsi="宋体" w:eastAsia="宋体" w:cs="宋体"/>
          <w:color w:val="auto"/>
          <w:highlight w:val="none"/>
        </w:rPr>
      </w:pPr>
      <w:r>
        <w:rPr>
          <w:rFonts w:hint="eastAsia" w:ascii="宋体" w:hAnsi="宋体" w:eastAsia="宋体" w:cs="宋体"/>
          <w:color w:val="auto"/>
          <w:highlight w:val="none"/>
        </w:rPr>
        <w:t>3.一旦成交，我方保证在施工过程中，严格执行散装水泥和预拌混凝土管理的有关规定，确保建设工程按规定使用散装水泥和预拌混凝土。如我方在该项目的承包中出现未按规定执行的情形，我方愿意按照相关规定接受建设单位及有关主管部门的处罚。</w:t>
      </w:r>
    </w:p>
    <w:p w14:paraId="38099F63">
      <w:pPr>
        <w:pStyle w:val="49"/>
        <w:spacing w:line="520" w:lineRule="exact"/>
        <w:ind w:left="-10" w:firstLine="455" w:firstLineChars="217"/>
        <w:jc w:val="left"/>
        <w:rPr>
          <w:rFonts w:hint="eastAsia" w:ascii="宋体" w:hAnsi="宋体" w:eastAsia="宋体" w:cs="宋体"/>
          <w:color w:val="auto"/>
          <w:szCs w:val="21"/>
          <w:highlight w:val="none"/>
        </w:rPr>
      </w:pPr>
      <w:r>
        <w:rPr>
          <w:rFonts w:hint="eastAsia" w:ascii="宋体" w:hAnsi="宋体" w:eastAsia="宋体" w:cs="宋体"/>
          <w:color w:val="auto"/>
          <w:szCs w:val="21"/>
          <w:highlight w:val="none"/>
        </w:rPr>
        <w:t>4、一旦中标，我方保证在施工过程中，严格执行《关于禁止使用不符合规范要求的竹脚手架的通知》（桂建管字〔2003〕40号）的有关规定，不使用竹脚手架。如我方在该项目的承包中出现未按规定执行的情形，我方愿意按照相关规定接受建设单位及有关主管部门的处罚。</w:t>
      </w:r>
    </w:p>
    <w:p w14:paraId="622015F4">
      <w:pPr>
        <w:pStyle w:val="49"/>
        <w:spacing w:line="520" w:lineRule="exact"/>
        <w:ind w:left="-10" w:firstLine="455" w:firstLineChars="217"/>
        <w:jc w:val="left"/>
        <w:rPr>
          <w:rFonts w:hint="eastAsia" w:ascii="宋体" w:hAnsi="宋体" w:eastAsia="宋体" w:cs="宋体"/>
          <w:color w:val="auto"/>
          <w:szCs w:val="21"/>
          <w:highlight w:val="none"/>
        </w:rPr>
      </w:pPr>
      <w:r>
        <w:rPr>
          <w:rFonts w:hint="eastAsia" w:ascii="宋体" w:hAnsi="宋体" w:eastAsia="宋体" w:cs="宋体"/>
          <w:color w:val="auto"/>
          <w:szCs w:val="21"/>
          <w:highlight w:val="none"/>
        </w:rPr>
        <w:t>5、一旦中标，我方保证严格执行《危险性较大的分部分项工程安全管理规定》（建办质〔2018〕31号）的规定，强化对深基坑、高切坡、高大模板、人工挖孔桩、起重吊装、临时活动板房等重大危险源的专项施工方案的编制、论证、审批、实施、检测的风险管理。</w:t>
      </w:r>
    </w:p>
    <w:p w14:paraId="5F137A8C">
      <w:pPr>
        <w:spacing w:line="400" w:lineRule="exact"/>
        <w:ind w:firstLine="551" w:firstLineChars="196"/>
        <w:rPr>
          <w:rFonts w:hint="eastAsia" w:ascii="宋体" w:cs="宋体"/>
          <w:b/>
          <w:color w:val="auto"/>
          <w:kern w:val="0"/>
          <w:sz w:val="28"/>
          <w:szCs w:val="28"/>
          <w:highlight w:val="none"/>
          <w:lang w:bidi="ar-SA"/>
        </w:rPr>
      </w:pPr>
    </w:p>
    <w:p w14:paraId="657891E6">
      <w:pPr>
        <w:spacing w:line="400" w:lineRule="exact"/>
        <w:ind w:firstLine="551" w:firstLineChars="196"/>
        <w:rPr>
          <w:rFonts w:hint="eastAsia" w:ascii="宋体" w:cs="宋体"/>
          <w:b/>
          <w:color w:val="auto"/>
          <w:kern w:val="0"/>
          <w:sz w:val="28"/>
          <w:szCs w:val="28"/>
          <w:highlight w:val="none"/>
          <w:lang w:bidi="ar-SA"/>
        </w:rPr>
      </w:pPr>
    </w:p>
    <w:p w14:paraId="535FF538">
      <w:pPr>
        <w:spacing w:line="340" w:lineRule="exact"/>
        <w:ind w:firstLine="5250" w:firstLineChars="2500"/>
        <w:rPr>
          <w:rFonts w:hint="eastAsia" w:ascii="宋体" w:hAnsi="宋体"/>
          <w:color w:val="auto"/>
          <w:sz w:val="21"/>
          <w:szCs w:val="21"/>
          <w:highlight w:val="none"/>
        </w:rPr>
      </w:pPr>
      <w:r>
        <w:rPr>
          <w:rFonts w:hint="eastAsia" w:ascii="宋体" w:hAnsi="宋体"/>
          <w:bCs/>
          <w:color w:val="auto"/>
          <w:sz w:val="21"/>
          <w:szCs w:val="21"/>
          <w:highlight w:val="none"/>
        </w:rPr>
        <w:t>供应商[公章(CA签章)]</w:t>
      </w:r>
      <w:r>
        <w:rPr>
          <w:rFonts w:hint="eastAsia" w:ascii="宋体" w:hAnsi="宋体"/>
          <w:color w:val="auto"/>
          <w:sz w:val="21"/>
          <w:szCs w:val="21"/>
          <w:highlight w:val="none"/>
        </w:rPr>
        <w:t>：</w:t>
      </w:r>
      <w:r>
        <w:rPr>
          <w:rFonts w:hint="eastAsia" w:ascii="宋体" w:hAnsi="宋体"/>
          <w:color w:val="auto"/>
          <w:sz w:val="21"/>
          <w:szCs w:val="21"/>
          <w:highlight w:val="none"/>
          <w:u w:val="single"/>
        </w:rPr>
        <w:t xml:space="preserve">          </w:t>
      </w:r>
    </w:p>
    <w:p w14:paraId="3AEDBDF5">
      <w:pPr>
        <w:spacing w:line="400" w:lineRule="exact"/>
        <w:ind w:firstLine="5250" w:firstLineChars="2500"/>
        <w:rPr>
          <w:rFonts w:hint="eastAsia" w:ascii="宋体" w:hAnsi="宋体" w:cs="宋体"/>
          <w:bCs/>
          <w:color w:val="auto"/>
          <w:sz w:val="21"/>
          <w:szCs w:val="21"/>
          <w:highlight w:val="none"/>
        </w:rPr>
      </w:pPr>
      <w:r>
        <w:rPr>
          <w:rFonts w:hint="eastAsia" w:ascii="宋体" w:hAnsi="Courier New"/>
          <w:color w:val="auto"/>
          <w:sz w:val="21"/>
          <w:szCs w:val="21"/>
          <w:highlight w:val="none"/>
        </w:rPr>
        <w:t>日期：</w:t>
      </w:r>
      <w:r>
        <w:rPr>
          <w:rFonts w:hint="eastAsia" w:ascii="宋体" w:hAnsi="Courier New"/>
          <w:color w:val="auto"/>
          <w:sz w:val="21"/>
          <w:szCs w:val="21"/>
          <w:highlight w:val="none"/>
          <w:u w:val="single"/>
        </w:rPr>
        <w:t xml:space="preserve">                       </w:t>
      </w:r>
    </w:p>
    <w:p w14:paraId="5A3A9245">
      <w:pPr>
        <w:pStyle w:val="49"/>
        <w:spacing w:line="360" w:lineRule="auto"/>
        <w:jc w:val="center"/>
        <w:rPr>
          <w:rFonts w:hint="eastAsia" w:cs="宋体"/>
          <w:b/>
          <w:bCs/>
          <w:color w:val="auto"/>
          <w:sz w:val="28"/>
          <w:szCs w:val="28"/>
          <w:highlight w:val="none"/>
          <w:lang w:bidi="ar-SA"/>
        </w:rPr>
      </w:pPr>
    </w:p>
    <w:p w14:paraId="6062415E">
      <w:pPr>
        <w:pStyle w:val="49"/>
        <w:spacing w:line="360" w:lineRule="auto"/>
        <w:jc w:val="center"/>
        <w:rPr>
          <w:rFonts w:hint="eastAsia" w:cs="宋体"/>
          <w:b/>
          <w:bCs/>
          <w:color w:val="auto"/>
          <w:sz w:val="28"/>
          <w:szCs w:val="28"/>
          <w:highlight w:val="none"/>
          <w:lang w:bidi="ar-SA"/>
        </w:rPr>
      </w:pPr>
    </w:p>
    <w:p w14:paraId="4F438861">
      <w:pPr>
        <w:pStyle w:val="49"/>
        <w:spacing w:line="360" w:lineRule="auto"/>
        <w:jc w:val="center"/>
        <w:rPr>
          <w:rFonts w:hint="eastAsia" w:ascii="宋体" w:hAnsi="宋体" w:eastAsia="宋体" w:cs="宋体"/>
          <w:color w:val="auto"/>
          <w:szCs w:val="21"/>
          <w:highlight w:val="none"/>
        </w:rPr>
      </w:pPr>
      <w:r>
        <w:rPr>
          <w:rFonts w:hint="eastAsia" w:ascii="宋体" w:hAnsi="宋体" w:eastAsia="宋体" w:cs="宋体"/>
          <w:b/>
          <w:bCs/>
          <w:color w:val="auto"/>
          <w:sz w:val="28"/>
          <w:szCs w:val="28"/>
          <w:highlight w:val="none"/>
          <w:lang w:bidi="ar-SA"/>
        </w:rPr>
        <w:t>广西壮族自治区建筑工程安全文明施工措施项目清单内容</w:t>
      </w:r>
    </w:p>
    <w:p w14:paraId="36FAE99F">
      <w:pPr>
        <w:pStyle w:val="49"/>
        <w:spacing w:line="360" w:lineRule="auto"/>
        <w:ind w:firstLine="600" w:firstLineChars="25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bidi="ar-SA"/>
        </w:rPr>
        <w:t>（桂建质〔</w:t>
      </w:r>
      <w:r>
        <w:rPr>
          <w:rFonts w:hint="eastAsia" w:ascii="宋体" w:hAnsi="宋体" w:eastAsia="宋体" w:cs="宋体"/>
          <w:color w:val="auto"/>
          <w:sz w:val="24"/>
          <w:szCs w:val="24"/>
          <w:highlight w:val="none"/>
        </w:rPr>
        <w:t>2015</w:t>
      </w:r>
      <w:r>
        <w:rPr>
          <w:rFonts w:hint="eastAsia" w:ascii="宋体" w:hAnsi="宋体" w:eastAsia="宋体" w:cs="宋体"/>
          <w:color w:val="auto"/>
          <w:sz w:val="24"/>
          <w:szCs w:val="24"/>
          <w:highlight w:val="none"/>
          <w:lang w:bidi="ar-SA"/>
        </w:rPr>
        <w:t>〕</w:t>
      </w:r>
      <w:r>
        <w:rPr>
          <w:rFonts w:hint="eastAsia" w:ascii="宋体" w:hAnsi="宋体" w:eastAsia="宋体" w:cs="宋体"/>
          <w:color w:val="auto"/>
          <w:sz w:val="24"/>
          <w:szCs w:val="24"/>
          <w:highlight w:val="none"/>
        </w:rPr>
        <w:t>16</w:t>
      </w:r>
      <w:r>
        <w:rPr>
          <w:rFonts w:hint="eastAsia" w:ascii="宋体" w:hAnsi="宋体" w:eastAsia="宋体" w:cs="宋体"/>
          <w:color w:val="auto"/>
          <w:sz w:val="24"/>
          <w:szCs w:val="24"/>
          <w:highlight w:val="none"/>
          <w:lang w:bidi="ar-SA"/>
        </w:rPr>
        <w:t>号文附件一）</w:t>
      </w:r>
    </w:p>
    <w:p w14:paraId="4DA66236">
      <w:pPr>
        <w:pStyle w:val="49"/>
        <w:spacing w:line="240" w:lineRule="atLeast"/>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lang w:bidi="ar-SA"/>
        </w:rPr>
        <w:t>广西壮族自治区</w:t>
      </w:r>
    </w:p>
    <w:p w14:paraId="3D6D32EF">
      <w:pPr>
        <w:pStyle w:val="49"/>
        <w:spacing w:line="240" w:lineRule="atLeast"/>
        <w:ind w:firstLine="546"/>
        <w:jc w:val="center"/>
        <w:rPr>
          <w:rFonts w:hint="eastAsia" w:ascii="宋体" w:hAnsi="宋体" w:eastAsia="宋体" w:cs="宋体"/>
          <w:b/>
          <w:bCs/>
          <w:color w:val="auto"/>
          <w:w w:val="90"/>
          <w:sz w:val="24"/>
          <w:szCs w:val="24"/>
          <w:highlight w:val="none"/>
        </w:rPr>
      </w:pPr>
      <w:r>
        <w:rPr>
          <w:rFonts w:hint="eastAsia" w:ascii="宋体" w:hAnsi="宋体" w:eastAsia="宋体" w:cs="宋体"/>
          <w:b/>
          <w:bCs/>
          <w:color w:val="auto"/>
          <w:w w:val="90"/>
          <w:sz w:val="24"/>
          <w:szCs w:val="24"/>
          <w:highlight w:val="none"/>
          <w:lang w:bidi="ar-SA"/>
        </w:rPr>
        <w:t>建设工程安全文明施工措施项目清单内容</w:t>
      </w:r>
    </w:p>
    <w:p w14:paraId="74FC4D58">
      <w:pPr>
        <w:pStyle w:val="49"/>
        <w:spacing w:line="240" w:lineRule="atLeast"/>
        <w:ind w:firstLine="546"/>
        <w:jc w:val="center"/>
        <w:rPr>
          <w:rFonts w:hint="eastAsia" w:ascii="宋体" w:hAnsi="宋体" w:eastAsia="宋体" w:cs="宋体"/>
          <w:b/>
          <w:bCs/>
          <w:color w:val="auto"/>
          <w:w w:val="90"/>
          <w:sz w:val="24"/>
          <w:szCs w:val="24"/>
          <w:highlight w:val="none"/>
        </w:rPr>
      </w:pPr>
    </w:p>
    <w:tbl>
      <w:tblPr>
        <w:tblStyle w:val="18"/>
        <w:tblW w:w="0" w:type="auto"/>
        <w:tblInd w:w="108"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38"/>
        <w:gridCol w:w="525"/>
        <w:gridCol w:w="1545"/>
        <w:gridCol w:w="6645"/>
      </w:tblGrid>
      <w:tr w14:paraId="148AE8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01" w:hRule="exact"/>
        </w:trPr>
        <w:tc>
          <w:tcPr>
            <w:tcW w:w="738" w:type="dxa"/>
            <w:tcBorders>
              <w:top w:val="single" w:color="auto" w:sz="12" w:space="0"/>
            </w:tcBorders>
            <w:noWrap w:val="0"/>
            <w:vAlign w:val="center"/>
          </w:tcPr>
          <w:p w14:paraId="79BFB27C">
            <w:pPr>
              <w:pStyle w:val="49"/>
              <w:spacing w:line="300" w:lineRule="exact"/>
              <w:jc w:val="center"/>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bidi="ar-SA"/>
              </w:rPr>
              <w:t>类别</w:t>
            </w:r>
          </w:p>
        </w:tc>
        <w:tc>
          <w:tcPr>
            <w:tcW w:w="2070" w:type="dxa"/>
            <w:gridSpan w:val="2"/>
            <w:tcBorders>
              <w:top w:val="single" w:color="auto" w:sz="12" w:space="0"/>
            </w:tcBorders>
            <w:noWrap w:val="0"/>
            <w:vAlign w:val="center"/>
          </w:tcPr>
          <w:p w14:paraId="1510B234">
            <w:pPr>
              <w:pStyle w:val="49"/>
              <w:spacing w:line="300" w:lineRule="exact"/>
              <w:jc w:val="center"/>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bidi="ar-SA"/>
              </w:rPr>
              <w:t>项目名称</w:t>
            </w:r>
          </w:p>
        </w:tc>
        <w:tc>
          <w:tcPr>
            <w:tcW w:w="6645" w:type="dxa"/>
            <w:tcBorders>
              <w:top w:val="single" w:color="auto" w:sz="12" w:space="0"/>
            </w:tcBorders>
            <w:noWrap w:val="0"/>
            <w:vAlign w:val="center"/>
          </w:tcPr>
          <w:p w14:paraId="6FC4C06E">
            <w:pPr>
              <w:pStyle w:val="49"/>
              <w:spacing w:line="300" w:lineRule="exact"/>
              <w:jc w:val="center"/>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bidi="ar-SA"/>
              </w:rPr>
              <w:t>主要内容和要求</w:t>
            </w:r>
          </w:p>
        </w:tc>
      </w:tr>
      <w:tr w14:paraId="4A7C7EF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restart"/>
            <w:noWrap w:val="0"/>
            <w:vAlign w:val="center"/>
          </w:tcPr>
          <w:p w14:paraId="69E09A25">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文明</w:t>
            </w:r>
          </w:p>
          <w:p w14:paraId="0499B10F">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施工</w:t>
            </w:r>
          </w:p>
          <w:p w14:paraId="1B6E690A">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与</w:t>
            </w:r>
          </w:p>
          <w:p w14:paraId="1442FAB3">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环境</w:t>
            </w:r>
          </w:p>
          <w:p w14:paraId="01FEA7BA">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保护</w:t>
            </w:r>
          </w:p>
        </w:tc>
        <w:tc>
          <w:tcPr>
            <w:tcW w:w="2070" w:type="dxa"/>
            <w:gridSpan w:val="2"/>
            <w:noWrap w:val="0"/>
            <w:vAlign w:val="center"/>
          </w:tcPr>
          <w:p w14:paraId="373B0624">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安全警示</w:t>
            </w:r>
          </w:p>
          <w:p w14:paraId="6281E6F7">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标志牌</w:t>
            </w:r>
          </w:p>
        </w:tc>
        <w:tc>
          <w:tcPr>
            <w:tcW w:w="6645" w:type="dxa"/>
            <w:noWrap w:val="0"/>
            <w:vAlign w:val="center"/>
          </w:tcPr>
          <w:p w14:paraId="7D6389FC">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在易发伤亡事故（或危险）处设置明显的、符合国家标准要求的安全警示标志牌。</w:t>
            </w:r>
          </w:p>
        </w:tc>
      </w:tr>
      <w:tr w14:paraId="4F5B74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continue"/>
            <w:noWrap w:val="0"/>
            <w:vAlign w:val="center"/>
          </w:tcPr>
          <w:p w14:paraId="044FB793">
            <w:pPr>
              <w:rPr>
                <w:rFonts w:hint="eastAsia" w:ascii="宋体" w:hAnsi="宋体" w:eastAsia="宋体" w:cs="宋体"/>
                <w:color w:val="auto"/>
                <w:highlight w:val="none"/>
              </w:rPr>
            </w:pPr>
          </w:p>
        </w:tc>
        <w:tc>
          <w:tcPr>
            <w:tcW w:w="2070" w:type="dxa"/>
            <w:gridSpan w:val="2"/>
            <w:noWrap w:val="0"/>
            <w:vAlign w:val="center"/>
          </w:tcPr>
          <w:p w14:paraId="048A3987">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现场围挡</w:t>
            </w:r>
          </w:p>
        </w:tc>
        <w:tc>
          <w:tcPr>
            <w:tcW w:w="6645" w:type="dxa"/>
            <w:noWrap w:val="0"/>
            <w:vAlign w:val="center"/>
          </w:tcPr>
          <w:p w14:paraId="091CF28D">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1. 现场采用封闭围挡，高度不小于1.8m。</w:t>
            </w:r>
          </w:p>
          <w:p w14:paraId="42325334">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2. 围挡材料可用彩色、定型钢板，砌块等墙体。</w:t>
            </w:r>
          </w:p>
        </w:tc>
      </w:tr>
      <w:tr w14:paraId="4C92C3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continue"/>
            <w:noWrap w:val="0"/>
            <w:vAlign w:val="center"/>
          </w:tcPr>
          <w:p w14:paraId="34C8E749">
            <w:pPr>
              <w:rPr>
                <w:rFonts w:hint="eastAsia" w:ascii="宋体" w:hAnsi="宋体" w:eastAsia="宋体" w:cs="宋体"/>
                <w:color w:val="auto"/>
                <w:highlight w:val="none"/>
              </w:rPr>
            </w:pPr>
          </w:p>
        </w:tc>
        <w:tc>
          <w:tcPr>
            <w:tcW w:w="2070" w:type="dxa"/>
            <w:gridSpan w:val="2"/>
            <w:noWrap w:val="0"/>
            <w:vAlign w:val="center"/>
          </w:tcPr>
          <w:p w14:paraId="127627C2">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七牌二图</w:t>
            </w:r>
          </w:p>
        </w:tc>
        <w:tc>
          <w:tcPr>
            <w:tcW w:w="6645" w:type="dxa"/>
            <w:noWrap w:val="0"/>
            <w:vAlign w:val="center"/>
          </w:tcPr>
          <w:p w14:paraId="3C27713D">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在进门处悬挂工程概况、现场出入制度、管理人员名单及监督电话、安全生产规定、文明施工、消防保卫、节能公示等七牌以及施工现场总平面图、工程效果图。</w:t>
            </w:r>
          </w:p>
        </w:tc>
      </w:tr>
      <w:tr w14:paraId="4C17AD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10" w:hRule="atLeast"/>
        </w:trPr>
        <w:tc>
          <w:tcPr>
            <w:tcW w:w="738" w:type="dxa"/>
            <w:vMerge w:val="continue"/>
            <w:noWrap w:val="0"/>
            <w:vAlign w:val="center"/>
          </w:tcPr>
          <w:p w14:paraId="22F6BDFB">
            <w:pPr>
              <w:rPr>
                <w:rFonts w:hint="eastAsia" w:ascii="宋体" w:hAnsi="宋体" w:eastAsia="宋体" w:cs="宋体"/>
                <w:color w:val="auto"/>
                <w:highlight w:val="none"/>
              </w:rPr>
            </w:pPr>
          </w:p>
        </w:tc>
        <w:tc>
          <w:tcPr>
            <w:tcW w:w="2070" w:type="dxa"/>
            <w:gridSpan w:val="2"/>
            <w:noWrap w:val="0"/>
            <w:vAlign w:val="center"/>
          </w:tcPr>
          <w:p w14:paraId="22CCF458">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企业标志</w:t>
            </w:r>
          </w:p>
        </w:tc>
        <w:tc>
          <w:tcPr>
            <w:tcW w:w="6645" w:type="dxa"/>
            <w:noWrap w:val="0"/>
            <w:vAlign w:val="center"/>
          </w:tcPr>
          <w:p w14:paraId="2EBD2544">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现场出入的大门应设有本企业标志或企业标识。</w:t>
            </w:r>
          </w:p>
        </w:tc>
      </w:tr>
      <w:tr w14:paraId="24939C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Pr>
        <w:tc>
          <w:tcPr>
            <w:tcW w:w="738" w:type="dxa"/>
            <w:vMerge w:val="continue"/>
            <w:noWrap w:val="0"/>
            <w:vAlign w:val="center"/>
          </w:tcPr>
          <w:p w14:paraId="653BCE14">
            <w:pPr>
              <w:rPr>
                <w:rFonts w:hint="eastAsia" w:ascii="宋体" w:hAnsi="宋体" w:eastAsia="宋体" w:cs="宋体"/>
                <w:color w:val="auto"/>
                <w:highlight w:val="none"/>
              </w:rPr>
            </w:pPr>
          </w:p>
        </w:tc>
        <w:tc>
          <w:tcPr>
            <w:tcW w:w="2070" w:type="dxa"/>
            <w:gridSpan w:val="2"/>
            <w:noWrap w:val="0"/>
            <w:vAlign w:val="center"/>
          </w:tcPr>
          <w:p w14:paraId="63DE9597">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场容场貌</w:t>
            </w:r>
          </w:p>
        </w:tc>
        <w:tc>
          <w:tcPr>
            <w:tcW w:w="6645" w:type="dxa"/>
            <w:noWrap w:val="0"/>
            <w:vAlign w:val="center"/>
          </w:tcPr>
          <w:p w14:paraId="040D505E">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1. 道路畅通。</w:t>
            </w:r>
          </w:p>
          <w:p w14:paraId="723F9F6B">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2. 排水设施齐全畅通。</w:t>
            </w:r>
          </w:p>
          <w:p w14:paraId="2B4D909E">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3. 工地地面硬化处理（办公区、生活区、现场道路、材料堆放、混凝土搅拌、砂浆搅拌、钢筋加工等场地和外脚手架基础等）。</w:t>
            </w:r>
          </w:p>
        </w:tc>
      </w:tr>
      <w:tr w14:paraId="50DA41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continue"/>
            <w:noWrap w:val="0"/>
            <w:vAlign w:val="center"/>
          </w:tcPr>
          <w:p w14:paraId="795547B1">
            <w:pPr>
              <w:rPr>
                <w:rFonts w:hint="eastAsia" w:ascii="宋体" w:hAnsi="宋体" w:eastAsia="宋体" w:cs="宋体"/>
                <w:color w:val="auto"/>
                <w:highlight w:val="none"/>
              </w:rPr>
            </w:pPr>
          </w:p>
        </w:tc>
        <w:tc>
          <w:tcPr>
            <w:tcW w:w="2070" w:type="dxa"/>
            <w:gridSpan w:val="2"/>
            <w:noWrap w:val="0"/>
            <w:vAlign w:val="center"/>
          </w:tcPr>
          <w:p w14:paraId="484E8AC4">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材料堆放</w:t>
            </w:r>
          </w:p>
        </w:tc>
        <w:tc>
          <w:tcPr>
            <w:tcW w:w="6645" w:type="dxa"/>
            <w:noWrap w:val="0"/>
            <w:vAlign w:val="center"/>
          </w:tcPr>
          <w:p w14:paraId="1F025DC7">
            <w:pPr>
              <w:pStyle w:val="49"/>
              <w:numPr>
                <w:ilvl w:val="0"/>
                <w:numId w:val="5"/>
              </w:numPr>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材料、构件、料具等堆放时，应有名称、品种、规格等标牌。</w:t>
            </w:r>
          </w:p>
          <w:p w14:paraId="3618ACE5">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2. 水泥和</w:t>
            </w:r>
            <w:r>
              <w:rPr>
                <w:rFonts w:hint="eastAsia" w:ascii="宋体" w:hAnsi="宋体" w:cs="宋体"/>
                <w:color w:val="auto"/>
                <w:szCs w:val="21"/>
                <w:highlight w:val="none"/>
                <w:lang w:eastAsia="zh-CN" w:bidi="ar-SA"/>
              </w:rPr>
              <w:t>其他</w:t>
            </w:r>
            <w:r>
              <w:rPr>
                <w:rFonts w:hint="eastAsia" w:ascii="宋体" w:hAnsi="宋体" w:eastAsia="宋体" w:cs="宋体"/>
                <w:color w:val="auto"/>
                <w:szCs w:val="21"/>
                <w:highlight w:val="none"/>
                <w:lang w:bidi="ar-SA"/>
              </w:rPr>
              <w:t>易飞扬细颗粒建筑材料应封闭存放或采取覆盖等措施。</w:t>
            </w:r>
          </w:p>
          <w:p w14:paraId="53B017CA">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3. 易燃、易爆和有毒有害物品分类存放。</w:t>
            </w:r>
          </w:p>
        </w:tc>
      </w:tr>
      <w:tr w14:paraId="1BB05E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10" w:hRule="exact"/>
        </w:trPr>
        <w:tc>
          <w:tcPr>
            <w:tcW w:w="738" w:type="dxa"/>
            <w:vMerge w:val="continue"/>
            <w:noWrap w:val="0"/>
            <w:vAlign w:val="center"/>
          </w:tcPr>
          <w:p w14:paraId="4F5F73BA">
            <w:pPr>
              <w:rPr>
                <w:rFonts w:hint="eastAsia" w:ascii="宋体" w:hAnsi="宋体" w:eastAsia="宋体" w:cs="宋体"/>
                <w:color w:val="auto"/>
                <w:highlight w:val="none"/>
              </w:rPr>
            </w:pPr>
          </w:p>
        </w:tc>
        <w:tc>
          <w:tcPr>
            <w:tcW w:w="2070" w:type="dxa"/>
            <w:gridSpan w:val="2"/>
            <w:noWrap w:val="0"/>
            <w:vAlign w:val="center"/>
          </w:tcPr>
          <w:p w14:paraId="5BCC9045">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现场防火</w:t>
            </w:r>
          </w:p>
        </w:tc>
        <w:tc>
          <w:tcPr>
            <w:tcW w:w="6645" w:type="dxa"/>
            <w:noWrap w:val="0"/>
            <w:vAlign w:val="center"/>
          </w:tcPr>
          <w:p w14:paraId="26F82DA2">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消防器材配置合理，符合消防要求。</w:t>
            </w:r>
          </w:p>
        </w:tc>
      </w:tr>
      <w:tr w14:paraId="4924B2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continue"/>
            <w:noWrap w:val="0"/>
            <w:vAlign w:val="center"/>
          </w:tcPr>
          <w:p w14:paraId="105CBA62">
            <w:pPr>
              <w:rPr>
                <w:rFonts w:hint="eastAsia" w:ascii="宋体" w:hAnsi="宋体" w:eastAsia="宋体" w:cs="宋体"/>
                <w:color w:val="auto"/>
                <w:highlight w:val="none"/>
              </w:rPr>
            </w:pPr>
          </w:p>
        </w:tc>
        <w:tc>
          <w:tcPr>
            <w:tcW w:w="2070" w:type="dxa"/>
            <w:gridSpan w:val="2"/>
            <w:noWrap w:val="0"/>
            <w:vAlign w:val="center"/>
          </w:tcPr>
          <w:p w14:paraId="4CCBE1D8">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垃圾清运</w:t>
            </w:r>
          </w:p>
        </w:tc>
        <w:tc>
          <w:tcPr>
            <w:tcW w:w="6645" w:type="dxa"/>
            <w:noWrap w:val="0"/>
            <w:vAlign w:val="center"/>
          </w:tcPr>
          <w:p w14:paraId="2FBF1EAC">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1. 施工现场应设置密闭式垃圾站，施工垃圾、生活垃圾应分类存放。</w:t>
            </w:r>
          </w:p>
          <w:p w14:paraId="0EE97B1E">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2. 施工垃圾必须采用相应容器或管道运输。</w:t>
            </w:r>
          </w:p>
        </w:tc>
      </w:tr>
      <w:tr w14:paraId="69F58F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continue"/>
            <w:noWrap w:val="0"/>
            <w:vAlign w:val="center"/>
          </w:tcPr>
          <w:p w14:paraId="72DC0148">
            <w:pPr>
              <w:rPr>
                <w:rFonts w:hint="eastAsia" w:ascii="宋体" w:hAnsi="宋体" w:eastAsia="宋体" w:cs="宋体"/>
                <w:color w:val="auto"/>
                <w:highlight w:val="none"/>
              </w:rPr>
            </w:pPr>
          </w:p>
        </w:tc>
        <w:tc>
          <w:tcPr>
            <w:tcW w:w="2070" w:type="dxa"/>
            <w:gridSpan w:val="2"/>
            <w:noWrap w:val="0"/>
            <w:vAlign w:val="center"/>
          </w:tcPr>
          <w:p w14:paraId="0C7511A3">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宣传栏、环保及不扰民措施</w:t>
            </w:r>
          </w:p>
        </w:tc>
        <w:tc>
          <w:tcPr>
            <w:tcW w:w="6645" w:type="dxa"/>
            <w:noWrap w:val="0"/>
            <w:vAlign w:val="center"/>
          </w:tcPr>
          <w:p w14:paraId="4218B619">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宣传栏、安全宣传标语等，洗车（防止污染市区道路）、粉尘、噪声控制和排污（污水、废气）措施等。</w:t>
            </w:r>
          </w:p>
        </w:tc>
      </w:tr>
      <w:tr w14:paraId="2A0664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restart"/>
            <w:noWrap w:val="0"/>
            <w:vAlign w:val="center"/>
          </w:tcPr>
          <w:p w14:paraId="5C145E23">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临时设施</w:t>
            </w:r>
          </w:p>
        </w:tc>
        <w:tc>
          <w:tcPr>
            <w:tcW w:w="2070" w:type="dxa"/>
            <w:gridSpan w:val="2"/>
            <w:noWrap w:val="0"/>
            <w:vAlign w:val="center"/>
          </w:tcPr>
          <w:p w14:paraId="42820FF8">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现场办公</w:t>
            </w:r>
          </w:p>
          <w:p w14:paraId="3B54A88C">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生活设施</w:t>
            </w:r>
          </w:p>
        </w:tc>
        <w:tc>
          <w:tcPr>
            <w:tcW w:w="6645" w:type="dxa"/>
            <w:noWrap w:val="0"/>
            <w:vAlign w:val="center"/>
          </w:tcPr>
          <w:p w14:paraId="4BF61807">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1. 施工现场办公、生活区与作业区分开设置，保持安全距离。</w:t>
            </w:r>
          </w:p>
          <w:p w14:paraId="60E9B06F">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2. 工地办公室、现场宿舍、食堂、厕所、饮水、沐浴、休息场所等符合卫生、消防安全要求。</w:t>
            </w:r>
          </w:p>
        </w:tc>
      </w:tr>
      <w:tr w14:paraId="51BA1C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continue"/>
            <w:noWrap w:val="0"/>
            <w:vAlign w:val="center"/>
          </w:tcPr>
          <w:p w14:paraId="0D0D8935">
            <w:pPr>
              <w:rPr>
                <w:rFonts w:hint="eastAsia" w:ascii="宋体" w:hAnsi="宋体" w:eastAsia="宋体" w:cs="宋体"/>
                <w:color w:val="auto"/>
                <w:highlight w:val="none"/>
              </w:rPr>
            </w:pPr>
          </w:p>
        </w:tc>
        <w:tc>
          <w:tcPr>
            <w:tcW w:w="525" w:type="dxa"/>
            <w:vMerge w:val="restart"/>
            <w:noWrap w:val="0"/>
            <w:vAlign w:val="center"/>
          </w:tcPr>
          <w:p w14:paraId="6ACEFF67">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施工现场</w:t>
            </w:r>
          </w:p>
          <w:p w14:paraId="7BF7F384">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临时用电</w:t>
            </w:r>
          </w:p>
        </w:tc>
        <w:tc>
          <w:tcPr>
            <w:tcW w:w="1545" w:type="dxa"/>
            <w:noWrap w:val="0"/>
            <w:vAlign w:val="center"/>
          </w:tcPr>
          <w:p w14:paraId="63742181">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配电线路</w:t>
            </w:r>
          </w:p>
        </w:tc>
        <w:tc>
          <w:tcPr>
            <w:tcW w:w="6645" w:type="dxa"/>
            <w:noWrap w:val="0"/>
            <w:vAlign w:val="center"/>
          </w:tcPr>
          <w:p w14:paraId="3B20D3CE">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1. 按照TN-S系统要求配备五芯电缆、四芯电缆和三芯电缆。</w:t>
            </w:r>
          </w:p>
          <w:p w14:paraId="25B2C33E">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2. 按要求架设临时用电线路的电杆、横担、瓷夹、瓷瓶等，或电缆埋地的地沟。</w:t>
            </w:r>
          </w:p>
          <w:p w14:paraId="6A8F1630">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3. 对靠近施工现场的外电线路，设置木质、塑料等绝缘体的防护设施。</w:t>
            </w:r>
          </w:p>
        </w:tc>
      </w:tr>
      <w:tr w14:paraId="5CAB0D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continue"/>
            <w:noWrap w:val="0"/>
            <w:vAlign w:val="center"/>
          </w:tcPr>
          <w:p w14:paraId="1B045292">
            <w:pPr>
              <w:rPr>
                <w:rFonts w:hint="eastAsia" w:ascii="宋体" w:hAnsi="宋体" w:eastAsia="宋体" w:cs="宋体"/>
                <w:color w:val="auto"/>
                <w:highlight w:val="none"/>
              </w:rPr>
            </w:pPr>
          </w:p>
        </w:tc>
        <w:tc>
          <w:tcPr>
            <w:tcW w:w="525" w:type="dxa"/>
            <w:vMerge w:val="continue"/>
            <w:noWrap w:val="0"/>
            <w:vAlign w:val="center"/>
          </w:tcPr>
          <w:p w14:paraId="092A6588">
            <w:pPr>
              <w:rPr>
                <w:rFonts w:hint="eastAsia" w:ascii="宋体" w:hAnsi="宋体" w:eastAsia="宋体" w:cs="宋体"/>
                <w:color w:val="auto"/>
                <w:highlight w:val="none"/>
              </w:rPr>
            </w:pPr>
          </w:p>
        </w:tc>
        <w:tc>
          <w:tcPr>
            <w:tcW w:w="1545" w:type="dxa"/>
            <w:noWrap w:val="0"/>
            <w:vAlign w:val="center"/>
          </w:tcPr>
          <w:p w14:paraId="579AAEFB">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配电箱</w:t>
            </w:r>
          </w:p>
          <w:p w14:paraId="549FFEB2">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开关箱</w:t>
            </w:r>
          </w:p>
        </w:tc>
        <w:tc>
          <w:tcPr>
            <w:tcW w:w="6645" w:type="dxa"/>
            <w:noWrap w:val="0"/>
            <w:vAlign w:val="center"/>
          </w:tcPr>
          <w:p w14:paraId="17664C60">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1. 按三级配电要求，配备总配电箱、分配电箱、开关箱三类（铁质）标准电箱，开关箱应符合“一机、一箱、一闸、一漏”，三类电箱中的各类电器应是合格品。</w:t>
            </w:r>
          </w:p>
          <w:p w14:paraId="6DEB455A">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2. 按两级保护的要求，选取符合容量要求和质量合格的总配电箱和开关箱中的漏电保护器。</w:t>
            </w:r>
          </w:p>
          <w:p w14:paraId="0BD34952">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3. 对大型、落地式分配电箱、开关箱设置防护棚和通透式围挡。</w:t>
            </w:r>
          </w:p>
        </w:tc>
      </w:tr>
      <w:tr w14:paraId="458564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575" w:hRule="atLeast"/>
        </w:trPr>
        <w:tc>
          <w:tcPr>
            <w:tcW w:w="738" w:type="dxa"/>
            <w:vMerge w:val="continue"/>
            <w:noWrap w:val="0"/>
            <w:vAlign w:val="center"/>
          </w:tcPr>
          <w:p w14:paraId="0BA9C935">
            <w:pPr>
              <w:rPr>
                <w:rFonts w:hint="eastAsia" w:ascii="宋体" w:hAnsi="宋体" w:eastAsia="宋体" w:cs="宋体"/>
                <w:color w:val="auto"/>
                <w:highlight w:val="none"/>
              </w:rPr>
            </w:pPr>
          </w:p>
        </w:tc>
        <w:tc>
          <w:tcPr>
            <w:tcW w:w="525" w:type="dxa"/>
            <w:vMerge w:val="continue"/>
            <w:noWrap w:val="0"/>
            <w:vAlign w:val="center"/>
          </w:tcPr>
          <w:p w14:paraId="75972CF4">
            <w:pPr>
              <w:rPr>
                <w:rFonts w:hint="eastAsia" w:ascii="宋体" w:hAnsi="宋体" w:eastAsia="宋体" w:cs="宋体"/>
                <w:color w:val="auto"/>
                <w:highlight w:val="none"/>
              </w:rPr>
            </w:pPr>
          </w:p>
        </w:tc>
        <w:tc>
          <w:tcPr>
            <w:tcW w:w="1545" w:type="dxa"/>
            <w:noWrap w:val="0"/>
            <w:vAlign w:val="center"/>
          </w:tcPr>
          <w:p w14:paraId="7034D216">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接地装置</w:t>
            </w:r>
          </w:p>
        </w:tc>
        <w:tc>
          <w:tcPr>
            <w:tcW w:w="6645" w:type="dxa"/>
            <w:noWrap w:val="0"/>
            <w:vAlign w:val="center"/>
          </w:tcPr>
          <w:p w14:paraId="73907116">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施工现场应设置不少于三处的重复接地装置。</w:t>
            </w:r>
          </w:p>
        </w:tc>
      </w:tr>
      <w:tr w14:paraId="499748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16" w:hRule="atLeast"/>
        </w:trPr>
        <w:tc>
          <w:tcPr>
            <w:tcW w:w="738" w:type="dxa"/>
            <w:vMerge w:val="continue"/>
            <w:noWrap w:val="0"/>
            <w:vAlign w:val="center"/>
          </w:tcPr>
          <w:p w14:paraId="03E4F276">
            <w:pPr>
              <w:rPr>
                <w:rFonts w:hint="eastAsia" w:ascii="宋体" w:hAnsi="宋体" w:eastAsia="宋体" w:cs="宋体"/>
                <w:color w:val="auto"/>
                <w:highlight w:val="none"/>
              </w:rPr>
            </w:pPr>
          </w:p>
        </w:tc>
        <w:tc>
          <w:tcPr>
            <w:tcW w:w="525" w:type="dxa"/>
            <w:vMerge w:val="continue"/>
            <w:noWrap w:val="0"/>
            <w:vAlign w:val="center"/>
          </w:tcPr>
          <w:p w14:paraId="29DFE595">
            <w:pPr>
              <w:rPr>
                <w:rFonts w:hint="eastAsia" w:ascii="宋体" w:hAnsi="宋体" w:eastAsia="宋体" w:cs="宋体"/>
                <w:color w:val="auto"/>
                <w:highlight w:val="none"/>
              </w:rPr>
            </w:pPr>
          </w:p>
        </w:tc>
        <w:tc>
          <w:tcPr>
            <w:tcW w:w="1545" w:type="dxa"/>
            <w:noWrap w:val="0"/>
            <w:vAlign w:val="center"/>
          </w:tcPr>
          <w:p w14:paraId="316862FF">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现场变配电装置</w:t>
            </w:r>
          </w:p>
        </w:tc>
        <w:tc>
          <w:tcPr>
            <w:tcW w:w="6645" w:type="dxa"/>
            <w:noWrap w:val="0"/>
            <w:vAlign w:val="center"/>
          </w:tcPr>
          <w:p w14:paraId="332E3D6E">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总配电房建筑材料必须达到消防防火要求，室内做硬地坪、电缆沟。</w:t>
            </w:r>
          </w:p>
        </w:tc>
      </w:tr>
      <w:tr w14:paraId="1620BF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612" w:hRule="atLeast"/>
        </w:trPr>
        <w:tc>
          <w:tcPr>
            <w:tcW w:w="738" w:type="dxa"/>
            <w:noWrap w:val="0"/>
            <w:vAlign w:val="center"/>
          </w:tcPr>
          <w:p w14:paraId="5DCBBE8C">
            <w:pPr>
              <w:pStyle w:val="49"/>
              <w:spacing w:line="300" w:lineRule="exact"/>
              <w:jc w:val="center"/>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bidi="ar-SA"/>
              </w:rPr>
              <w:t>类别</w:t>
            </w:r>
          </w:p>
        </w:tc>
        <w:tc>
          <w:tcPr>
            <w:tcW w:w="2070" w:type="dxa"/>
            <w:gridSpan w:val="2"/>
            <w:noWrap w:val="0"/>
            <w:vAlign w:val="center"/>
          </w:tcPr>
          <w:p w14:paraId="642066AA">
            <w:pPr>
              <w:pStyle w:val="49"/>
              <w:spacing w:line="300" w:lineRule="exact"/>
              <w:jc w:val="center"/>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bidi="ar-SA"/>
              </w:rPr>
              <w:t>项目名称</w:t>
            </w:r>
          </w:p>
        </w:tc>
        <w:tc>
          <w:tcPr>
            <w:tcW w:w="6645" w:type="dxa"/>
            <w:noWrap w:val="0"/>
            <w:vAlign w:val="center"/>
          </w:tcPr>
          <w:p w14:paraId="0CFF60ED">
            <w:pPr>
              <w:pStyle w:val="49"/>
              <w:spacing w:line="300" w:lineRule="exact"/>
              <w:jc w:val="center"/>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bidi="ar-SA"/>
              </w:rPr>
              <w:t>主要内容和要求</w:t>
            </w:r>
          </w:p>
        </w:tc>
      </w:tr>
      <w:tr w14:paraId="31EC8B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restart"/>
            <w:noWrap w:val="0"/>
            <w:vAlign w:val="center"/>
          </w:tcPr>
          <w:p w14:paraId="1B66A260">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安全施工</w:t>
            </w:r>
          </w:p>
        </w:tc>
        <w:tc>
          <w:tcPr>
            <w:tcW w:w="525" w:type="dxa"/>
            <w:vMerge w:val="restart"/>
            <w:noWrap w:val="0"/>
            <w:vAlign w:val="center"/>
          </w:tcPr>
          <w:p w14:paraId="2D452DD8">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高处作业防护</w:t>
            </w:r>
          </w:p>
        </w:tc>
        <w:tc>
          <w:tcPr>
            <w:tcW w:w="1545" w:type="dxa"/>
            <w:noWrap w:val="0"/>
            <w:vAlign w:val="center"/>
          </w:tcPr>
          <w:p w14:paraId="58933835">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楼层、屋面、阳台等临边</w:t>
            </w:r>
          </w:p>
        </w:tc>
        <w:tc>
          <w:tcPr>
            <w:tcW w:w="6645" w:type="dxa"/>
            <w:noWrap w:val="0"/>
            <w:vAlign w:val="center"/>
          </w:tcPr>
          <w:p w14:paraId="70323F38">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设两道防护栏杆和18cm高的踢脚板，用密目式安全立网全封闭。</w:t>
            </w:r>
          </w:p>
        </w:tc>
      </w:tr>
      <w:tr w14:paraId="0621B9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continue"/>
            <w:noWrap w:val="0"/>
            <w:vAlign w:val="center"/>
          </w:tcPr>
          <w:p w14:paraId="2BD5B08D">
            <w:pPr>
              <w:rPr>
                <w:rFonts w:hint="eastAsia" w:ascii="宋体" w:hAnsi="宋体" w:eastAsia="宋体" w:cs="宋体"/>
                <w:color w:val="auto"/>
                <w:highlight w:val="none"/>
              </w:rPr>
            </w:pPr>
          </w:p>
        </w:tc>
        <w:tc>
          <w:tcPr>
            <w:tcW w:w="525" w:type="dxa"/>
            <w:vMerge w:val="continue"/>
            <w:noWrap w:val="0"/>
            <w:vAlign w:val="center"/>
          </w:tcPr>
          <w:p w14:paraId="1EC2E5F4">
            <w:pPr>
              <w:rPr>
                <w:rFonts w:hint="eastAsia" w:ascii="宋体" w:hAnsi="宋体" w:eastAsia="宋体" w:cs="宋体"/>
                <w:color w:val="auto"/>
                <w:highlight w:val="none"/>
              </w:rPr>
            </w:pPr>
          </w:p>
        </w:tc>
        <w:tc>
          <w:tcPr>
            <w:tcW w:w="1545" w:type="dxa"/>
            <w:noWrap w:val="0"/>
            <w:vAlign w:val="center"/>
          </w:tcPr>
          <w:p w14:paraId="5A0398DD">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通道口</w:t>
            </w:r>
          </w:p>
        </w:tc>
        <w:tc>
          <w:tcPr>
            <w:tcW w:w="6645" w:type="dxa"/>
            <w:noWrap w:val="0"/>
            <w:vAlign w:val="center"/>
          </w:tcPr>
          <w:p w14:paraId="01D10506">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设防护棚，防护棚应为不小于5cm厚的木板或两道相距50cm的竹笆。两侧应沿栏杆架用密目式安全网封闭。</w:t>
            </w:r>
          </w:p>
        </w:tc>
      </w:tr>
      <w:tr w14:paraId="73BF3E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continue"/>
            <w:noWrap w:val="0"/>
            <w:vAlign w:val="center"/>
          </w:tcPr>
          <w:p w14:paraId="5A5BCBE7">
            <w:pPr>
              <w:rPr>
                <w:rFonts w:hint="eastAsia" w:ascii="宋体" w:hAnsi="宋体" w:eastAsia="宋体" w:cs="宋体"/>
                <w:color w:val="auto"/>
                <w:highlight w:val="none"/>
              </w:rPr>
            </w:pPr>
          </w:p>
        </w:tc>
        <w:tc>
          <w:tcPr>
            <w:tcW w:w="525" w:type="dxa"/>
            <w:vMerge w:val="continue"/>
            <w:noWrap w:val="0"/>
            <w:vAlign w:val="center"/>
          </w:tcPr>
          <w:p w14:paraId="09570481">
            <w:pPr>
              <w:rPr>
                <w:rFonts w:hint="eastAsia" w:ascii="宋体" w:hAnsi="宋体" w:eastAsia="宋体" w:cs="宋体"/>
                <w:color w:val="auto"/>
                <w:highlight w:val="none"/>
              </w:rPr>
            </w:pPr>
          </w:p>
        </w:tc>
        <w:tc>
          <w:tcPr>
            <w:tcW w:w="1545" w:type="dxa"/>
            <w:noWrap w:val="0"/>
            <w:vAlign w:val="center"/>
          </w:tcPr>
          <w:p w14:paraId="3AD76BD7">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预留洞口</w:t>
            </w:r>
          </w:p>
        </w:tc>
        <w:tc>
          <w:tcPr>
            <w:tcW w:w="6645" w:type="dxa"/>
            <w:noWrap w:val="0"/>
            <w:vAlign w:val="center"/>
          </w:tcPr>
          <w:p w14:paraId="0F8B35E5">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用硬质材料全封闭，短边超过1.5m长的洞口，除封闭外四周还应设有防护栏杆。</w:t>
            </w:r>
          </w:p>
        </w:tc>
      </w:tr>
      <w:tr w14:paraId="0A4B1A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605" w:hRule="atLeast"/>
        </w:trPr>
        <w:tc>
          <w:tcPr>
            <w:tcW w:w="738" w:type="dxa"/>
            <w:vMerge w:val="continue"/>
            <w:noWrap w:val="0"/>
            <w:vAlign w:val="center"/>
          </w:tcPr>
          <w:p w14:paraId="6D84BE33">
            <w:pPr>
              <w:rPr>
                <w:rFonts w:hint="eastAsia" w:ascii="宋体" w:hAnsi="宋体" w:eastAsia="宋体" w:cs="宋体"/>
                <w:color w:val="auto"/>
                <w:highlight w:val="none"/>
              </w:rPr>
            </w:pPr>
          </w:p>
        </w:tc>
        <w:tc>
          <w:tcPr>
            <w:tcW w:w="525" w:type="dxa"/>
            <w:vMerge w:val="continue"/>
            <w:noWrap w:val="0"/>
            <w:vAlign w:val="center"/>
          </w:tcPr>
          <w:p w14:paraId="7FFED319">
            <w:pPr>
              <w:rPr>
                <w:rFonts w:hint="eastAsia" w:ascii="宋体" w:hAnsi="宋体" w:eastAsia="宋体" w:cs="宋体"/>
                <w:color w:val="auto"/>
                <w:highlight w:val="none"/>
              </w:rPr>
            </w:pPr>
          </w:p>
        </w:tc>
        <w:tc>
          <w:tcPr>
            <w:tcW w:w="1545" w:type="dxa"/>
            <w:noWrap w:val="0"/>
            <w:vAlign w:val="center"/>
          </w:tcPr>
          <w:p w14:paraId="311AAFEF">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电梯井口</w:t>
            </w:r>
          </w:p>
        </w:tc>
        <w:tc>
          <w:tcPr>
            <w:tcW w:w="6645" w:type="dxa"/>
            <w:noWrap w:val="0"/>
            <w:vAlign w:val="center"/>
          </w:tcPr>
          <w:p w14:paraId="11E2C490">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设置定型化、工具化的防护门，在电梯井内每隔2层（不大于10m）设置一道水平防护。</w:t>
            </w:r>
          </w:p>
        </w:tc>
      </w:tr>
      <w:tr w14:paraId="061B39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continue"/>
            <w:noWrap w:val="0"/>
            <w:vAlign w:val="center"/>
          </w:tcPr>
          <w:p w14:paraId="08B81A2B">
            <w:pPr>
              <w:rPr>
                <w:rFonts w:hint="eastAsia" w:ascii="宋体" w:hAnsi="宋体" w:eastAsia="宋体" w:cs="宋体"/>
                <w:color w:val="auto"/>
                <w:highlight w:val="none"/>
              </w:rPr>
            </w:pPr>
          </w:p>
        </w:tc>
        <w:tc>
          <w:tcPr>
            <w:tcW w:w="525" w:type="dxa"/>
            <w:vMerge w:val="continue"/>
            <w:noWrap w:val="0"/>
            <w:vAlign w:val="center"/>
          </w:tcPr>
          <w:p w14:paraId="6C7CCE2D">
            <w:pPr>
              <w:rPr>
                <w:rFonts w:hint="eastAsia" w:ascii="宋体" w:hAnsi="宋体" w:eastAsia="宋体" w:cs="宋体"/>
                <w:color w:val="auto"/>
                <w:highlight w:val="none"/>
              </w:rPr>
            </w:pPr>
          </w:p>
        </w:tc>
        <w:tc>
          <w:tcPr>
            <w:tcW w:w="1545" w:type="dxa"/>
            <w:noWrap w:val="0"/>
            <w:vAlign w:val="center"/>
          </w:tcPr>
          <w:p w14:paraId="0323B307">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楼梯边</w:t>
            </w:r>
          </w:p>
        </w:tc>
        <w:tc>
          <w:tcPr>
            <w:tcW w:w="6645" w:type="dxa"/>
            <w:noWrap w:val="0"/>
            <w:vAlign w:val="center"/>
          </w:tcPr>
          <w:p w14:paraId="7CCD027F">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设1.2m高的定型化、工具化的防护栏，18cm高的踢脚板。</w:t>
            </w:r>
          </w:p>
        </w:tc>
      </w:tr>
      <w:tr w14:paraId="447B58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continue"/>
            <w:noWrap w:val="0"/>
            <w:vAlign w:val="center"/>
          </w:tcPr>
          <w:p w14:paraId="612020C9">
            <w:pPr>
              <w:rPr>
                <w:rFonts w:hint="eastAsia" w:ascii="宋体" w:hAnsi="宋体" w:eastAsia="宋体" w:cs="宋体"/>
                <w:color w:val="auto"/>
                <w:highlight w:val="none"/>
              </w:rPr>
            </w:pPr>
          </w:p>
        </w:tc>
        <w:tc>
          <w:tcPr>
            <w:tcW w:w="525" w:type="dxa"/>
            <w:vMerge w:val="continue"/>
            <w:noWrap w:val="0"/>
            <w:vAlign w:val="center"/>
          </w:tcPr>
          <w:p w14:paraId="22DABEE2">
            <w:pPr>
              <w:rPr>
                <w:rFonts w:hint="eastAsia" w:ascii="宋体" w:hAnsi="宋体" w:eastAsia="宋体" w:cs="宋体"/>
                <w:color w:val="auto"/>
                <w:highlight w:val="none"/>
              </w:rPr>
            </w:pPr>
          </w:p>
        </w:tc>
        <w:tc>
          <w:tcPr>
            <w:tcW w:w="1545" w:type="dxa"/>
            <w:noWrap w:val="0"/>
            <w:vAlign w:val="center"/>
          </w:tcPr>
          <w:p w14:paraId="7CD3477B">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垂直方向交叉作业</w:t>
            </w:r>
          </w:p>
        </w:tc>
        <w:tc>
          <w:tcPr>
            <w:tcW w:w="6645" w:type="dxa"/>
            <w:noWrap w:val="0"/>
            <w:vAlign w:val="center"/>
          </w:tcPr>
          <w:p w14:paraId="7926C8D3">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设置防护隔离棚</w:t>
            </w:r>
            <w:r>
              <w:rPr>
                <w:rFonts w:hint="eastAsia" w:ascii="宋体" w:hAnsi="宋体" w:cs="宋体"/>
                <w:color w:val="auto"/>
                <w:szCs w:val="21"/>
                <w:highlight w:val="none"/>
                <w:lang w:eastAsia="zh-CN" w:bidi="ar-SA"/>
              </w:rPr>
              <w:t>或其他设施</w:t>
            </w:r>
            <w:r>
              <w:rPr>
                <w:rFonts w:hint="eastAsia" w:ascii="宋体" w:hAnsi="宋体" w:eastAsia="宋体" w:cs="宋体"/>
                <w:color w:val="auto"/>
                <w:szCs w:val="21"/>
                <w:highlight w:val="none"/>
                <w:lang w:bidi="ar-SA"/>
              </w:rPr>
              <w:t>。</w:t>
            </w:r>
          </w:p>
        </w:tc>
      </w:tr>
      <w:tr w14:paraId="3ABC91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continue"/>
            <w:noWrap w:val="0"/>
            <w:vAlign w:val="center"/>
          </w:tcPr>
          <w:p w14:paraId="6215134D">
            <w:pPr>
              <w:rPr>
                <w:rFonts w:hint="eastAsia" w:ascii="宋体" w:hAnsi="宋体" w:eastAsia="宋体" w:cs="宋体"/>
                <w:color w:val="auto"/>
                <w:highlight w:val="none"/>
              </w:rPr>
            </w:pPr>
          </w:p>
        </w:tc>
        <w:tc>
          <w:tcPr>
            <w:tcW w:w="525" w:type="dxa"/>
            <w:vMerge w:val="continue"/>
            <w:noWrap w:val="0"/>
            <w:vAlign w:val="center"/>
          </w:tcPr>
          <w:p w14:paraId="2540BF43">
            <w:pPr>
              <w:rPr>
                <w:rFonts w:hint="eastAsia" w:ascii="宋体" w:hAnsi="宋体" w:eastAsia="宋体" w:cs="宋体"/>
                <w:color w:val="auto"/>
                <w:highlight w:val="none"/>
              </w:rPr>
            </w:pPr>
          </w:p>
        </w:tc>
        <w:tc>
          <w:tcPr>
            <w:tcW w:w="1545" w:type="dxa"/>
            <w:noWrap w:val="0"/>
            <w:vAlign w:val="center"/>
          </w:tcPr>
          <w:p w14:paraId="3DE063EB">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高处作业</w:t>
            </w:r>
          </w:p>
        </w:tc>
        <w:tc>
          <w:tcPr>
            <w:tcW w:w="6645" w:type="dxa"/>
            <w:noWrap w:val="0"/>
            <w:vAlign w:val="center"/>
          </w:tcPr>
          <w:p w14:paraId="3C98B80E">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有悬挂安全带的悬索</w:t>
            </w:r>
            <w:r>
              <w:rPr>
                <w:rFonts w:hint="eastAsia" w:ascii="宋体" w:hAnsi="宋体" w:cs="宋体"/>
                <w:color w:val="auto"/>
                <w:szCs w:val="21"/>
                <w:highlight w:val="none"/>
                <w:lang w:eastAsia="zh-CN" w:bidi="ar-SA"/>
              </w:rPr>
              <w:t>或其他设施</w:t>
            </w:r>
            <w:r>
              <w:rPr>
                <w:rFonts w:hint="eastAsia" w:ascii="宋体" w:hAnsi="宋体" w:eastAsia="宋体" w:cs="宋体"/>
                <w:color w:val="auto"/>
                <w:szCs w:val="21"/>
                <w:highlight w:val="none"/>
                <w:lang w:bidi="ar-SA"/>
              </w:rPr>
              <w:t>，有操作平台，有上下的梯子或</w:t>
            </w:r>
            <w:r>
              <w:rPr>
                <w:rFonts w:hint="eastAsia" w:ascii="宋体" w:hAnsi="宋体" w:cs="宋体"/>
                <w:color w:val="auto"/>
                <w:szCs w:val="21"/>
                <w:highlight w:val="none"/>
                <w:lang w:eastAsia="zh-CN" w:bidi="ar-SA"/>
              </w:rPr>
              <w:t>其他形式的</w:t>
            </w:r>
            <w:bookmarkStart w:id="870" w:name="_GoBack"/>
            <w:bookmarkEnd w:id="870"/>
            <w:r>
              <w:rPr>
                <w:rFonts w:hint="eastAsia" w:ascii="宋体" w:hAnsi="宋体" w:eastAsia="宋体" w:cs="宋体"/>
                <w:color w:val="auto"/>
                <w:szCs w:val="21"/>
                <w:highlight w:val="none"/>
                <w:lang w:bidi="ar-SA"/>
              </w:rPr>
              <w:t>通道。</w:t>
            </w:r>
          </w:p>
        </w:tc>
      </w:tr>
      <w:tr w14:paraId="6C9530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continue"/>
            <w:noWrap w:val="0"/>
            <w:vAlign w:val="center"/>
          </w:tcPr>
          <w:p w14:paraId="22A833E6">
            <w:pPr>
              <w:rPr>
                <w:rFonts w:hint="eastAsia" w:ascii="宋体" w:hAnsi="宋体" w:eastAsia="宋体" w:cs="宋体"/>
                <w:color w:val="auto"/>
                <w:highlight w:val="none"/>
              </w:rPr>
            </w:pPr>
          </w:p>
        </w:tc>
        <w:tc>
          <w:tcPr>
            <w:tcW w:w="525" w:type="dxa"/>
            <w:vMerge w:val="continue"/>
            <w:noWrap w:val="0"/>
            <w:vAlign w:val="center"/>
          </w:tcPr>
          <w:p w14:paraId="62E991BA">
            <w:pPr>
              <w:rPr>
                <w:rFonts w:hint="eastAsia" w:ascii="宋体" w:hAnsi="宋体" w:eastAsia="宋体" w:cs="宋体"/>
                <w:color w:val="auto"/>
                <w:highlight w:val="none"/>
              </w:rPr>
            </w:pPr>
          </w:p>
        </w:tc>
        <w:tc>
          <w:tcPr>
            <w:tcW w:w="1545" w:type="dxa"/>
            <w:noWrap w:val="0"/>
            <w:vAlign w:val="center"/>
          </w:tcPr>
          <w:p w14:paraId="2B6886BC">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基坑、物料平台</w:t>
            </w:r>
          </w:p>
        </w:tc>
        <w:tc>
          <w:tcPr>
            <w:tcW w:w="6645" w:type="dxa"/>
            <w:noWrap w:val="0"/>
            <w:vAlign w:val="center"/>
          </w:tcPr>
          <w:p w14:paraId="6829E82D">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设1.2m高标准化的防护栏，用密目式安全立网封闭，悬挂标识。</w:t>
            </w:r>
          </w:p>
        </w:tc>
      </w:tr>
      <w:tr w14:paraId="50B4D8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continue"/>
            <w:noWrap w:val="0"/>
            <w:vAlign w:val="center"/>
          </w:tcPr>
          <w:p w14:paraId="7913F980">
            <w:pPr>
              <w:rPr>
                <w:rFonts w:hint="eastAsia" w:ascii="宋体" w:hAnsi="宋体" w:eastAsia="宋体" w:cs="宋体"/>
                <w:color w:val="auto"/>
                <w:highlight w:val="none"/>
              </w:rPr>
            </w:pPr>
          </w:p>
        </w:tc>
        <w:tc>
          <w:tcPr>
            <w:tcW w:w="2070" w:type="dxa"/>
            <w:gridSpan w:val="2"/>
            <w:noWrap w:val="0"/>
            <w:vAlign w:val="center"/>
          </w:tcPr>
          <w:p w14:paraId="005BA70E">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安全防护用品</w:t>
            </w:r>
          </w:p>
        </w:tc>
        <w:tc>
          <w:tcPr>
            <w:tcW w:w="6645" w:type="dxa"/>
            <w:noWrap w:val="0"/>
            <w:vAlign w:val="center"/>
          </w:tcPr>
          <w:p w14:paraId="4E48F33D">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安全帽、安全带、特种作业人员（电工、焊工、架子工等）防护服装、用品等。</w:t>
            </w:r>
          </w:p>
        </w:tc>
      </w:tr>
      <w:tr w14:paraId="39370B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655" w:hRule="atLeast"/>
        </w:trPr>
        <w:tc>
          <w:tcPr>
            <w:tcW w:w="738" w:type="dxa"/>
            <w:vMerge w:val="restart"/>
            <w:noWrap w:val="0"/>
            <w:vAlign w:val="center"/>
          </w:tcPr>
          <w:p w14:paraId="40982919">
            <w:pPr>
              <w:pStyle w:val="49"/>
              <w:spacing w:line="300" w:lineRule="exact"/>
              <w:jc w:val="center"/>
              <w:rPr>
                <w:rFonts w:hint="eastAsia" w:ascii="宋体" w:hAnsi="宋体" w:eastAsia="宋体" w:cs="宋体"/>
                <w:color w:val="auto"/>
                <w:szCs w:val="21"/>
                <w:highlight w:val="none"/>
              </w:rPr>
            </w:pPr>
            <w:r>
              <w:rPr>
                <w:rFonts w:hint="eastAsia" w:ascii="宋体" w:hAnsi="宋体" w:cs="宋体"/>
                <w:color w:val="auto"/>
                <w:szCs w:val="21"/>
                <w:highlight w:val="none"/>
                <w:lang w:eastAsia="zh-CN" w:bidi="ar-SA"/>
              </w:rPr>
              <w:t>其他</w:t>
            </w:r>
          </w:p>
        </w:tc>
        <w:tc>
          <w:tcPr>
            <w:tcW w:w="525" w:type="dxa"/>
            <w:vMerge w:val="restart"/>
            <w:noWrap w:val="0"/>
            <w:vAlign w:val="center"/>
          </w:tcPr>
          <w:p w14:paraId="49D5546D">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机械设备防护</w:t>
            </w:r>
          </w:p>
        </w:tc>
        <w:tc>
          <w:tcPr>
            <w:tcW w:w="1545" w:type="dxa"/>
            <w:noWrap w:val="0"/>
            <w:vAlign w:val="center"/>
          </w:tcPr>
          <w:p w14:paraId="379E8B5A">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中小型机械</w:t>
            </w:r>
          </w:p>
        </w:tc>
        <w:tc>
          <w:tcPr>
            <w:tcW w:w="6645" w:type="dxa"/>
            <w:noWrap w:val="0"/>
            <w:vAlign w:val="center"/>
          </w:tcPr>
          <w:p w14:paraId="1FADF152">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设防护棚（同通道口防护并有防雨措施）。</w:t>
            </w:r>
          </w:p>
        </w:tc>
      </w:tr>
      <w:tr w14:paraId="0FA2BA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continue"/>
            <w:noWrap w:val="0"/>
            <w:vAlign w:val="center"/>
          </w:tcPr>
          <w:p w14:paraId="430D715F">
            <w:pPr>
              <w:rPr>
                <w:rFonts w:hint="eastAsia" w:ascii="宋体" w:hAnsi="宋体" w:eastAsia="宋体" w:cs="宋体"/>
                <w:color w:val="auto"/>
                <w:highlight w:val="none"/>
              </w:rPr>
            </w:pPr>
          </w:p>
        </w:tc>
        <w:tc>
          <w:tcPr>
            <w:tcW w:w="525" w:type="dxa"/>
            <w:vMerge w:val="continue"/>
            <w:noWrap w:val="0"/>
            <w:vAlign w:val="center"/>
          </w:tcPr>
          <w:p w14:paraId="0C8C56D8">
            <w:pPr>
              <w:rPr>
                <w:rFonts w:hint="eastAsia" w:ascii="宋体" w:hAnsi="宋体" w:eastAsia="宋体" w:cs="宋体"/>
                <w:color w:val="auto"/>
                <w:highlight w:val="none"/>
              </w:rPr>
            </w:pPr>
          </w:p>
        </w:tc>
        <w:tc>
          <w:tcPr>
            <w:tcW w:w="1545" w:type="dxa"/>
            <w:noWrap w:val="0"/>
            <w:vAlign w:val="center"/>
          </w:tcPr>
          <w:p w14:paraId="2F66B145">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垂直运输设备</w:t>
            </w:r>
          </w:p>
        </w:tc>
        <w:tc>
          <w:tcPr>
            <w:tcW w:w="6645" w:type="dxa"/>
            <w:noWrap w:val="0"/>
            <w:vAlign w:val="center"/>
          </w:tcPr>
          <w:p w14:paraId="00DA9144">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1. 垂直运输设备检测、检验、日常维护、保养等。</w:t>
            </w:r>
          </w:p>
          <w:p w14:paraId="4F6B9610">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2. 物料提升机、施工电梯等物料平台搭设、外侧用密目式安全立网全封闭，有安全通道、安全防护门、防护棚等。</w:t>
            </w:r>
          </w:p>
        </w:tc>
      </w:tr>
      <w:tr w14:paraId="1D8E12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10" w:hRule="exact"/>
        </w:trPr>
        <w:tc>
          <w:tcPr>
            <w:tcW w:w="738" w:type="dxa"/>
            <w:vMerge w:val="continue"/>
            <w:noWrap w:val="0"/>
            <w:vAlign w:val="center"/>
          </w:tcPr>
          <w:p w14:paraId="02B922E7">
            <w:pPr>
              <w:rPr>
                <w:rFonts w:hint="eastAsia" w:ascii="宋体" w:hAnsi="宋体" w:eastAsia="宋体" w:cs="宋体"/>
                <w:color w:val="auto"/>
                <w:highlight w:val="none"/>
              </w:rPr>
            </w:pPr>
          </w:p>
        </w:tc>
        <w:tc>
          <w:tcPr>
            <w:tcW w:w="2070" w:type="dxa"/>
            <w:gridSpan w:val="2"/>
            <w:noWrap w:val="0"/>
            <w:vAlign w:val="center"/>
          </w:tcPr>
          <w:p w14:paraId="225F6F85">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专家论证审查</w:t>
            </w:r>
          </w:p>
        </w:tc>
        <w:tc>
          <w:tcPr>
            <w:tcW w:w="6645" w:type="dxa"/>
            <w:noWrap w:val="0"/>
            <w:vAlign w:val="center"/>
          </w:tcPr>
          <w:p w14:paraId="08F93876">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超过一定规模的危险性较大分部分项工程专家论证审查。</w:t>
            </w:r>
          </w:p>
        </w:tc>
      </w:tr>
      <w:tr w14:paraId="1B07B3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10" w:hRule="exact"/>
        </w:trPr>
        <w:tc>
          <w:tcPr>
            <w:tcW w:w="738" w:type="dxa"/>
            <w:vMerge w:val="continue"/>
            <w:noWrap w:val="0"/>
            <w:vAlign w:val="center"/>
          </w:tcPr>
          <w:p w14:paraId="20A5792E">
            <w:pPr>
              <w:rPr>
                <w:rFonts w:hint="eastAsia" w:ascii="宋体" w:hAnsi="宋体" w:eastAsia="宋体" w:cs="宋体"/>
                <w:color w:val="auto"/>
                <w:highlight w:val="none"/>
              </w:rPr>
            </w:pPr>
          </w:p>
        </w:tc>
        <w:tc>
          <w:tcPr>
            <w:tcW w:w="2070" w:type="dxa"/>
            <w:gridSpan w:val="2"/>
            <w:noWrap w:val="0"/>
            <w:vAlign w:val="center"/>
          </w:tcPr>
          <w:p w14:paraId="28EE930E">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应急救援预案</w:t>
            </w:r>
          </w:p>
        </w:tc>
        <w:tc>
          <w:tcPr>
            <w:tcW w:w="6645" w:type="dxa"/>
            <w:noWrap w:val="0"/>
            <w:vAlign w:val="center"/>
          </w:tcPr>
          <w:p w14:paraId="5432CBEC">
            <w:pPr>
              <w:pStyle w:val="49"/>
              <w:spacing w:line="30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救援器材准备及演练等。</w:t>
            </w:r>
          </w:p>
        </w:tc>
      </w:tr>
      <w:tr w14:paraId="679199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Pr>
        <w:tc>
          <w:tcPr>
            <w:tcW w:w="738" w:type="dxa"/>
            <w:vMerge w:val="continue"/>
            <w:tcBorders>
              <w:bottom w:val="single" w:color="auto" w:sz="12" w:space="0"/>
            </w:tcBorders>
            <w:noWrap w:val="0"/>
            <w:vAlign w:val="center"/>
          </w:tcPr>
          <w:p w14:paraId="6EDEE5CA">
            <w:pPr>
              <w:rPr>
                <w:rFonts w:hint="eastAsia" w:ascii="宋体" w:hAnsi="宋体" w:eastAsia="宋体" w:cs="宋体"/>
                <w:color w:val="auto"/>
                <w:highlight w:val="none"/>
              </w:rPr>
            </w:pPr>
          </w:p>
        </w:tc>
        <w:tc>
          <w:tcPr>
            <w:tcW w:w="2070" w:type="dxa"/>
            <w:gridSpan w:val="2"/>
            <w:tcBorders>
              <w:bottom w:val="single" w:color="auto" w:sz="12" w:space="0"/>
            </w:tcBorders>
            <w:noWrap w:val="0"/>
            <w:vAlign w:val="center"/>
          </w:tcPr>
          <w:p w14:paraId="7D80F7A3">
            <w:pPr>
              <w:pStyle w:val="49"/>
              <w:spacing w:line="300" w:lineRule="exact"/>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lang w:bidi="ar-SA"/>
              </w:rPr>
              <w:t>非正常情况施工</w:t>
            </w:r>
          </w:p>
        </w:tc>
        <w:tc>
          <w:tcPr>
            <w:tcW w:w="6645" w:type="dxa"/>
            <w:tcBorders>
              <w:bottom w:val="single" w:color="auto" w:sz="12" w:space="0"/>
            </w:tcBorders>
            <w:noWrap w:val="0"/>
            <w:vAlign w:val="center"/>
          </w:tcPr>
          <w:p w14:paraId="2569900C">
            <w:pPr>
              <w:pStyle w:val="49"/>
              <w:spacing w:line="300" w:lineRule="exact"/>
              <w:rPr>
                <w:rFonts w:hint="eastAsia" w:ascii="宋体" w:hAnsi="宋体" w:eastAsia="宋体" w:cs="宋体"/>
                <w:color w:val="auto"/>
                <w:szCs w:val="21"/>
                <w:highlight w:val="none"/>
              </w:rPr>
            </w:pPr>
            <w:r>
              <w:rPr>
                <w:rFonts w:hint="eastAsia" w:ascii="宋体" w:hAnsi="宋体" w:cs="宋体"/>
                <w:color w:val="auto"/>
                <w:szCs w:val="21"/>
                <w:highlight w:val="none"/>
                <w:lang w:eastAsia="zh-CN" w:bidi="ar-SA"/>
              </w:rPr>
              <w:t>其他</w:t>
            </w:r>
            <w:r>
              <w:rPr>
                <w:rFonts w:hint="eastAsia" w:ascii="宋体" w:hAnsi="宋体" w:eastAsia="宋体" w:cs="宋体"/>
                <w:color w:val="auto"/>
                <w:szCs w:val="21"/>
                <w:highlight w:val="none"/>
                <w:lang w:bidi="ar-SA"/>
              </w:rPr>
              <w:t>特殊情况下的防护费用，如：城市主干道、人流密集、河边等处施工及文物、古建筑、古树保护等。</w:t>
            </w:r>
          </w:p>
        </w:tc>
      </w:tr>
    </w:tbl>
    <w:p w14:paraId="241F35A8">
      <w:pPr>
        <w:pStyle w:val="49"/>
        <w:spacing w:line="240" w:lineRule="atLeast"/>
        <w:ind w:firstLine="546"/>
        <w:jc w:val="center"/>
        <w:rPr>
          <w:rFonts w:hint="eastAsia" w:ascii="宋体" w:hAnsi="宋体" w:eastAsia="宋体" w:cs="宋体"/>
          <w:b/>
          <w:bCs/>
          <w:color w:val="auto"/>
          <w:w w:val="90"/>
          <w:sz w:val="24"/>
          <w:szCs w:val="24"/>
          <w:highlight w:val="none"/>
        </w:rPr>
      </w:pPr>
    </w:p>
    <w:p w14:paraId="602A17D8">
      <w:pPr>
        <w:pStyle w:val="49"/>
        <w:spacing w:before="156"/>
        <w:ind w:firstLine="420" w:firstLineChars="200"/>
        <w:rPr>
          <w:rFonts w:hint="eastAsia" w:ascii="宋体" w:hAnsi="宋体" w:eastAsia="宋体" w:cs="宋体"/>
          <w:color w:val="auto"/>
          <w:szCs w:val="21"/>
          <w:highlight w:val="none"/>
          <w:lang w:bidi="ar-SA"/>
        </w:rPr>
      </w:pPr>
      <w:r>
        <w:rPr>
          <w:rFonts w:hint="eastAsia" w:ascii="宋体" w:hAnsi="宋体" w:eastAsia="宋体" w:cs="宋体"/>
          <w:color w:val="auto"/>
          <w:szCs w:val="21"/>
          <w:highlight w:val="none"/>
          <w:lang w:bidi="ar-SA"/>
        </w:rPr>
        <w:t>注：本表所列建筑工程安全文明施工费，是依据现行法律法规及标准规范确定的。如法律法规和标准规范修订，本表所列项目应按照修订后的法律法规和标准规范进行调整。</w:t>
      </w:r>
    </w:p>
    <w:p w14:paraId="05D40F77">
      <w:pPr>
        <w:pStyle w:val="3"/>
        <w:numPr>
          <w:ilvl w:val="0"/>
          <w:numId w:val="0"/>
        </w:numPr>
        <w:rPr>
          <w:rFonts w:hint="eastAsia" w:ascii="宋体" w:hAnsi="宋体" w:cs="宋体"/>
          <w:b/>
          <w:color w:val="auto"/>
          <w:sz w:val="21"/>
          <w:szCs w:val="21"/>
          <w:highlight w:val="none"/>
          <w:lang w:val="en-US" w:eastAsia="zh-CN"/>
        </w:rPr>
      </w:pPr>
      <w:bookmarkStart w:id="856" w:name="_Toc21352"/>
      <w:bookmarkStart w:id="857" w:name="_Toc26788"/>
      <w:bookmarkStart w:id="858" w:name="_Toc10529"/>
      <w:bookmarkStart w:id="859" w:name="_Toc28672"/>
      <w:bookmarkStart w:id="860" w:name="_Toc497927084"/>
      <w:bookmarkStart w:id="861" w:name="_Toc9339"/>
    </w:p>
    <w:p w14:paraId="2491CAA1">
      <w:pPr>
        <w:rPr>
          <w:rFonts w:hint="eastAsia" w:ascii="宋体" w:hAnsi="宋体" w:cs="宋体"/>
          <w:b/>
          <w:color w:val="auto"/>
          <w:sz w:val="21"/>
          <w:szCs w:val="21"/>
          <w:highlight w:val="none"/>
          <w:lang w:val="en-US" w:eastAsia="zh-CN"/>
        </w:rPr>
      </w:pPr>
    </w:p>
    <w:p w14:paraId="464A612B">
      <w:pPr>
        <w:rPr>
          <w:rFonts w:hint="eastAsia" w:ascii="宋体" w:hAnsi="宋体" w:cs="宋体"/>
          <w:b/>
          <w:color w:val="auto"/>
          <w:sz w:val="21"/>
          <w:szCs w:val="21"/>
          <w:highlight w:val="none"/>
          <w:lang w:val="en-US" w:eastAsia="zh-CN"/>
        </w:rPr>
      </w:pPr>
    </w:p>
    <w:bookmarkEnd w:id="856"/>
    <w:bookmarkEnd w:id="857"/>
    <w:bookmarkEnd w:id="858"/>
    <w:p w14:paraId="45C290C3">
      <w:pPr>
        <w:widowControl w:val="0"/>
        <w:numPr>
          <w:ilvl w:val="0"/>
          <w:numId w:val="0"/>
        </w:numPr>
        <w:jc w:val="both"/>
        <w:rPr>
          <w:rFonts w:hint="eastAsia" w:ascii="宋体" w:hAnsi="宋体" w:eastAsia="宋体" w:cs="宋体"/>
          <w:color w:val="auto"/>
          <w:sz w:val="21"/>
          <w:szCs w:val="21"/>
          <w:highlight w:val="none"/>
        </w:rPr>
      </w:pPr>
    </w:p>
    <w:p w14:paraId="07F2D949">
      <w:pPr>
        <w:rPr>
          <w:rFonts w:hint="eastAsia" w:ascii="宋体" w:hAnsi="宋体" w:eastAsia="宋体" w:cs="宋体"/>
          <w:color w:val="auto"/>
          <w:sz w:val="21"/>
          <w:szCs w:val="21"/>
          <w:highlight w:val="none"/>
        </w:rPr>
      </w:pPr>
    </w:p>
    <w:bookmarkEnd w:id="859"/>
    <w:bookmarkEnd w:id="860"/>
    <w:bookmarkEnd w:id="861"/>
    <w:p w14:paraId="1F87AFF8">
      <w:pPr>
        <w:spacing w:line="360" w:lineRule="auto"/>
        <w:ind w:firstLine="420" w:firstLineChars="200"/>
        <w:rPr>
          <w:rFonts w:hint="eastAsia" w:ascii="宋体" w:hAnsi="宋体" w:eastAsia="宋体" w:cs="宋体"/>
          <w:color w:val="auto"/>
          <w:sz w:val="21"/>
          <w:szCs w:val="21"/>
          <w:highlight w:val="none"/>
        </w:rPr>
      </w:pPr>
    </w:p>
    <w:p w14:paraId="1D375649">
      <w:pPr>
        <w:pStyle w:val="23"/>
        <w:rPr>
          <w:rFonts w:hint="eastAsia" w:ascii="宋体" w:hAnsi="宋体" w:eastAsia="宋体" w:cs="宋体"/>
          <w:b/>
          <w:bCs/>
          <w:color w:val="auto"/>
          <w:sz w:val="21"/>
          <w:szCs w:val="21"/>
          <w:highlight w:val="none"/>
        </w:rPr>
      </w:pPr>
    </w:p>
    <w:p w14:paraId="517B4623">
      <w:pPr>
        <w:keepNext w:val="0"/>
        <w:keepLines w:val="0"/>
        <w:pageBreakBefore w:val="0"/>
        <w:widowControl w:val="0"/>
        <w:numPr>
          <w:ilvl w:val="0"/>
          <w:numId w:val="0"/>
        </w:numPr>
        <w:kinsoku/>
        <w:wordWrap/>
        <w:overflowPunct/>
        <w:topLinePunct w:val="0"/>
        <w:autoSpaceDE/>
        <w:autoSpaceDN/>
        <w:bidi w:val="0"/>
        <w:adjustRightInd/>
        <w:snapToGrid/>
        <w:spacing w:line="300" w:lineRule="exact"/>
        <w:textAlignment w:val="auto"/>
        <w:rPr>
          <w:rFonts w:hint="eastAsia" w:ascii="宋体" w:hAnsi="宋体" w:eastAsia="宋体" w:cs="宋体"/>
          <w:b/>
          <w:bCs/>
          <w:color w:val="auto"/>
          <w:sz w:val="24"/>
          <w:szCs w:val="24"/>
          <w:highlight w:val="none"/>
        </w:rPr>
      </w:pPr>
      <w:r>
        <w:rPr>
          <w:rFonts w:hint="eastAsia" w:ascii="宋体" w:hAnsi="宋体" w:eastAsia="宋体" w:cs="宋体"/>
          <w:b/>
          <w:bCs/>
          <w:color w:val="auto"/>
          <w:kern w:val="2"/>
          <w:sz w:val="24"/>
          <w:szCs w:val="24"/>
          <w:highlight w:val="none"/>
          <w:lang w:val="en-US" w:eastAsia="zh-CN" w:bidi="ar-SA"/>
        </w:rPr>
        <w:t>三、</w:t>
      </w:r>
      <w:r>
        <w:rPr>
          <w:rFonts w:hint="eastAsia" w:ascii="宋体" w:hAnsi="宋体" w:eastAsia="宋体" w:cs="宋体"/>
          <w:b/>
          <w:bCs/>
          <w:color w:val="auto"/>
          <w:sz w:val="24"/>
          <w:szCs w:val="24"/>
          <w:highlight w:val="none"/>
        </w:rPr>
        <w:t>其</w:t>
      </w:r>
      <w:r>
        <w:rPr>
          <w:rFonts w:hint="eastAsia" w:ascii="宋体" w:hAnsi="宋体" w:eastAsia="宋体" w:cs="宋体"/>
          <w:b/>
          <w:bCs/>
          <w:color w:val="auto"/>
          <w:sz w:val="24"/>
          <w:szCs w:val="24"/>
          <w:highlight w:val="none"/>
          <w:lang w:eastAsia="zh-CN"/>
        </w:rPr>
        <w:t>他</w:t>
      </w:r>
      <w:r>
        <w:rPr>
          <w:rFonts w:hint="eastAsia" w:ascii="宋体" w:hAnsi="宋体" w:eastAsia="宋体" w:cs="宋体"/>
          <w:b/>
          <w:bCs/>
          <w:color w:val="auto"/>
          <w:sz w:val="24"/>
          <w:szCs w:val="24"/>
          <w:highlight w:val="none"/>
        </w:rPr>
        <w:t>有效证明材料</w:t>
      </w:r>
    </w:p>
    <w:p w14:paraId="0453D3F3">
      <w:pPr>
        <w:spacing w:line="240" w:lineRule="auto"/>
        <w:rPr>
          <w:rFonts w:hint="eastAsia" w:ascii="宋体" w:hAnsi="宋体" w:eastAsia="宋体" w:cs="宋体"/>
          <w:b/>
          <w:bCs/>
          <w:iCs/>
          <w:color w:val="auto"/>
          <w:kern w:val="2"/>
          <w:sz w:val="21"/>
          <w:szCs w:val="21"/>
          <w:highlight w:val="none"/>
          <w:lang w:val="en-US" w:eastAsia="zh-CN" w:bidi="ar-SA"/>
        </w:rPr>
      </w:pPr>
    </w:p>
    <w:p w14:paraId="26928E97">
      <w:pPr>
        <w:spacing w:line="240" w:lineRule="auto"/>
        <w:rPr>
          <w:rFonts w:hint="eastAsia" w:ascii="宋体" w:hAnsi="宋体" w:eastAsia="宋体" w:cs="宋体"/>
          <w:b/>
          <w:bCs/>
          <w:iCs/>
          <w:color w:val="auto"/>
          <w:kern w:val="2"/>
          <w:sz w:val="21"/>
          <w:szCs w:val="21"/>
          <w:highlight w:val="none"/>
          <w:lang w:val="en-US" w:eastAsia="zh-CN" w:bidi="ar-SA"/>
        </w:rPr>
      </w:pPr>
      <w:r>
        <w:rPr>
          <w:rFonts w:hint="eastAsia" w:ascii="宋体" w:hAnsi="宋体" w:eastAsia="宋体" w:cs="宋体"/>
          <w:b/>
          <w:bCs/>
          <w:iCs/>
          <w:color w:val="auto"/>
          <w:kern w:val="2"/>
          <w:sz w:val="21"/>
          <w:szCs w:val="21"/>
          <w:highlight w:val="none"/>
          <w:lang w:val="en-US" w:eastAsia="zh-CN" w:bidi="ar-SA"/>
        </w:rPr>
        <w:t>1.供应商2021年1月1日以来具有同类项目业绩的相关证明材料（无不良记录，以中标、成交通知书或签订的合同复印件为准，并能清晰反映项目的名称、采购内容、采购金额、采购时间）（如有，请提供）</w:t>
      </w:r>
      <w:r>
        <w:rPr>
          <w:rFonts w:hint="eastAsia" w:ascii="宋体" w:hAnsi="宋体" w:cs="宋体"/>
          <w:b/>
          <w:bCs/>
          <w:iCs/>
          <w:color w:val="auto"/>
          <w:kern w:val="2"/>
          <w:sz w:val="21"/>
          <w:szCs w:val="21"/>
          <w:highlight w:val="none"/>
          <w:lang w:val="en-US" w:eastAsia="zh-CN" w:bidi="ar-SA"/>
        </w:rPr>
        <w:t>；</w:t>
      </w:r>
    </w:p>
    <w:p w14:paraId="58224A91">
      <w:pPr>
        <w:spacing w:line="240" w:lineRule="auto"/>
        <w:rPr>
          <w:rFonts w:hint="eastAsia" w:ascii="宋体" w:hAnsi="宋体" w:eastAsia="宋体" w:cs="宋体"/>
          <w:b/>
          <w:bCs/>
          <w:iCs/>
          <w:color w:val="auto"/>
          <w:kern w:val="2"/>
          <w:sz w:val="21"/>
          <w:szCs w:val="21"/>
          <w:highlight w:val="none"/>
          <w:lang w:val="en-US" w:eastAsia="zh-CN" w:bidi="ar-SA"/>
        </w:rPr>
      </w:pPr>
    </w:p>
    <w:p w14:paraId="74044061">
      <w:pPr>
        <w:spacing w:line="240" w:lineRule="auto"/>
        <w:rPr>
          <w:rFonts w:hint="eastAsia" w:ascii="宋体" w:hAnsi="宋体" w:eastAsia="宋体" w:cs="宋体"/>
          <w:b/>
          <w:bCs/>
          <w:iCs/>
          <w:color w:val="auto"/>
          <w:kern w:val="2"/>
          <w:sz w:val="21"/>
          <w:szCs w:val="21"/>
          <w:highlight w:val="none"/>
          <w:lang w:val="en-US" w:eastAsia="zh-CN" w:bidi="ar-SA"/>
        </w:rPr>
      </w:pPr>
    </w:p>
    <w:p w14:paraId="40E85C33">
      <w:pPr>
        <w:spacing w:line="240" w:lineRule="auto"/>
        <w:rPr>
          <w:rFonts w:hint="eastAsia" w:ascii="宋体" w:hAnsi="宋体" w:eastAsia="宋体" w:cs="宋体"/>
          <w:b/>
          <w:bCs/>
          <w:iCs/>
          <w:color w:val="auto"/>
          <w:kern w:val="2"/>
          <w:sz w:val="21"/>
          <w:szCs w:val="21"/>
          <w:highlight w:val="none"/>
          <w:lang w:val="en-US" w:eastAsia="zh-CN" w:bidi="ar-SA"/>
        </w:rPr>
      </w:pPr>
    </w:p>
    <w:p w14:paraId="73D054B0">
      <w:pPr>
        <w:spacing w:line="240" w:lineRule="auto"/>
        <w:rPr>
          <w:rFonts w:hint="eastAsia" w:ascii="宋体" w:hAnsi="宋体" w:eastAsia="宋体" w:cs="宋体"/>
          <w:b/>
          <w:bCs/>
          <w:iCs/>
          <w:color w:val="auto"/>
          <w:kern w:val="2"/>
          <w:sz w:val="21"/>
          <w:szCs w:val="21"/>
          <w:highlight w:val="none"/>
          <w:lang w:val="en-US" w:eastAsia="zh-CN" w:bidi="ar-SA"/>
        </w:rPr>
      </w:pPr>
    </w:p>
    <w:p w14:paraId="3416C0A7">
      <w:pPr>
        <w:pStyle w:val="8"/>
        <w:rPr>
          <w:rFonts w:hint="eastAsia"/>
          <w:color w:val="auto"/>
          <w:highlight w:val="none"/>
          <w:lang w:val="en-US" w:eastAsia="zh-CN"/>
        </w:rPr>
      </w:pPr>
    </w:p>
    <w:p w14:paraId="50CA1960">
      <w:pPr>
        <w:spacing w:line="240" w:lineRule="auto"/>
        <w:rPr>
          <w:rFonts w:hint="eastAsia" w:ascii="宋体" w:hAnsi="宋体" w:cs="宋体"/>
          <w:b/>
          <w:bCs/>
          <w:iCs/>
          <w:color w:val="auto"/>
          <w:kern w:val="2"/>
          <w:sz w:val="21"/>
          <w:szCs w:val="21"/>
          <w:highlight w:val="none"/>
          <w:lang w:val="en-US" w:eastAsia="zh-CN" w:bidi="ar-SA"/>
        </w:rPr>
      </w:pPr>
      <w:r>
        <w:rPr>
          <w:rFonts w:hint="eastAsia" w:ascii="宋体" w:hAnsi="宋体" w:cs="宋体"/>
          <w:b/>
          <w:bCs/>
          <w:iCs/>
          <w:color w:val="auto"/>
          <w:kern w:val="2"/>
          <w:sz w:val="21"/>
          <w:szCs w:val="21"/>
          <w:highlight w:val="none"/>
          <w:lang w:val="en-US" w:eastAsia="zh-CN" w:bidi="ar-SA"/>
        </w:rPr>
        <w:t>2.供应商相关获奖证书、认证证书等复印件（如有，请提供）；</w:t>
      </w:r>
    </w:p>
    <w:p w14:paraId="67F36A88">
      <w:pPr>
        <w:spacing w:line="240" w:lineRule="auto"/>
        <w:rPr>
          <w:rFonts w:hint="eastAsia" w:ascii="宋体" w:hAnsi="宋体" w:cs="宋体"/>
          <w:b/>
          <w:bCs/>
          <w:iCs/>
          <w:color w:val="auto"/>
          <w:kern w:val="2"/>
          <w:sz w:val="21"/>
          <w:szCs w:val="21"/>
          <w:highlight w:val="none"/>
          <w:lang w:val="en-US" w:eastAsia="zh-CN" w:bidi="ar-SA"/>
        </w:rPr>
      </w:pPr>
    </w:p>
    <w:p w14:paraId="416E2238">
      <w:pPr>
        <w:spacing w:line="240" w:lineRule="auto"/>
        <w:rPr>
          <w:rFonts w:hint="eastAsia" w:ascii="宋体" w:hAnsi="宋体" w:cs="宋体"/>
          <w:b/>
          <w:bCs/>
          <w:iCs/>
          <w:color w:val="auto"/>
          <w:kern w:val="2"/>
          <w:sz w:val="21"/>
          <w:szCs w:val="21"/>
          <w:highlight w:val="none"/>
          <w:lang w:val="en-US" w:eastAsia="zh-CN" w:bidi="ar-SA"/>
        </w:rPr>
      </w:pPr>
    </w:p>
    <w:p w14:paraId="0F4EDD6B">
      <w:pPr>
        <w:spacing w:line="240" w:lineRule="auto"/>
        <w:rPr>
          <w:rFonts w:hint="eastAsia" w:ascii="宋体" w:hAnsi="宋体" w:cs="宋体"/>
          <w:b/>
          <w:bCs/>
          <w:iCs/>
          <w:color w:val="auto"/>
          <w:kern w:val="2"/>
          <w:sz w:val="21"/>
          <w:szCs w:val="21"/>
          <w:highlight w:val="none"/>
          <w:lang w:val="en-US" w:eastAsia="zh-CN" w:bidi="ar-SA"/>
        </w:rPr>
      </w:pPr>
    </w:p>
    <w:p w14:paraId="4423EBB5">
      <w:pPr>
        <w:spacing w:line="240" w:lineRule="auto"/>
        <w:rPr>
          <w:rFonts w:hint="eastAsia" w:ascii="宋体" w:hAnsi="宋体" w:cs="宋体"/>
          <w:b/>
          <w:bCs/>
          <w:iCs/>
          <w:color w:val="auto"/>
          <w:kern w:val="2"/>
          <w:sz w:val="21"/>
          <w:szCs w:val="21"/>
          <w:highlight w:val="none"/>
          <w:lang w:val="en-US" w:eastAsia="zh-CN" w:bidi="ar-SA"/>
        </w:rPr>
      </w:pPr>
    </w:p>
    <w:p w14:paraId="4A2D3944">
      <w:pPr>
        <w:spacing w:line="240" w:lineRule="auto"/>
        <w:rPr>
          <w:rFonts w:hint="eastAsia" w:ascii="宋体" w:hAnsi="宋体" w:cs="宋体"/>
          <w:b/>
          <w:bCs/>
          <w:iCs/>
          <w:color w:val="auto"/>
          <w:kern w:val="2"/>
          <w:sz w:val="21"/>
          <w:szCs w:val="21"/>
          <w:highlight w:val="none"/>
          <w:lang w:val="en-US" w:eastAsia="zh-CN" w:bidi="ar-SA"/>
        </w:rPr>
      </w:pPr>
    </w:p>
    <w:p w14:paraId="24798F44">
      <w:pPr>
        <w:spacing w:line="240" w:lineRule="auto"/>
        <w:rPr>
          <w:rFonts w:hint="eastAsia" w:ascii="宋体" w:hAnsi="宋体" w:eastAsia="宋体" w:cs="宋体"/>
          <w:b/>
          <w:bCs/>
          <w:iCs/>
          <w:color w:val="auto"/>
          <w:kern w:val="2"/>
          <w:sz w:val="21"/>
          <w:szCs w:val="21"/>
          <w:highlight w:val="none"/>
          <w:lang w:val="en-US" w:eastAsia="zh-CN" w:bidi="ar-SA"/>
        </w:rPr>
      </w:pPr>
      <w:r>
        <w:rPr>
          <w:rFonts w:hint="eastAsia" w:ascii="宋体" w:hAnsi="宋体" w:cs="宋体"/>
          <w:b/>
          <w:bCs/>
          <w:iCs/>
          <w:color w:val="auto"/>
          <w:kern w:val="2"/>
          <w:sz w:val="21"/>
          <w:szCs w:val="21"/>
          <w:highlight w:val="none"/>
          <w:lang w:val="en-US" w:eastAsia="zh-CN" w:bidi="ar-SA"/>
        </w:rPr>
        <w:t>3</w:t>
      </w:r>
      <w:r>
        <w:rPr>
          <w:rFonts w:hint="eastAsia" w:ascii="宋体" w:hAnsi="宋体" w:eastAsia="宋体" w:cs="宋体"/>
          <w:b/>
          <w:bCs/>
          <w:iCs/>
          <w:color w:val="auto"/>
          <w:kern w:val="2"/>
          <w:sz w:val="21"/>
          <w:szCs w:val="21"/>
          <w:highlight w:val="none"/>
          <w:lang w:val="en-US" w:eastAsia="zh-CN" w:bidi="ar-SA"/>
        </w:rPr>
        <w:t>.供应商可结合本项目的自身情况自行提交</w:t>
      </w:r>
      <w:r>
        <w:rPr>
          <w:rFonts w:hint="eastAsia" w:ascii="宋体" w:hAnsi="宋体" w:cs="宋体"/>
          <w:b/>
          <w:bCs/>
          <w:iCs/>
          <w:color w:val="auto"/>
          <w:kern w:val="2"/>
          <w:sz w:val="21"/>
          <w:szCs w:val="21"/>
          <w:highlight w:val="none"/>
          <w:lang w:val="en-US" w:eastAsia="zh-CN" w:bidi="ar-SA"/>
        </w:rPr>
        <w:t>其他</w:t>
      </w:r>
      <w:r>
        <w:rPr>
          <w:rFonts w:hint="eastAsia" w:ascii="宋体" w:hAnsi="宋体" w:eastAsia="宋体" w:cs="宋体"/>
          <w:b/>
          <w:bCs/>
          <w:iCs/>
          <w:color w:val="auto"/>
          <w:kern w:val="2"/>
          <w:sz w:val="21"/>
          <w:szCs w:val="21"/>
          <w:highlight w:val="none"/>
          <w:lang w:val="en-US" w:eastAsia="zh-CN" w:bidi="ar-SA"/>
        </w:rPr>
        <w:t>相关证明材料。</w:t>
      </w:r>
    </w:p>
    <w:p w14:paraId="105C171A">
      <w:pPr>
        <w:bidi w:val="0"/>
        <w:rPr>
          <w:rFonts w:hint="eastAsia" w:ascii="宋体" w:hAnsi="宋体" w:eastAsia="宋体" w:cs="宋体"/>
          <w:color w:val="auto"/>
          <w:sz w:val="21"/>
          <w:szCs w:val="21"/>
          <w:highlight w:val="none"/>
          <w:lang w:val="en-US" w:eastAsia="zh-CN"/>
        </w:rPr>
      </w:pPr>
    </w:p>
    <w:p w14:paraId="34FD034C">
      <w:pPr>
        <w:rPr>
          <w:rFonts w:hint="eastAsia" w:ascii="宋体" w:hAnsi="宋体" w:eastAsia="宋体" w:cs="宋体"/>
          <w:color w:val="auto"/>
          <w:sz w:val="21"/>
          <w:szCs w:val="21"/>
          <w:highlight w:val="none"/>
          <w:lang w:val="en-US" w:eastAsia="zh-CN"/>
        </w:rPr>
      </w:pPr>
    </w:p>
    <w:p w14:paraId="0345CD77">
      <w:pPr>
        <w:pStyle w:val="2"/>
        <w:spacing w:line="240" w:lineRule="auto"/>
        <w:jc w:val="center"/>
        <w:rPr>
          <w:rFonts w:hint="eastAsia" w:ascii="宋体" w:hAnsi="宋体" w:eastAsia="宋体" w:cs="宋体"/>
          <w:color w:val="auto"/>
          <w:sz w:val="21"/>
          <w:szCs w:val="21"/>
          <w:highlight w:val="none"/>
        </w:rPr>
      </w:pPr>
      <w:bookmarkStart w:id="862" w:name="_Toc18780"/>
      <w:bookmarkStart w:id="863" w:name="_Toc22545"/>
      <w:bookmarkStart w:id="864" w:name="_Toc16390"/>
      <w:bookmarkStart w:id="865" w:name="_Toc12385"/>
      <w:bookmarkStart w:id="866" w:name="_Toc1637952"/>
      <w:bookmarkStart w:id="867" w:name="_Toc6973"/>
      <w:bookmarkStart w:id="868" w:name="_Toc2237"/>
    </w:p>
    <w:p w14:paraId="7379B0C5">
      <w:pPr>
        <w:pStyle w:val="2"/>
        <w:spacing w:line="240" w:lineRule="auto"/>
        <w:jc w:val="center"/>
        <w:rPr>
          <w:rFonts w:hint="eastAsia" w:ascii="宋体" w:hAnsi="宋体" w:eastAsia="宋体" w:cs="宋体"/>
          <w:color w:val="auto"/>
          <w:sz w:val="21"/>
          <w:szCs w:val="21"/>
          <w:highlight w:val="none"/>
        </w:rPr>
      </w:pPr>
    </w:p>
    <w:p w14:paraId="71BEB454">
      <w:pPr>
        <w:rPr>
          <w:rFonts w:hint="eastAsia" w:ascii="宋体" w:hAnsi="宋体" w:eastAsia="宋体" w:cs="宋体"/>
          <w:color w:val="auto"/>
          <w:sz w:val="21"/>
          <w:szCs w:val="21"/>
          <w:highlight w:val="none"/>
        </w:rPr>
      </w:pPr>
    </w:p>
    <w:p w14:paraId="073B8441">
      <w:pPr>
        <w:pStyle w:val="8"/>
        <w:rPr>
          <w:rFonts w:hint="eastAsia" w:ascii="宋体" w:hAnsi="宋体" w:eastAsia="宋体" w:cs="宋体"/>
          <w:color w:val="auto"/>
          <w:sz w:val="21"/>
          <w:szCs w:val="21"/>
          <w:highlight w:val="none"/>
        </w:rPr>
      </w:pPr>
    </w:p>
    <w:p w14:paraId="233E4C9D">
      <w:pPr>
        <w:rPr>
          <w:rFonts w:hint="eastAsia" w:ascii="宋体" w:hAnsi="宋体" w:eastAsia="宋体" w:cs="宋体"/>
          <w:color w:val="auto"/>
          <w:sz w:val="21"/>
          <w:szCs w:val="21"/>
          <w:highlight w:val="none"/>
        </w:rPr>
      </w:pPr>
    </w:p>
    <w:p w14:paraId="65866E7A">
      <w:pPr>
        <w:pStyle w:val="8"/>
        <w:rPr>
          <w:rFonts w:hint="eastAsia" w:ascii="宋体" w:hAnsi="宋体" w:eastAsia="宋体" w:cs="宋体"/>
          <w:color w:val="auto"/>
          <w:sz w:val="21"/>
          <w:szCs w:val="21"/>
          <w:highlight w:val="none"/>
        </w:rPr>
      </w:pPr>
    </w:p>
    <w:p w14:paraId="6408CA80">
      <w:pPr>
        <w:rPr>
          <w:rFonts w:hint="eastAsia" w:ascii="宋体" w:hAnsi="宋体" w:eastAsia="宋体" w:cs="宋体"/>
          <w:color w:val="auto"/>
          <w:sz w:val="21"/>
          <w:szCs w:val="21"/>
          <w:highlight w:val="none"/>
        </w:rPr>
      </w:pPr>
    </w:p>
    <w:p w14:paraId="7E3408B7">
      <w:pPr>
        <w:pStyle w:val="8"/>
        <w:rPr>
          <w:rFonts w:hint="eastAsia" w:ascii="宋体" w:hAnsi="宋体" w:eastAsia="宋体" w:cs="宋体"/>
          <w:color w:val="auto"/>
          <w:sz w:val="21"/>
          <w:szCs w:val="21"/>
          <w:highlight w:val="none"/>
        </w:rPr>
      </w:pPr>
    </w:p>
    <w:p w14:paraId="34D5FF6E">
      <w:pPr>
        <w:rPr>
          <w:rFonts w:hint="eastAsia" w:ascii="宋体" w:hAnsi="宋体" w:eastAsia="宋体" w:cs="宋体"/>
          <w:color w:val="auto"/>
          <w:sz w:val="21"/>
          <w:szCs w:val="21"/>
          <w:highlight w:val="none"/>
        </w:rPr>
      </w:pPr>
    </w:p>
    <w:p w14:paraId="1B2B7557">
      <w:pPr>
        <w:pStyle w:val="8"/>
        <w:rPr>
          <w:rFonts w:hint="eastAsia" w:ascii="宋体" w:hAnsi="宋体" w:eastAsia="宋体" w:cs="宋体"/>
          <w:color w:val="auto"/>
          <w:sz w:val="21"/>
          <w:szCs w:val="21"/>
          <w:highlight w:val="none"/>
        </w:rPr>
      </w:pPr>
    </w:p>
    <w:p w14:paraId="4BB55240">
      <w:pPr>
        <w:rPr>
          <w:rFonts w:hint="eastAsia" w:ascii="宋体" w:hAnsi="宋体" w:eastAsia="宋体" w:cs="宋体"/>
          <w:color w:val="auto"/>
          <w:sz w:val="21"/>
          <w:szCs w:val="21"/>
          <w:highlight w:val="none"/>
        </w:rPr>
      </w:pPr>
    </w:p>
    <w:p w14:paraId="4BF5B475">
      <w:pPr>
        <w:pStyle w:val="8"/>
        <w:rPr>
          <w:rFonts w:hint="eastAsia" w:ascii="宋体" w:hAnsi="宋体" w:eastAsia="宋体" w:cs="宋体"/>
          <w:color w:val="auto"/>
          <w:sz w:val="21"/>
          <w:szCs w:val="21"/>
          <w:highlight w:val="none"/>
        </w:rPr>
      </w:pPr>
    </w:p>
    <w:p w14:paraId="0F8F11E4">
      <w:pPr>
        <w:rPr>
          <w:rFonts w:hint="eastAsia" w:ascii="宋体" w:hAnsi="宋体" w:eastAsia="宋体" w:cs="宋体"/>
          <w:color w:val="auto"/>
          <w:sz w:val="21"/>
          <w:szCs w:val="21"/>
          <w:highlight w:val="none"/>
        </w:rPr>
      </w:pPr>
    </w:p>
    <w:p w14:paraId="25AF806D">
      <w:pPr>
        <w:pStyle w:val="8"/>
        <w:rPr>
          <w:rFonts w:hint="eastAsia" w:ascii="宋体" w:hAnsi="宋体" w:eastAsia="宋体" w:cs="宋体"/>
          <w:color w:val="auto"/>
          <w:sz w:val="21"/>
          <w:szCs w:val="21"/>
          <w:highlight w:val="none"/>
        </w:rPr>
      </w:pPr>
    </w:p>
    <w:p w14:paraId="7BEA030E">
      <w:pPr>
        <w:rPr>
          <w:rFonts w:hint="eastAsia"/>
          <w:color w:val="auto"/>
          <w:highlight w:val="none"/>
        </w:rPr>
      </w:pPr>
    </w:p>
    <w:p w14:paraId="004150AE">
      <w:pPr>
        <w:pStyle w:val="2"/>
        <w:spacing w:line="240" w:lineRule="auto"/>
        <w:jc w:val="center"/>
        <w:rPr>
          <w:rFonts w:hint="eastAsia" w:ascii="宋体" w:hAnsi="宋体" w:eastAsia="宋体" w:cs="宋体"/>
          <w:color w:val="auto"/>
          <w:sz w:val="24"/>
          <w:szCs w:val="24"/>
          <w:highlight w:val="none"/>
        </w:rPr>
      </w:pPr>
      <w:bookmarkStart w:id="869" w:name="_Toc15967"/>
    </w:p>
    <w:p w14:paraId="001C67BF">
      <w:pPr>
        <w:pStyle w:val="2"/>
        <w:spacing w:line="240" w:lineRule="auto"/>
        <w:jc w:val="center"/>
        <w:rPr>
          <w:rFonts w:hint="eastAsia" w:ascii="宋体" w:hAnsi="宋体" w:eastAsia="宋体" w:cs="宋体"/>
          <w:color w:val="auto"/>
          <w:sz w:val="24"/>
          <w:szCs w:val="24"/>
          <w:highlight w:val="none"/>
        </w:rPr>
      </w:pPr>
    </w:p>
    <w:p w14:paraId="1C17917D">
      <w:pPr>
        <w:pStyle w:val="2"/>
        <w:spacing w:line="240" w:lineRule="auto"/>
        <w:jc w:val="center"/>
        <w:rPr>
          <w:rFonts w:hint="eastAsia" w:ascii="宋体" w:hAnsi="宋体" w:eastAsia="宋体" w:cs="宋体"/>
          <w:color w:val="auto"/>
          <w:sz w:val="24"/>
          <w:szCs w:val="24"/>
          <w:highlight w:val="none"/>
        </w:rPr>
      </w:pPr>
    </w:p>
    <w:p w14:paraId="5F36AC63">
      <w:pPr>
        <w:pStyle w:val="2"/>
        <w:spacing w:line="240" w:lineRule="auto"/>
        <w:jc w:val="center"/>
        <w:rPr>
          <w:rFonts w:hint="eastAsia" w:ascii="宋体" w:hAnsi="宋体" w:eastAsia="宋体" w:cs="宋体"/>
          <w:color w:val="auto"/>
          <w:sz w:val="24"/>
          <w:szCs w:val="24"/>
          <w:highlight w:val="none"/>
        </w:rPr>
      </w:pPr>
    </w:p>
    <w:p w14:paraId="19D0F449">
      <w:pPr>
        <w:pStyle w:val="2"/>
        <w:spacing w:line="240" w:lineRule="auto"/>
        <w:jc w:val="center"/>
        <w:rPr>
          <w:rFonts w:hint="eastAsia" w:ascii="宋体" w:hAnsi="宋体" w:eastAsia="宋体" w:cs="宋体"/>
          <w:color w:val="auto"/>
          <w:sz w:val="24"/>
          <w:szCs w:val="24"/>
          <w:highlight w:val="none"/>
        </w:rPr>
      </w:pPr>
    </w:p>
    <w:p w14:paraId="2718D6B2">
      <w:pPr>
        <w:pStyle w:val="2"/>
        <w:spacing w:line="240" w:lineRule="auto"/>
        <w:jc w:val="center"/>
        <w:rPr>
          <w:rFonts w:hint="eastAsia" w:ascii="宋体" w:hAnsi="宋体" w:eastAsia="宋体" w:cs="宋体"/>
          <w:color w:val="auto"/>
          <w:sz w:val="24"/>
          <w:szCs w:val="24"/>
          <w:highlight w:val="none"/>
        </w:rPr>
      </w:pPr>
    </w:p>
    <w:p w14:paraId="24AC3764">
      <w:pPr>
        <w:pStyle w:val="2"/>
        <w:spacing w:line="240" w:lineRule="auto"/>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第七章</w:t>
      </w:r>
      <w:r>
        <w:rPr>
          <w:rFonts w:hint="eastAsia" w:ascii="宋体" w:hAnsi="宋体" w:cs="宋体"/>
          <w:color w:val="auto"/>
          <w:sz w:val="28"/>
          <w:szCs w:val="28"/>
          <w:highlight w:val="none"/>
          <w:lang w:val="en-US" w:eastAsia="zh-CN"/>
        </w:rPr>
        <w:t xml:space="preserve"> </w:t>
      </w:r>
      <w:r>
        <w:rPr>
          <w:rFonts w:hint="eastAsia" w:ascii="宋体" w:hAnsi="宋体" w:eastAsia="宋体" w:cs="宋体"/>
          <w:color w:val="auto"/>
          <w:sz w:val="28"/>
          <w:szCs w:val="28"/>
          <w:highlight w:val="none"/>
        </w:rPr>
        <w:t>图纸</w:t>
      </w:r>
      <w:bookmarkEnd w:id="862"/>
      <w:bookmarkEnd w:id="863"/>
      <w:bookmarkEnd w:id="864"/>
      <w:bookmarkEnd w:id="865"/>
      <w:bookmarkEnd w:id="866"/>
      <w:bookmarkEnd w:id="867"/>
      <w:bookmarkEnd w:id="868"/>
      <w:bookmarkEnd w:id="869"/>
    </w:p>
    <w:p w14:paraId="5BD66CDA">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另附</w:t>
      </w:r>
    </w:p>
    <w:sectPr>
      <w:headerReference r:id="rId11" w:type="default"/>
      <w:footerReference r:id="rId12" w:type="default"/>
      <w:pgSz w:w="11910" w:h="16850"/>
      <w:pgMar w:top="1417" w:right="1417" w:bottom="1417" w:left="1417" w:header="876" w:footer="861" w:gutter="0"/>
      <w:pgNumType w:fmt="decimal"/>
      <w:cols w:space="720" w:num="1"/>
      <w:docGrid w:linePitch="28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libri Light">
    <w:panose1 w:val="020F0302020204030204"/>
    <w:charset w:val="00"/>
    <w:family w:val="swiss"/>
    <w:pitch w:val="default"/>
    <w:sig w:usb0="E4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B153FF">
    <w:pPr>
      <w:pStyle w:val="12"/>
      <w:framePr w:wrap="around" w:vAnchor="text" w:hAnchor="margin" w:xAlign="center" w:y="1"/>
      <w:rPr>
        <w:rStyle w:val="21"/>
      </w:rPr>
    </w:pPr>
    <w:r>
      <w:fldChar w:fldCharType="begin"/>
    </w:r>
    <w:r>
      <w:rPr>
        <w:rStyle w:val="21"/>
      </w:rPr>
      <w:instrText xml:space="preserve">PAGE  </w:instrText>
    </w:r>
    <w:r>
      <w:fldChar w:fldCharType="end"/>
    </w:r>
  </w:p>
  <w:p w14:paraId="6505B33B">
    <w:pPr>
      <w:pStyle w:val="1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427B18">
    <w:pPr>
      <w:pStyle w:val="1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8B08DE">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058B08DE">
                    <w:pPr>
                      <w:pStyle w:val="1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3D5EAA">
    <w:pPr>
      <w:pStyle w:val="12"/>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C40FD7">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46C40FD7">
                    <w:pPr>
                      <w:pStyle w:val="1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15D80F">
    <w:pPr>
      <w:pStyle w:val="12"/>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1529A6">
                          <w:pPr>
                            <w:pStyle w:val="12"/>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651529A6">
                    <w:pPr>
                      <w:pStyle w:val="12"/>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7678AA">
    <w:pPr>
      <w:pStyle w:val="12"/>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DE0C043">
                          <w:pPr>
                            <w:pStyle w:val="12"/>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1DE0C043">
                    <w:pPr>
                      <w:pStyle w:val="12"/>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12A104">
    <w:pPr>
      <w:spacing w:line="176" w:lineRule="auto"/>
      <w:ind w:left="471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44B884">
                          <w:pPr>
                            <w:pStyle w:val="12"/>
                          </w:pPr>
                          <w:r>
                            <w:fldChar w:fldCharType="begin"/>
                          </w:r>
                          <w:r>
                            <w:instrText xml:space="preserve"> PAGE  \* MERGEFORMAT </w:instrText>
                          </w:r>
                          <w:r>
                            <w:fldChar w:fldCharType="separate"/>
                          </w:r>
                          <w:r>
                            <w:t>22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A44B884">
                    <w:pPr>
                      <w:pStyle w:val="12"/>
                    </w:pPr>
                    <w:r>
                      <w:fldChar w:fldCharType="begin"/>
                    </w:r>
                    <w:r>
                      <w:instrText xml:space="preserve"> PAGE  \* MERGEFORMAT </w:instrText>
                    </w:r>
                    <w:r>
                      <w:fldChar w:fldCharType="separate"/>
                    </w:r>
                    <w:r>
                      <w:t>22</w:t>
                    </w:r>
                    <w:r>
                      <w:fldChar w:fldCharType="end"/>
                    </w:r>
                  </w:p>
                </w:txbxContent>
              </v:textbox>
            </v:shape>
          </w:pict>
        </mc:Fallback>
      </mc:AlternateContent>
    </w:r>
    <w:r>
      <w:rPr>
        <w:rFonts w:ascii="Times New Roman" w:hAnsi="Times New Roman" w:eastAsia="Times New Roman" w:cs="Times New Roman"/>
        <w:spacing w:val="-2"/>
        <w:sz w:val="18"/>
        <w:szCs w:val="18"/>
      </w:rPr>
      <w:t>24</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DB0697">
    <w:pPr>
      <w:pStyle w:val="12"/>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58218EC">
                          <w:pPr>
                            <w:pStyle w:val="12"/>
                          </w:pPr>
                          <w:r>
                            <w:fldChar w:fldCharType="begin"/>
                          </w:r>
                          <w:r>
                            <w:instrText xml:space="preserve"> PAGE  \* MERGEFORMAT </w:instrText>
                          </w:r>
                          <w:r>
                            <w:fldChar w:fldCharType="separate"/>
                          </w:r>
                          <w:r>
                            <w:t>26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758218EC">
                    <w:pPr>
                      <w:pStyle w:val="12"/>
                    </w:pPr>
                    <w:r>
                      <w:fldChar w:fldCharType="begin"/>
                    </w:r>
                    <w:r>
                      <w:instrText xml:space="preserve"> PAGE  \* MERGEFORMAT </w:instrText>
                    </w:r>
                    <w:r>
                      <w:fldChar w:fldCharType="separate"/>
                    </w:r>
                    <w:r>
                      <w:t>26</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8E36FF">
    <w:pPr>
      <w:pStyle w:val="12"/>
      <w:jc w:val="cente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A80ED2">
                          <w:pPr>
                            <w:pStyle w:val="12"/>
                          </w:pPr>
                          <w:r>
                            <w:fldChar w:fldCharType="begin"/>
                          </w:r>
                          <w:r>
                            <w:instrText xml:space="preserve"> PAGE  \* MERGEFORMAT </w:instrText>
                          </w:r>
                          <w:r>
                            <w:fldChar w:fldCharType="separate"/>
                          </w:r>
                          <w:r>
                            <w:t>63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3DA80ED2">
                    <w:pPr>
                      <w:pStyle w:val="12"/>
                    </w:pPr>
                    <w:r>
                      <w:fldChar w:fldCharType="begin"/>
                    </w:r>
                    <w:r>
                      <w:instrText xml:space="preserve"> PAGE  \* MERGEFORMAT </w:instrText>
                    </w:r>
                    <w:r>
                      <w:fldChar w:fldCharType="separate"/>
                    </w:r>
                    <w:r>
                      <w:t>63</w:t>
                    </w:r>
                    <w:r>
                      <w:fldChar w:fldCharType="end"/>
                    </w:r>
                  </w:p>
                </w:txbxContent>
              </v:textbox>
            </v:shape>
          </w:pict>
        </mc:Fallback>
      </mc:AlternateContent>
    </w:r>
  </w:p>
  <w:p w14:paraId="5F6E6ABE">
    <w:pPr>
      <w:pStyle w:val="1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E9FF71">
    <w:pPr>
      <w:pStyle w:val="13"/>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3620B8">
    <w:pPr>
      <w:pStyle w:val="13"/>
      <w:pBdr>
        <w:top w:val="none" w:color="auto" w:sz="0" w:space="0"/>
        <w:left w:val="none" w:color="auto" w:sz="0" w:space="0"/>
        <w:bottom w:val="none" w:color="auto" w:sz="0" w:space="1"/>
        <w:right w:val="none" w:color="auto" w:sz="0" w:space="0"/>
        <w:between w:val="none" w:color="auto" w:sz="0" w:space="0"/>
      </w:pBdr>
      <w:ind w:firstLine="0" w:firstLineChars="0"/>
      <w:jc w:val="both"/>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3"/>
    <w:multiLevelType w:val="singleLevel"/>
    <w:tmpl w:val="00000003"/>
    <w:lvl w:ilvl="0" w:tentative="0">
      <w:start w:val="1"/>
      <w:numFmt w:val="chineseCounting"/>
      <w:suff w:val="space"/>
      <w:lvlText w:val="第%1部分"/>
      <w:lvlJc w:val="left"/>
      <w:rPr>
        <w:rFonts w:hint="eastAsia"/>
      </w:rPr>
    </w:lvl>
  </w:abstractNum>
  <w:abstractNum w:abstractNumId="1">
    <w:nsid w:val="00000005"/>
    <w:multiLevelType w:val="multilevel"/>
    <w:tmpl w:val="00000005"/>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第%2节　"/>
      <w:lvlJc w:val="left"/>
      <w:pPr>
        <w:ind w:left="0" w:firstLine="402"/>
      </w:pPr>
      <w:rPr>
        <w:rFonts w:hint="eastAsia"/>
      </w:rPr>
    </w:lvl>
    <w:lvl w:ilvl="2" w:tentative="0">
      <w:start w:val="1"/>
      <w:numFmt w:val="chineseCounting"/>
      <w:suff w:val="nothing"/>
      <w:lvlText w:val="第%3条　"/>
      <w:lvlJc w:val="left"/>
      <w:pPr>
        <w:ind w:left="0" w:firstLine="402"/>
      </w:pPr>
      <w:rPr>
        <w:rFonts w:hint="eastAsia"/>
      </w:rPr>
    </w:lvl>
    <w:lvl w:ilvl="3" w:tentative="0">
      <w:start w:val="1"/>
      <w:numFmt w:val="chineseCounting"/>
      <w:suff w:val="nothing"/>
      <w:lvlText w:val="（%4）"/>
      <w:lvlJc w:val="left"/>
      <w:pPr>
        <w:ind w:left="0" w:firstLine="402"/>
      </w:pPr>
      <w:rPr>
        <w:rFonts w:hint="eastAsia"/>
      </w:rPr>
    </w:lvl>
    <w:lvl w:ilvl="4" w:tentative="0">
      <w:start w:val="1"/>
      <w:numFmt w:val="decimal"/>
      <w:suff w:val="nothing"/>
      <w:lvlText w:val="%5．"/>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decimalEnclosedCircleChinese"/>
      <w:suff w:val="nothing"/>
      <w:lvlText w:val="%7 "/>
      <w:lvlJc w:val="left"/>
      <w:pPr>
        <w:ind w:left="0" w:firstLine="402"/>
      </w:pPr>
      <w:rPr>
        <w:rFonts w:hint="eastAsia"/>
      </w:rPr>
    </w:lvl>
    <w:lvl w:ilvl="7" w:tentative="0">
      <w:start w:val="1"/>
      <w:numFmt w:val="decimal"/>
      <w:suff w:val="nothing"/>
      <w:lvlText w:val="%8）"/>
      <w:lvlJc w:val="left"/>
      <w:pPr>
        <w:ind w:left="0" w:firstLine="402"/>
      </w:pPr>
      <w:rPr>
        <w:rFonts w:hint="eastAsia"/>
      </w:rPr>
    </w:lvl>
    <w:lvl w:ilvl="8" w:tentative="0">
      <w:start w:val="1"/>
      <w:numFmt w:val="lowerLetter"/>
      <w:suff w:val="nothing"/>
      <w:lvlText w:val="%9．"/>
      <w:lvlJc w:val="left"/>
      <w:pPr>
        <w:ind w:left="0" w:firstLine="402"/>
      </w:pPr>
      <w:rPr>
        <w:rFonts w:hint="eastAsia"/>
      </w:rPr>
    </w:lvl>
  </w:abstractNum>
  <w:abstractNum w:abstractNumId="2">
    <w:nsid w:val="00000008"/>
    <w:multiLevelType w:val="singleLevel"/>
    <w:tmpl w:val="00000008"/>
    <w:lvl w:ilvl="0" w:tentative="0">
      <w:start w:val="26"/>
      <w:numFmt w:val="decimal"/>
      <w:suff w:val="space"/>
      <w:lvlText w:val="%1."/>
      <w:lvlJc w:val="left"/>
    </w:lvl>
  </w:abstractNum>
  <w:abstractNum w:abstractNumId="3">
    <w:nsid w:val="45209809"/>
    <w:multiLevelType w:val="singleLevel"/>
    <w:tmpl w:val="45209809"/>
    <w:lvl w:ilvl="0" w:tentative="0">
      <w:start w:val="5"/>
      <w:numFmt w:val="decimal"/>
      <w:suff w:val="space"/>
      <w:lvlText w:val="%1."/>
      <w:lvlJc w:val="left"/>
    </w:lvl>
  </w:abstractNum>
  <w:abstractNum w:abstractNumId="4">
    <w:nsid w:val="7D335EFA"/>
    <w:multiLevelType w:val="singleLevel"/>
    <w:tmpl w:val="7D335EFA"/>
    <w:lvl w:ilvl="0" w:tentative="0">
      <w:start w:val="1"/>
      <w:numFmt w:val="decimal"/>
      <w:suff w:val="space"/>
      <w:lvlText w:val="%1."/>
      <w:lvlJc w:val="left"/>
      <w:pPr>
        <w:tabs>
          <w:tab w:val="left" w:pos="0"/>
        </w:tabs>
        <w:ind w:left="0" w:firstLine="0"/>
      </w:pPr>
    </w:lvl>
  </w:abstractNum>
  <w:num w:numId="1">
    <w:abstractNumId w:val="1"/>
  </w:num>
  <w:num w:numId="2">
    <w:abstractNumId w:val="3"/>
  </w:num>
  <w:num w:numId="3">
    <w:abstractNumId w:val="2"/>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M0NWE5NGQ0MmRlYjM1MWIyYmNlZTA1ODg1MjY1MTEifQ=="/>
    <w:docVar w:name="KSO_WPS_MARK_KEY" w:val="a565c4c6-cdbb-421b-a993-67cfb3d4f25f"/>
  </w:docVars>
  <w:rsids>
    <w:rsidRoot w:val="5EF00040"/>
    <w:rsid w:val="000507AF"/>
    <w:rsid w:val="002F21B8"/>
    <w:rsid w:val="00733E26"/>
    <w:rsid w:val="00757B9E"/>
    <w:rsid w:val="00B561ED"/>
    <w:rsid w:val="00BA37FE"/>
    <w:rsid w:val="012515C4"/>
    <w:rsid w:val="01264394"/>
    <w:rsid w:val="012832B8"/>
    <w:rsid w:val="01344155"/>
    <w:rsid w:val="01395070"/>
    <w:rsid w:val="01691956"/>
    <w:rsid w:val="0183453D"/>
    <w:rsid w:val="01B02C2F"/>
    <w:rsid w:val="01CC5EE4"/>
    <w:rsid w:val="01E574A6"/>
    <w:rsid w:val="02191E9F"/>
    <w:rsid w:val="024C406B"/>
    <w:rsid w:val="025A07C2"/>
    <w:rsid w:val="02A9590D"/>
    <w:rsid w:val="034B3E47"/>
    <w:rsid w:val="035B21B3"/>
    <w:rsid w:val="038E67AE"/>
    <w:rsid w:val="03A04F32"/>
    <w:rsid w:val="03C22016"/>
    <w:rsid w:val="03EB630D"/>
    <w:rsid w:val="040A684F"/>
    <w:rsid w:val="04DE21B6"/>
    <w:rsid w:val="04E723E0"/>
    <w:rsid w:val="04F0012D"/>
    <w:rsid w:val="05221155"/>
    <w:rsid w:val="0525608B"/>
    <w:rsid w:val="05A36F5B"/>
    <w:rsid w:val="05D26895"/>
    <w:rsid w:val="069F4D6B"/>
    <w:rsid w:val="06BD404D"/>
    <w:rsid w:val="06ED3844"/>
    <w:rsid w:val="07153E89"/>
    <w:rsid w:val="076B7C79"/>
    <w:rsid w:val="0772074A"/>
    <w:rsid w:val="080D690E"/>
    <w:rsid w:val="08985E97"/>
    <w:rsid w:val="08B51B6E"/>
    <w:rsid w:val="08BE3EF5"/>
    <w:rsid w:val="08F31FA8"/>
    <w:rsid w:val="090C523D"/>
    <w:rsid w:val="092E1232"/>
    <w:rsid w:val="09463FD3"/>
    <w:rsid w:val="09997BB9"/>
    <w:rsid w:val="09B5725D"/>
    <w:rsid w:val="0A4725AB"/>
    <w:rsid w:val="0A6A44EC"/>
    <w:rsid w:val="0A74381B"/>
    <w:rsid w:val="0B3222C4"/>
    <w:rsid w:val="0B770C6E"/>
    <w:rsid w:val="0B770D91"/>
    <w:rsid w:val="0BCF7E8A"/>
    <w:rsid w:val="0BD067C3"/>
    <w:rsid w:val="0BD40DA4"/>
    <w:rsid w:val="0C1B382B"/>
    <w:rsid w:val="0C630709"/>
    <w:rsid w:val="0CD02FD6"/>
    <w:rsid w:val="0D0F042B"/>
    <w:rsid w:val="0D584ACF"/>
    <w:rsid w:val="0D996408"/>
    <w:rsid w:val="0DCB34F3"/>
    <w:rsid w:val="0E2805A4"/>
    <w:rsid w:val="0EAF2A15"/>
    <w:rsid w:val="0EBA46A3"/>
    <w:rsid w:val="0F1F6743"/>
    <w:rsid w:val="0F2904D1"/>
    <w:rsid w:val="0F36499C"/>
    <w:rsid w:val="0F5C492A"/>
    <w:rsid w:val="0FAC3F75"/>
    <w:rsid w:val="0FC95811"/>
    <w:rsid w:val="0FD42EAB"/>
    <w:rsid w:val="10843F90"/>
    <w:rsid w:val="109776BD"/>
    <w:rsid w:val="10D74D03"/>
    <w:rsid w:val="11847C41"/>
    <w:rsid w:val="11F272A1"/>
    <w:rsid w:val="11F62D5C"/>
    <w:rsid w:val="11FA7260"/>
    <w:rsid w:val="122B4561"/>
    <w:rsid w:val="1238629D"/>
    <w:rsid w:val="12552003"/>
    <w:rsid w:val="126B3346"/>
    <w:rsid w:val="129F7A10"/>
    <w:rsid w:val="12AC01B1"/>
    <w:rsid w:val="12D76117"/>
    <w:rsid w:val="133336D3"/>
    <w:rsid w:val="13960100"/>
    <w:rsid w:val="13A22600"/>
    <w:rsid w:val="142B4CEC"/>
    <w:rsid w:val="149E2DF8"/>
    <w:rsid w:val="14FF3F1F"/>
    <w:rsid w:val="1504385E"/>
    <w:rsid w:val="154F67B8"/>
    <w:rsid w:val="1565422D"/>
    <w:rsid w:val="158C5316"/>
    <w:rsid w:val="15935560"/>
    <w:rsid w:val="15A06460"/>
    <w:rsid w:val="15BA6327"/>
    <w:rsid w:val="15FD7FC2"/>
    <w:rsid w:val="1628432A"/>
    <w:rsid w:val="16516718"/>
    <w:rsid w:val="165D7FC8"/>
    <w:rsid w:val="1681473D"/>
    <w:rsid w:val="169150FA"/>
    <w:rsid w:val="16A6065A"/>
    <w:rsid w:val="16B71B8A"/>
    <w:rsid w:val="16FE2244"/>
    <w:rsid w:val="171C00F0"/>
    <w:rsid w:val="17992095"/>
    <w:rsid w:val="179A6980"/>
    <w:rsid w:val="17C00BA4"/>
    <w:rsid w:val="18447625"/>
    <w:rsid w:val="184A4D60"/>
    <w:rsid w:val="187355C6"/>
    <w:rsid w:val="18736C61"/>
    <w:rsid w:val="18AC0FBE"/>
    <w:rsid w:val="19257911"/>
    <w:rsid w:val="19524AC9"/>
    <w:rsid w:val="19546C0C"/>
    <w:rsid w:val="1A2521DD"/>
    <w:rsid w:val="1A76019A"/>
    <w:rsid w:val="1A98475D"/>
    <w:rsid w:val="1A9A2DBB"/>
    <w:rsid w:val="1C464130"/>
    <w:rsid w:val="1C8F3D4C"/>
    <w:rsid w:val="1D686669"/>
    <w:rsid w:val="1DC51272"/>
    <w:rsid w:val="1EB8717C"/>
    <w:rsid w:val="1ED52081"/>
    <w:rsid w:val="1FF754EA"/>
    <w:rsid w:val="20450269"/>
    <w:rsid w:val="20607ACB"/>
    <w:rsid w:val="217A0AD8"/>
    <w:rsid w:val="21A63C04"/>
    <w:rsid w:val="22484CBB"/>
    <w:rsid w:val="22921153"/>
    <w:rsid w:val="23333275"/>
    <w:rsid w:val="23503E27"/>
    <w:rsid w:val="23627FFE"/>
    <w:rsid w:val="239D2EE6"/>
    <w:rsid w:val="241E3F25"/>
    <w:rsid w:val="246A0F18"/>
    <w:rsid w:val="24ED38F7"/>
    <w:rsid w:val="259A050D"/>
    <w:rsid w:val="25A2609B"/>
    <w:rsid w:val="25C70429"/>
    <w:rsid w:val="25F52FEC"/>
    <w:rsid w:val="264F6618"/>
    <w:rsid w:val="26753B8F"/>
    <w:rsid w:val="26D4495E"/>
    <w:rsid w:val="26EB3E67"/>
    <w:rsid w:val="26F23447"/>
    <w:rsid w:val="27106584"/>
    <w:rsid w:val="27155F70"/>
    <w:rsid w:val="271931E2"/>
    <w:rsid w:val="273121C1"/>
    <w:rsid w:val="27393BDF"/>
    <w:rsid w:val="2775116C"/>
    <w:rsid w:val="27A91D58"/>
    <w:rsid w:val="27B07790"/>
    <w:rsid w:val="27C2106B"/>
    <w:rsid w:val="27FA4B70"/>
    <w:rsid w:val="28060F58"/>
    <w:rsid w:val="28212236"/>
    <w:rsid w:val="2824185C"/>
    <w:rsid w:val="287B7B98"/>
    <w:rsid w:val="28BC3A57"/>
    <w:rsid w:val="291435B3"/>
    <w:rsid w:val="29341AF5"/>
    <w:rsid w:val="294D5AFA"/>
    <w:rsid w:val="29863A77"/>
    <w:rsid w:val="29CE620A"/>
    <w:rsid w:val="29F45FE3"/>
    <w:rsid w:val="2A0E5353"/>
    <w:rsid w:val="2A3873C3"/>
    <w:rsid w:val="2A7D127A"/>
    <w:rsid w:val="2ABD7112"/>
    <w:rsid w:val="2ACC6349"/>
    <w:rsid w:val="2B2D0EF2"/>
    <w:rsid w:val="2B557467"/>
    <w:rsid w:val="2B6C0686"/>
    <w:rsid w:val="2C2426F0"/>
    <w:rsid w:val="2C57495C"/>
    <w:rsid w:val="2CB06359"/>
    <w:rsid w:val="2DC202C2"/>
    <w:rsid w:val="2DF778AD"/>
    <w:rsid w:val="2E0A46C0"/>
    <w:rsid w:val="2E162111"/>
    <w:rsid w:val="2E562A17"/>
    <w:rsid w:val="2E9A4AF0"/>
    <w:rsid w:val="2ED9291C"/>
    <w:rsid w:val="2F307202"/>
    <w:rsid w:val="2F32242C"/>
    <w:rsid w:val="2F554149"/>
    <w:rsid w:val="2F5A52D9"/>
    <w:rsid w:val="2FFD5337"/>
    <w:rsid w:val="30550CCF"/>
    <w:rsid w:val="30882505"/>
    <w:rsid w:val="3088554A"/>
    <w:rsid w:val="3089305D"/>
    <w:rsid w:val="30BD7020"/>
    <w:rsid w:val="31190AAB"/>
    <w:rsid w:val="31456F95"/>
    <w:rsid w:val="31ED412D"/>
    <w:rsid w:val="32132053"/>
    <w:rsid w:val="3220530C"/>
    <w:rsid w:val="322F7F00"/>
    <w:rsid w:val="3249282A"/>
    <w:rsid w:val="327318E0"/>
    <w:rsid w:val="327A523A"/>
    <w:rsid w:val="327F2033"/>
    <w:rsid w:val="32C22353"/>
    <w:rsid w:val="3317670F"/>
    <w:rsid w:val="33662EFE"/>
    <w:rsid w:val="34520411"/>
    <w:rsid w:val="34532B23"/>
    <w:rsid w:val="34B36291"/>
    <w:rsid w:val="34D04DC8"/>
    <w:rsid w:val="3529158E"/>
    <w:rsid w:val="353510CF"/>
    <w:rsid w:val="35884DFE"/>
    <w:rsid w:val="35A45811"/>
    <w:rsid w:val="360630D9"/>
    <w:rsid w:val="36232DC2"/>
    <w:rsid w:val="36752690"/>
    <w:rsid w:val="36AB4D47"/>
    <w:rsid w:val="37EB2F17"/>
    <w:rsid w:val="37F05781"/>
    <w:rsid w:val="37F214F9"/>
    <w:rsid w:val="37FC1D34"/>
    <w:rsid w:val="38387E65"/>
    <w:rsid w:val="383C0630"/>
    <w:rsid w:val="38631FB3"/>
    <w:rsid w:val="38A65E3F"/>
    <w:rsid w:val="38C033A5"/>
    <w:rsid w:val="38C31254"/>
    <w:rsid w:val="38F52C52"/>
    <w:rsid w:val="39553D5C"/>
    <w:rsid w:val="39BB2D61"/>
    <w:rsid w:val="3A685AA2"/>
    <w:rsid w:val="3AB531AD"/>
    <w:rsid w:val="3AF573FA"/>
    <w:rsid w:val="3B293089"/>
    <w:rsid w:val="3B484019"/>
    <w:rsid w:val="3B796F44"/>
    <w:rsid w:val="3BD94609"/>
    <w:rsid w:val="3BF91C55"/>
    <w:rsid w:val="3C3A2D02"/>
    <w:rsid w:val="3C9568F7"/>
    <w:rsid w:val="3D2D2BA9"/>
    <w:rsid w:val="3E9820B8"/>
    <w:rsid w:val="3EB412B6"/>
    <w:rsid w:val="3EF3324B"/>
    <w:rsid w:val="3F1C1B1A"/>
    <w:rsid w:val="3FB12D7B"/>
    <w:rsid w:val="3FD33ACF"/>
    <w:rsid w:val="400E6AAC"/>
    <w:rsid w:val="401E3791"/>
    <w:rsid w:val="40A02991"/>
    <w:rsid w:val="41037D48"/>
    <w:rsid w:val="4148218A"/>
    <w:rsid w:val="41555735"/>
    <w:rsid w:val="417676E9"/>
    <w:rsid w:val="419F0A7B"/>
    <w:rsid w:val="41A32140"/>
    <w:rsid w:val="41DF7427"/>
    <w:rsid w:val="41EF14D0"/>
    <w:rsid w:val="43387070"/>
    <w:rsid w:val="4341737A"/>
    <w:rsid w:val="439A7D6E"/>
    <w:rsid w:val="43AA2C88"/>
    <w:rsid w:val="43F064F1"/>
    <w:rsid w:val="443E69A7"/>
    <w:rsid w:val="447B63D2"/>
    <w:rsid w:val="448B4FEE"/>
    <w:rsid w:val="44BC2C73"/>
    <w:rsid w:val="44D65327"/>
    <w:rsid w:val="44DF2E05"/>
    <w:rsid w:val="45390767"/>
    <w:rsid w:val="45592BB7"/>
    <w:rsid w:val="45984D0C"/>
    <w:rsid w:val="459B6790"/>
    <w:rsid w:val="45A2455E"/>
    <w:rsid w:val="46096450"/>
    <w:rsid w:val="46B06807"/>
    <w:rsid w:val="4795481E"/>
    <w:rsid w:val="479C3360"/>
    <w:rsid w:val="47AC7348"/>
    <w:rsid w:val="47AD21BF"/>
    <w:rsid w:val="47F81D88"/>
    <w:rsid w:val="47FA3CDB"/>
    <w:rsid w:val="47FB627E"/>
    <w:rsid w:val="480908C5"/>
    <w:rsid w:val="484D62D8"/>
    <w:rsid w:val="49144504"/>
    <w:rsid w:val="49272E20"/>
    <w:rsid w:val="4929310F"/>
    <w:rsid w:val="49C56A6D"/>
    <w:rsid w:val="49ED1B20"/>
    <w:rsid w:val="4A2A7770"/>
    <w:rsid w:val="4A2B43F6"/>
    <w:rsid w:val="4AAA655F"/>
    <w:rsid w:val="4AE7656F"/>
    <w:rsid w:val="4B1112E1"/>
    <w:rsid w:val="4BA27C60"/>
    <w:rsid w:val="4BFA0C73"/>
    <w:rsid w:val="4D5F2D35"/>
    <w:rsid w:val="4DB025AE"/>
    <w:rsid w:val="4EDF237F"/>
    <w:rsid w:val="4EFB083B"/>
    <w:rsid w:val="4FB41ED2"/>
    <w:rsid w:val="4FBA3327"/>
    <w:rsid w:val="4FD824CD"/>
    <w:rsid w:val="5085479A"/>
    <w:rsid w:val="50E33C7D"/>
    <w:rsid w:val="510F39DF"/>
    <w:rsid w:val="51D07D5D"/>
    <w:rsid w:val="51DA0BDC"/>
    <w:rsid w:val="51EA121F"/>
    <w:rsid w:val="522919DD"/>
    <w:rsid w:val="52453A54"/>
    <w:rsid w:val="525B6CEF"/>
    <w:rsid w:val="52927709"/>
    <w:rsid w:val="534F3F30"/>
    <w:rsid w:val="53517F52"/>
    <w:rsid w:val="539A6875"/>
    <w:rsid w:val="53D524B6"/>
    <w:rsid w:val="53E14A15"/>
    <w:rsid w:val="54B06E11"/>
    <w:rsid w:val="54E56216"/>
    <w:rsid w:val="54EC46B9"/>
    <w:rsid w:val="54F02A10"/>
    <w:rsid w:val="554A0159"/>
    <w:rsid w:val="55816FCE"/>
    <w:rsid w:val="55A75279"/>
    <w:rsid w:val="55AC6549"/>
    <w:rsid w:val="55C951EF"/>
    <w:rsid w:val="55D41E21"/>
    <w:rsid w:val="55E72D6A"/>
    <w:rsid w:val="562006F1"/>
    <w:rsid w:val="567C6706"/>
    <w:rsid w:val="568E01E7"/>
    <w:rsid w:val="56A456C1"/>
    <w:rsid w:val="56A77335"/>
    <w:rsid w:val="56C241D6"/>
    <w:rsid w:val="57F75F10"/>
    <w:rsid w:val="585A0B36"/>
    <w:rsid w:val="58797859"/>
    <w:rsid w:val="588F30E3"/>
    <w:rsid w:val="58B043B9"/>
    <w:rsid w:val="58C5222B"/>
    <w:rsid w:val="58FA5D24"/>
    <w:rsid w:val="596820CB"/>
    <w:rsid w:val="597238D3"/>
    <w:rsid w:val="59A255B0"/>
    <w:rsid w:val="59A73A9A"/>
    <w:rsid w:val="59D35814"/>
    <w:rsid w:val="5A207A50"/>
    <w:rsid w:val="5A5F03A4"/>
    <w:rsid w:val="5A904005"/>
    <w:rsid w:val="5ADE798F"/>
    <w:rsid w:val="5AE44879"/>
    <w:rsid w:val="5B2E188E"/>
    <w:rsid w:val="5B952811"/>
    <w:rsid w:val="5BC07095"/>
    <w:rsid w:val="5C215F1B"/>
    <w:rsid w:val="5C2528EA"/>
    <w:rsid w:val="5D0D4EF7"/>
    <w:rsid w:val="5E06755A"/>
    <w:rsid w:val="5E0F0A83"/>
    <w:rsid w:val="5E354142"/>
    <w:rsid w:val="5E9D6065"/>
    <w:rsid w:val="5EF00040"/>
    <w:rsid w:val="5EF045C7"/>
    <w:rsid w:val="5F4E0DEF"/>
    <w:rsid w:val="5F7C2472"/>
    <w:rsid w:val="5FA82319"/>
    <w:rsid w:val="602045A6"/>
    <w:rsid w:val="608A1210"/>
    <w:rsid w:val="608C7E04"/>
    <w:rsid w:val="60DA79A2"/>
    <w:rsid w:val="612358BE"/>
    <w:rsid w:val="61AD1E69"/>
    <w:rsid w:val="61B531E9"/>
    <w:rsid w:val="61E4459E"/>
    <w:rsid w:val="62986BDB"/>
    <w:rsid w:val="62AB3E7A"/>
    <w:rsid w:val="62DE774A"/>
    <w:rsid w:val="632C589D"/>
    <w:rsid w:val="64CA0F84"/>
    <w:rsid w:val="65EF2E8E"/>
    <w:rsid w:val="66100C18"/>
    <w:rsid w:val="667967BE"/>
    <w:rsid w:val="66C57C55"/>
    <w:rsid w:val="66D46709"/>
    <w:rsid w:val="67B3259E"/>
    <w:rsid w:val="67E31EB2"/>
    <w:rsid w:val="68EA5111"/>
    <w:rsid w:val="691E175E"/>
    <w:rsid w:val="69203758"/>
    <w:rsid w:val="6A044018"/>
    <w:rsid w:val="6A835E5D"/>
    <w:rsid w:val="6A876ECF"/>
    <w:rsid w:val="6ACB25B2"/>
    <w:rsid w:val="6AFE7291"/>
    <w:rsid w:val="6B0F4348"/>
    <w:rsid w:val="6B1765A5"/>
    <w:rsid w:val="6B674191"/>
    <w:rsid w:val="6B8D36C3"/>
    <w:rsid w:val="6BD66471"/>
    <w:rsid w:val="6BDB5825"/>
    <w:rsid w:val="6BFF7765"/>
    <w:rsid w:val="6C46045E"/>
    <w:rsid w:val="6C4C67E9"/>
    <w:rsid w:val="6C824A7F"/>
    <w:rsid w:val="6D667493"/>
    <w:rsid w:val="6DB63E53"/>
    <w:rsid w:val="6DD54C21"/>
    <w:rsid w:val="6E151800"/>
    <w:rsid w:val="6E192634"/>
    <w:rsid w:val="6E1F649C"/>
    <w:rsid w:val="6E414C6E"/>
    <w:rsid w:val="6E751F61"/>
    <w:rsid w:val="6ED66437"/>
    <w:rsid w:val="6EDF244A"/>
    <w:rsid w:val="6EE756FF"/>
    <w:rsid w:val="6F822D6C"/>
    <w:rsid w:val="7021086D"/>
    <w:rsid w:val="706C1FAA"/>
    <w:rsid w:val="70C13FB6"/>
    <w:rsid w:val="70F27898"/>
    <w:rsid w:val="71B40034"/>
    <w:rsid w:val="71BF3A88"/>
    <w:rsid w:val="71C805F9"/>
    <w:rsid w:val="72093FB8"/>
    <w:rsid w:val="724A54B2"/>
    <w:rsid w:val="72606E89"/>
    <w:rsid w:val="726725D2"/>
    <w:rsid w:val="72D01BF4"/>
    <w:rsid w:val="730D09BA"/>
    <w:rsid w:val="739B4217"/>
    <w:rsid w:val="73A43E98"/>
    <w:rsid w:val="73BC23E0"/>
    <w:rsid w:val="740833C5"/>
    <w:rsid w:val="740E3197"/>
    <w:rsid w:val="740F0761"/>
    <w:rsid w:val="7533382A"/>
    <w:rsid w:val="75B55115"/>
    <w:rsid w:val="75C018B9"/>
    <w:rsid w:val="761D55D2"/>
    <w:rsid w:val="761F35B7"/>
    <w:rsid w:val="767C2D4B"/>
    <w:rsid w:val="76932CC2"/>
    <w:rsid w:val="76A21419"/>
    <w:rsid w:val="76C21ABB"/>
    <w:rsid w:val="76DC7606"/>
    <w:rsid w:val="770976EA"/>
    <w:rsid w:val="770A3467"/>
    <w:rsid w:val="775C13BB"/>
    <w:rsid w:val="77752FD1"/>
    <w:rsid w:val="783E17CA"/>
    <w:rsid w:val="783E7867"/>
    <w:rsid w:val="784F0E9C"/>
    <w:rsid w:val="78B5342E"/>
    <w:rsid w:val="79010967"/>
    <w:rsid w:val="7936725A"/>
    <w:rsid w:val="79A457A7"/>
    <w:rsid w:val="7A5A50FB"/>
    <w:rsid w:val="7A8C691C"/>
    <w:rsid w:val="7AE9365E"/>
    <w:rsid w:val="7AEE65ED"/>
    <w:rsid w:val="7BC2255D"/>
    <w:rsid w:val="7BCE0F02"/>
    <w:rsid w:val="7C503581"/>
    <w:rsid w:val="7C621BBC"/>
    <w:rsid w:val="7C9020F0"/>
    <w:rsid w:val="7CCD740C"/>
    <w:rsid w:val="7CCE084E"/>
    <w:rsid w:val="7E646FEA"/>
    <w:rsid w:val="7ED46A5A"/>
    <w:rsid w:val="7F156D37"/>
    <w:rsid w:val="7F8A7C40"/>
    <w:rsid w:val="7FCE40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qFormat="1"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uiPriority w:val="0"/>
    <w:pPr>
      <w:keepNext/>
      <w:keepLines/>
      <w:spacing w:before="340" w:after="330" w:line="578" w:lineRule="auto"/>
      <w:outlineLvl w:val="0"/>
    </w:pPr>
    <w:rPr>
      <w:b/>
      <w:bCs/>
      <w:kern w:val="44"/>
      <w:sz w:val="36"/>
      <w:szCs w:val="44"/>
    </w:rPr>
  </w:style>
  <w:style w:type="paragraph" w:styleId="3">
    <w:name w:val="heading 2"/>
    <w:basedOn w:val="1"/>
    <w:next w:val="1"/>
    <w:autoRedefine/>
    <w:qFormat/>
    <w:uiPriority w:val="0"/>
    <w:pPr>
      <w:keepNext/>
      <w:keepLines/>
      <w:spacing w:before="260" w:after="260" w:line="415" w:lineRule="auto"/>
      <w:outlineLvl w:val="1"/>
    </w:pPr>
    <w:rPr>
      <w:rFonts w:ascii="Cambria" w:hAnsi="Cambria"/>
      <w:b/>
      <w:bCs/>
      <w:sz w:val="32"/>
      <w:szCs w:val="32"/>
    </w:rPr>
  </w:style>
  <w:style w:type="paragraph" w:styleId="4">
    <w:name w:val="heading 3"/>
    <w:basedOn w:val="1"/>
    <w:next w:val="1"/>
    <w:link w:val="25"/>
    <w:autoRedefine/>
    <w:qFormat/>
    <w:uiPriority w:val="0"/>
    <w:pPr>
      <w:keepNext/>
      <w:keepLines/>
      <w:widowControl/>
      <w:spacing w:before="260" w:after="260" w:line="416" w:lineRule="auto"/>
      <w:outlineLvl w:val="2"/>
    </w:pPr>
    <w:rPr>
      <w:b/>
      <w:bCs/>
      <w:sz w:val="24"/>
      <w:szCs w:val="32"/>
    </w:rPr>
  </w:style>
  <w:style w:type="paragraph" w:styleId="5">
    <w:name w:val="heading 4"/>
    <w:basedOn w:val="1"/>
    <w:next w:val="1"/>
    <w:autoRedefine/>
    <w:qFormat/>
    <w:uiPriority w:val="0"/>
    <w:pPr>
      <w:keepNext/>
      <w:keepLines/>
      <w:widowControl/>
      <w:spacing w:before="200" w:line="276" w:lineRule="auto"/>
      <w:jc w:val="left"/>
      <w:outlineLvl w:val="3"/>
    </w:pPr>
    <w:rPr>
      <w:rFonts w:ascii="Calibri Light" w:hAnsi="Calibri Light" w:cs="Times New Roman"/>
      <w:b/>
      <w:bCs/>
      <w:iCs/>
      <w:szCs w:val="22"/>
    </w:rPr>
  </w:style>
  <w:style w:type="character" w:default="1" w:styleId="20">
    <w:name w:val="Default Paragraph Font"/>
    <w:autoRedefine/>
    <w:semiHidden/>
    <w:qFormat/>
    <w:uiPriority w:val="0"/>
  </w:style>
  <w:style w:type="table" w:default="1" w:styleId="18">
    <w:name w:val="Normal Table"/>
    <w:autoRedefine/>
    <w:semiHidden/>
    <w:qFormat/>
    <w:uiPriority w:val="0"/>
    <w:tblPr>
      <w:tblCellMar>
        <w:top w:w="0" w:type="dxa"/>
        <w:left w:w="108" w:type="dxa"/>
        <w:bottom w:w="0" w:type="dxa"/>
        <w:right w:w="108" w:type="dxa"/>
      </w:tblCellMar>
    </w:tblPr>
  </w:style>
  <w:style w:type="paragraph" w:styleId="6">
    <w:name w:val="index 8"/>
    <w:basedOn w:val="1"/>
    <w:next w:val="1"/>
    <w:autoRedefine/>
    <w:qFormat/>
    <w:uiPriority w:val="0"/>
    <w:pPr>
      <w:ind w:left="1400" w:leftChars="1400" w:firstLine="0"/>
    </w:pPr>
  </w:style>
  <w:style w:type="paragraph" w:styleId="7">
    <w:name w:val="annotation text"/>
    <w:basedOn w:val="1"/>
    <w:autoRedefine/>
    <w:qFormat/>
    <w:uiPriority w:val="0"/>
    <w:pPr>
      <w:widowControl/>
      <w:jc w:val="left"/>
    </w:pPr>
    <w:rPr>
      <w:rFonts w:ascii="Calibri" w:hAnsi="Calibri" w:eastAsia="宋体" w:cs="Times New Roman"/>
    </w:rPr>
  </w:style>
  <w:style w:type="paragraph" w:styleId="8">
    <w:name w:val="Body Text"/>
    <w:basedOn w:val="1"/>
    <w:next w:val="1"/>
    <w:autoRedefine/>
    <w:qFormat/>
    <w:uiPriority w:val="0"/>
    <w:pPr>
      <w:spacing w:after="120"/>
    </w:pPr>
  </w:style>
  <w:style w:type="paragraph" w:styleId="9">
    <w:name w:val="Body Text Indent"/>
    <w:basedOn w:val="1"/>
    <w:autoRedefine/>
    <w:qFormat/>
    <w:uiPriority w:val="0"/>
    <w:pPr>
      <w:spacing w:after="120" w:line="360" w:lineRule="exact"/>
      <w:ind w:left="420" w:leftChars="200" w:firstLine="200" w:firstLineChars="200"/>
    </w:pPr>
  </w:style>
  <w:style w:type="paragraph" w:styleId="10">
    <w:name w:val="Block Text"/>
    <w:basedOn w:val="1"/>
    <w:autoRedefine/>
    <w:qFormat/>
    <w:uiPriority w:val="0"/>
    <w:pPr>
      <w:widowControl/>
      <w:overflowPunct w:val="0"/>
      <w:autoSpaceDE w:val="0"/>
      <w:autoSpaceDN w:val="0"/>
      <w:adjustRightInd w:val="0"/>
      <w:snapToGrid w:val="0"/>
      <w:spacing w:line="360" w:lineRule="auto"/>
      <w:ind w:left="1440" w:right="-510" w:hanging="759"/>
      <w:textAlignment w:val="baseline"/>
    </w:pPr>
    <w:rPr>
      <w:kern w:val="0"/>
      <w:sz w:val="24"/>
      <w:szCs w:val="20"/>
    </w:rPr>
  </w:style>
  <w:style w:type="paragraph" w:styleId="11">
    <w:name w:val="Plain Text"/>
    <w:basedOn w:val="1"/>
    <w:autoRedefine/>
    <w:qFormat/>
    <w:uiPriority w:val="0"/>
    <w:rPr>
      <w:rFonts w:ascii="宋体" w:hAnsi="Courier New" w:cs="Times New Roman"/>
      <w:szCs w:val="22"/>
    </w:rPr>
  </w:style>
  <w:style w:type="paragraph" w:styleId="12">
    <w:name w:val="footer"/>
    <w:basedOn w:val="1"/>
    <w:autoRedefine/>
    <w:qFormat/>
    <w:uiPriority w:val="0"/>
    <w:pPr>
      <w:tabs>
        <w:tab w:val="center" w:pos="4153"/>
        <w:tab w:val="right" w:pos="8306"/>
      </w:tabs>
      <w:snapToGrid w:val="0"/>
      <w:jc w:val="left"/>
    </w:pPr>
    <w:rPr>
      <w:sz w:val="18"/>
      <w:szCs w:val="18"/>
    </w:rPr>
  </w:style>
  <w:style w:type="paragraph" w:styleId="13">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4">
    <w:name w:val="toc 1"/>
    <w:basedOn w:val="1"/>
    <w:next w:val="1"/>
    <w:autoRedefine/>
    <w:qFormat/>
    <w:uiPriority w:val="39"/>
  </w:style>
  <w:style w:type="paragraph" w:styleId="15">
    <w:name w:val="toc 2"/>
    <w:basedOn w:val="1"/>
    <w:next w:val="1"/>
    <w:autoRedefine/>
    <w:qFormat/>
    <w:uiPriority w:val="39"/>
    <w:pPr>
      <w:ind w:left="420" w:leftChars="200"/>
    </w:pPr>
  </w:style>
  <w:style w:type="paragraph" w:styleId="16">
    <w:name w:val="Normal (Web)"/>
    <w:basedOn w:val="1"/>
    <w:autoRedefine/>
    <w:qFormat/>
    <w:uiPriority w:val="0"/>
    <w:pPr>
      <w:widowControl/>
      <w:spacing w:before="100" w:beforeAutospacing="1" w:after="100" w:afterAutospacing="1"/>
      <w:jc w:val="left"/>
    </w:pPr>
    <w:rPr>
      <w:rFonts w:ascii="宋体" w:hAnsi="宋体" w:cs="宋体"/>
      <w:kern w:val="0"/>
      <w:sz w:val="24"/>
    </w:rPr>
  </w:style>
  <w:style w:type="paragraph" w:styleId="17">
    <w:name w:val="Body Text First Indent 2"/>
    <w:basedOn w:val="9"/>
    <w:autoRedefine/>
    <w:qFormat/>
    <w:uiPriority w:val="99"/>
    <w:pPr>
      <w:ind w:firstLine="420" w:firstLineChars="200"/>
    </w:pPr>
  </w:style>
  <w:style w:type="table" w:styleId="19">
    <w:name w:val="Table Grid"/>
    <w:basedOn w:val="18"/>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1">
    <w:name w:val="page number"/>
    <w:basedOn w:val="20"/>
    <w:autoRedefine/>
    <w:qFormat/>
    <w:uiPriority w:val="99"/>
  </w:style>
  <w:style w:type="paragraph" w:customStyle="1" w:styleId="22">
    <w:name w:val="表格文字"/>
    <w:basedOn w:val="1"/>
    <w:autoRedefine/>
    <w:qFormat/>
    <w:uiPriority w:val="0"/>
    <w:pPr>
      <w:spacing w:before="25" w:after="25" w:line="240" w:lineRule="auto"/>
      <w:ind w:firstLine="0"/>
      <w:jc w:val="left"/>
    </w:pPr>
    <w:rPr>
      <w:bCs/>
      <w:spacing w:val="10"/>
      <w:kern w:val="0"/>
      <w:sz w:val="24"/>
    </w:rPr>
  </w:style>
  <w:style w:type="paragraph" w:customStyle="1" w:styleId="23">
    <w:name w:val="Default"/>
    <w:autoRedefine/>
    <w:qFormat/>
    <w:uiPriority w:val="0"/>
    <w:pPr>
      <w:widowControl w:val="0"/>
      <w:autoSpaceDE w:val="0"/>
      <w:autoSpaceDN w:val="0"/>
      <w:adjustRightInd w:val="0"/>
    </w:pPr>
    <w:rPr>
      <w:rFonts w:ascii="Times New Roman" w:hAnsi="Times New Roman" w:eastAsia="宋体" w:cs="Calibri"/>
      <w:color w:val="000000"/>
      <w:sz w:val="24"/>
      <w:szCs w:val="24"/>
      <w:lang w:val="en-US" w:eastAsia="zh-CN" w:bidi="ar-SA"/>
    </w:rPr>
  </w:style>
  <w:style w:type="paragraph" w:styleId="24">
    <w:name w:val="List Paragraph"/>
    <w:basedOn w:val="1"/>
    <w:autoRedefine/>
    <w:qFormat/>
    <w:uiPriority w:val="0"/>
    <w:pPr>
      <w:ind w:firstLine="420" w:firstLineChars="200"/>
    </w:pPr>
  </w:style>
  <w:style w:type="character" w:customStyle="1" w:styleId="25">
    <w:name w:val="标题 3 字符"/>
    <w:link w:val="4"/>
    <w:autoRedefine/>
    <w:qFormat/>
    <w:uiPriority w:val="0"/>
    <w:rPr>
      <w:b/>
      <w:bCs/>
      <w:sz w:val="24"/>
      <w:szCs w:val="32"/>
    </w:rPr>
  </w:style>
  <w:style w:type="paragraph" w:customStyle="1" w:styleId="26">
    <w:name w:val="p0"/>
    <w:basedOn w:val="1"/>
    <w:autoRedefine/>
    <w:qFormat/>
    <w:uiPriority w:val="0"/>
    <w:pPr>
      <w:widowControl/>
    </w:pPr>
    <w:rPr>
      <w:rFonts w:ascii="Calibri" w:hAnsi="Calibri" w:cs="宋体"/>
      <w:kern w:val="0"/>
      <w:szCs w:val="21"/>
    </w:rPr>
  </w:style>
  <w:style w:type="paragraph" w:customStyle="1" w:styleId="27">
    <w:name w:val="首行缩进"/>
    <w:basedOn w:val="1"/>
    <w:autoRedefine/>
    <w:qFormat/>
    <w:uiPriority w:val="0"/>
    <w:pPr>
      <w:spacing w:line="360" w:lineRule="auto"/>
      <w:ind w:firstLine="480" w:firstLineChars="200"/>
    </w:pPr>
    <w:rPr>
      <w:rFonts w:ascii="宋体" w:hAnsi="宋体"/>
      <w:kern w:val="0"/>
      <w:sz w:val="24"/>
    </w:rPr>
  </w:style>
  <w:style w:type="paragraph" w:customStyle="1" w:styleId="28">
    <w:name w:val="正文小标题_0"/>
    <w:basedOn w:val="29"/>
    <w:autoRedefine/>
    <w:qFormat/>
    <w:uiPriority w:val="0"/>
    <w:pPr>
      <w:spacing w:line="420" w:lineRule="exact"/>
    </w:pPr>
    <w:rPr>
      <w:rFonts w:hAnsi="宋体" w:eastAsia="宋体"/>
      <w:sz w:val="21"/>
      <w:szCs w:val="21"/>
    </w:rPr>
  </w:style>
  <w:style w:type="paragraph" w:customStyle="1" w:styleId="29">
    <w:name w:val="标题 1_0"/>
    <w:basedOn w:val="30"/>
    <w:next w:val="30"/>
    <w:autoRedefine/>
    <w:qFormat/>
    <w:uiPriority w:val="99"/>
    <w:pPr>
      <w:keepNext/>
      <w:keepLines/>
      <w:spacing w:line="360" w:lineRule="auto"/>
      <w:outlineLvl w:val="0"/>
    </w:pPr>
    <w:rPr>
      <w:rFonts w:eastAsia="黑体"/>
      <w:b/>
      <w:bCs/>
      <w:kern w:val="44"/>
      <w:sz w:val="32"/>
      <w:szCs w:val="44"/>
    </w:rPr>
  </w:style>
  <w:style w:type="paragraph" w:customStyle="1" w:styleId="30">
    <w:name w:val="正文_0"/>
    <w:next w:val="31"/>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1">
    <w:name w:val="正文文本_0"/>
    <w:basedOn w:val="30"/>
    <w:autoRedefine/>
    <w:qFormat/>
    <w:uiPriority w:val="99"/>
    <w:pPr>
      <w:adjustRightInd w:val="0"/>
      <w:spacing w:after="60" w:line="360" w:lineRule="atLeast"/>
      <w:ind w:left="72" w:leftChars="30" w:right="30" w:rightChars="30"/>
      <w:jc w:val="center"/>
    </w:pPr>
    <w:rPr>
      <w:rFonts w:ascii="Calibri" w:hAnsi="Calibri"/>
      <w:kern w:val="0"/>
      <w:sz w:val="20"/>
      <w:szCs w:val="20"/>
      <w:lang w:val="zh-CN" w:eastAsia="zh-CN"/>
    </w:rPr>
  </w:style>
  <w:style w:type="paragraph" w:customStyle="1" w:styleId="32">
    <w:name w:val="正文_1_0"/>
    <w:autoRedefine/>
    <w:qFormat/>
    <w:uiPriority w:val="99"/>
    <w:pPr>
      <w:widowControl w:val="0"/>
      <w:jc w:val="both"/>
    </w:pPr>
    <w:rPr>
      <w:rFonts w:ascii="Times New Roman" w:hAnsi="Times New Roman" w:eastAsia="宋体" w:cs="Times New Roman"/>
      <w:kern w:val="2"/>
      <w:sz w:val="21"/>
      <w:szCs w:val="20"/>
      <w:lang w:val="en-US" w:eastAsia="zh-CN" w:bidi="ar-SA"/>
    </w:rPr>
  </w:style>
  <w:style w:type="paragraph" w:customStyle="1" w:styleId="33">
    <w:name w:val="正文呀2_0"/>
    <w:basedOn w:val="34"/>
    <w:autoRedefine/>
    <w:qFormat/>
    <w:uiPriority w:val="0"/>
    <w:rPr>
      <w:rFonts w:ascii="Times New Roman" w:hAnsi="Times New Roman"/>
    </w:rPr>
  </w:style>
  <w:style w:type="paragraph" w:customStyle="1" w:styleId="34">
    <w:name w:val="正文呀_0"/>
    <w:basedOn w:val="32"/>
    <w:autoRedefine/>
    <w:qFormat/>
    <w:uiPriority w:val="0"/>
    <w:pPr>
      <w:spacing w:line="420" w:lineRule="exact"/>
      <w:ind w:firstLine="420" w:firstLineChars="200"/>
    </w:pPr>
    <w:rPr>
      <w:rFonts w:ascii="宋体" w:hAnsi="宋体"/>
      <w:szCs w:val="21"/>
    </w:rPr>
  </w:style>
  <w:style w:type="paragraph" w:customStyle="1" w:styleId="35">
    <w:name w:val="正文呀2_1"/>
    <w:basedOn w:val="36"/>
    <w:autoRedefine/>
    <w:qFormat/>
    <w:uiPriority w:val="0"/>
    <w:rPr>
      <w:rFonts w:ascii="Times New Roman" w:hAnsi="Times New Roman" w:eastAsia="宋体" w:cs="Times New Roman"/>
      <w:kern w:val="2"/>
      <w:sz w:val="21"/>
      <w:lang w:val="en-US" w:eastAsia="zh-CN"/>
    </w:rPr>
  </w:style>
  <w:style w:type="paragraph" w:customStyle="1" w:styleId="36">
    <w:name w:val="正文呀_1"/>
    <w:basedOn w:val="30"/>
    <w:autoRedefine/>
    <w:qFormat/>
    <w:uiPriority w:val="0"/>
    <w:pPr>
      <w:spacing w:line="420" w:lineRule="exact"/>
      <w:ind w:firstLine="420" w:firstLineChars="200"/>
    </w:pPr>
    <w:rPr>
      <w:rFonts w:ascii="宋体" w:hAnsi="宋体"/>
      <w:kern w:val="0"/>
      <w:sz w:val="20"/>
      <w:szCs w:val="21"/>
      <w:lang w:val="zh-CN" w:eastAsia="zh-CN"/>
    </w:rPr>
  </w:style>
  <w:style w:type="paragraph" w:customStyle="1" w:styleId="37">
    <w:name w:val="纯文本_0"/>
    <w:basedOn w:val="30"/>
    <w:autoRedefine/>
    <w:qFormat/>
    <w:uiPriority w:val="0"/>
    <w:rPr>
      <w:rFonts w:ascii="宋体" w:hAnsi="Courier New"/>
      <w:szCs w:val="24"/>
    </w:rPr>
  </w:style>
  <w:style w:type="paragraph" w:customStyle="1" w:styleId="38">
    <w:name w:val="无间隔_0"/>
    <w:autoRedefine/>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39">
    <w:name w:val="正文_2"/>
    <w:autoRedefine/>
    <w:qFormat/>
    <w:uiPriority w:val="0"/>
    <w:pPr>
      <w:widowControl w:val="0"/>
      <w:jc w:val="both"/>
    </w:pPr>
    <w:rPr>
      <w:rFonts w:ascii="Calibri" w:hAnsi="Calibri" w:eastAsia="宋体" w:cs="Times New Roman"/>
      <w:kern w:val="2"/>
      <w:sz w:val="21"/>
      <w:szCs w:val="22"/>
      <w:lang w:val="en-US" w:eastAsia="zh-CN" w:bidi="ar-SA"/>
    </w:rPr>
  </w:style>
  <w:style w:type="character" w:customStyle="1" w:styleId="40">
    <w:name w:val="NormalCharacter"/>
    <w:autoRedefine/>
    <w:qFormat/>
    <w:uiPriority w:val="0"/>
  </w:style>
  <w:style w:type="paragraph" w:customStyle="1" w:styleId="41">
    <w:name w:val="BodyText"/>
    <w:basedOn w:val="1"/>
    <w:autoRedefine/>
    <w:qFormat/>
    <w:uiPriority w:val="0"/>
    <w:pPr>
      <w:spacing w:after="60" w:line="360" w:lineRule="atLeast"/>
      <w:ind w:left="72" w:leftChars="30" w:right="30" w:rightChars="30"/>
      <w:jc w:val="center"/>
    </w:pPr>
    <w:rPr>
      <w:kern w:val="0"/>
      <w:sz w:val="20"/>
      <w:szCs w:val="20"/>
    </w:rPr>
  </w:style>
  <w:style w:type="paragraph" w:customStyle="1" w:styleId="42">
    <w:name w:val="PlainText"/>
    <w:basedOn w:val="1"/>
    <w:next w:val="43"/>
    <w:autoRedefine/>
    <w:qFormat/>
    <w:uiPriority w:val="0"/>
    <w:rPr>
      <w:rFonts w:ascii="宋体" w:hAnsi="Courier New"/>
      <w:szCs w:val="20"/>
    </w:rPr>
  </w:style>
  <w:style w:type="paragraph" w:customStyle="1" w:styleId="43">
    <w:name w:val="Index8"/>
    <w:basedOn w:val="1"/>
    <w:next w:val="1"/>
    <w:autoRedefine/>
    <w:qFormat/>
    <w:uiPriority w:val="0"/>
    <w:pPr>
      <w:ind w:left="2940"/>
    </w:pPr>
  </w:style>
  <w:style w:type="paragraph" w:customStyle="1" w:styleId="44">
    <w:name w:val="style4"/>
    <w:basedOn w:val="1"/>
    <w:next w:val="45"/>
    <w:autoRedefine/>
    <w:qFormat/>
    <w:uiPriority w:val="0"/>
    <w:pPr>
      <w:widowControl/>
      <w:spacing w:before="280" w:after="280"/>
    </w:pPr>
    <w:rPr>
      <w:rFonts w:ascii="宋体"/>
      <w:sz w:val="18"/>
    </w:rPr>
  </w:style>
  <w:style w:type="paragraph" w:customStyle="1" w:styleId="45">
    <w:name w:val="2"/>
    <w:basedOn w:val="4"/>
    <w:next w:val="1"/>
    <w:autoRedefine/>
    <w:qFormat/>
    <w:uiPriority w:val="0"/>
    <w:pPr>
      <w:widowControl w:val="0"/>
      <w:spacing w:before="120" w:beforeLines="50" w:after="120" w:afterLines="50" w:line="240" w:lineRule="auto"/>
      <w:jc w:val="center"/>
    </w:pPr>
    <w:rPr>
      <w:rFonts w:ascii="黑体" w:eastAsia="黑体"/>
      <w:sz w:val="44"/>
      <w:szCs w:val="28"/>
    </w:rPr>
  </w:style>
  <w:style w:type="paragraph" w:customStyle="1" w:styleId="46">
    <w:name w:val="Table Text"/>
    <w:basedOn w:val="1"/>
    <w:autoRedefine/>
    <w:semiHidden/>
    <w:qFormat/>
    <w:uiPriority w:val="0"/>
    <w:rPr>
      <w:rFonts w:ascii="宋体" w:hAnsi="宋体" w:eastAsia="宋体" w:cs="宋体"/>
      <w:sz w:val="20"/>
      <w:szCs w:val="20"/>
      <w:lang w:val="en-US" w:eastAsia="en-US" w:bidi="ar-SA"/>
    </w:rPr>
  </w:style>
  <w:style w:type="table" w:customStyle="1" w:styleId="47">
    <w:name w:val="Table Normal"/>
    <w:autoRedefine/>
    <w:semiHidden/>
    <w:unhideWhenUsed/>
    <w:qFormat/>
    <w:uiPriority w:val="0"/>
    <w:tblPr>
      <w:tblCellMar>
        <w:top w:w="0" w:type="dxa"/>
        <w:left w:w="0" w:type="dxa"/>
        <w:bottom w:w="0" w:type="dxa"/>
        <w:right w:w="0" w:type="dxa"/>
      </w:tblCellMar>
    </w:tblPr>
  </w:style>
  <w:style w:type="paragraph" w:customStyle="1" w:styleId="48">
    <w:name w:val="Blockquote"/>
    <w:basedOn w:val="1"/>
    <w:autoRedefine/>
    <w:qFormat/>
    <w:uiPriority w:val="0"/>
    <w:pPr>
      <w:autoSpaceDE w:val="0"/>
      <w:autoSpaceDN w:val="0"/>
      <w:adjustRightInd w:val="0"/>
      <w:spacing w:before="100" w:after="100"/>
      <w:ind w:left="360" w:right="360"/>
      <w:jc w:val="left"/>
    </w:pPr>
    <w:rPr>
      <w:kern w:val="0"/>
      <w:sz w:val="24"/>
    </w:rPr>
  </w:style>
  <w:style w:type="paragraph" w:customStyle="1" w:styleId="49">
    <w:name w:val="正文_5"/>
    <w:autoRedefine/>
    <w:qFormat/>
    <w:uiPriority w:val="0"/>
    <w:pPr>
      <w:widowControl w:val="0"/>
      <w:jc w:val="both"/>
    </w:pPr>
    <w:rPr>
      <w:rFonts w:ascii="Times New Roman" w:hAnsi="Times New Roman" w:eastAsia="宋体" w:cs="Times New Roman"/>
      <w:kern w:val="2"/>
      <w:sz w:val="21"/>
      <w:szCs w:val="20"/>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emf"/><Relationship Id="rId13" Type="http://schemas.openxmlformats.org/officeDocument/2006/relationships/theme" Target="theme/theme1.xml"/><Relationship Id="rId12" Type="http://schemas.openxmlformats.org/officeDocument/2006/relationships/footer" Target="footer8.xml"/><Relationship Id="rId11" Type="http://schemas.openxmlformats.org/officeDocument/2006/relationships/header" Target="header2.xml"/><Relationship Id="rId10" Type="http://schemas.openxmlformats.org/officeDocument/2006/relationships/footer" Target="footer7.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87</Pages>
  <Words>50504</Words>
  <Characters>53749</Characters>
  <Lines>0</Lines>
  <Paragraphs>0</Paragraphs>
  <TotalTime>76</TotalTime>
  <ScaleCrop>false</ScaleCrop>
  <LinksUpToDate>false</LinksUpToDate>
  <CharactersWithSpaces>60359</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2023-10-09T06:18:00Z</dcterms:created>
  <dc:creator>歪歪</dc:creator>
  <cp:lastModifiedBy>马小清</cp:lastModifiedBy>
  <dcterms:modified xsi:type="dcterms:W3CDTF">2024-12-27T02:56:06Z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B560AA33C8EE467A8FCC399843BE1168_13</vt:lpwstr>
  </property>
</Properties>
</file>