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color w:val="auto"/>
          <w:spacing w:val="20"/>
          <w:sz w:val="44"/>
          <w:szCs w:val="44"/>
          <w:highlight w:val="none"/>
        </w:rPr>
      </w:pPr>
    </w:p>
    <w:p>
      <w:pPr>
        <w:pStyle w:val="2"/>
        <w:rPr>
          <w:color w:val="auto"/>
          <w:highlight w:val="none"/>
        </w:rPr>
      </w:pPr>
    </w:p>
    <w:p>
      <w:pPr>
        <w:jc w:val="center"/>
        <w:rPr>
          <w:rFonts w:hint="eastAsia"/>
          <w:b/>
          <w:color w:val="auto"/>
          <w:spacing w:val="20"/>
          <w:sz w:val="44"/>
          <w:szCs w:val="44"/>
          <w:lang w:eastAsia="zh-CN"/>
        </w:rPr>
      </w:pPr>
      <w:r>
        <w:rPr>
          <w:rFonts w:hint="eastAsia"/>
          <w:b/>
          <w:color w:val="auto"/>
          <w:spacing w:val="20"/>
          <w:sz w:val="44"/>
          <w:szCs w:val="44"/>
          <w:lang w:eastAsia="zh-CN"/>
        </w:rPr>
        <w:t>资源县主要</w:t>
      </w:r>
      <w:r>
        <w:rPr>
          <w:rFonts w:hint="eastAsia"/>
          <w:b/>
          <w:bCs/>
          <w:smallCaps/>
          <w:color w:val="auto"/>
          <w:sz w:val="48"/>
        </w:rPr>
        <w:drawing>
          <wp:anchor distT="0" distB="0" distL="114300" distR="114300" simplePos="0" relativeHeight="251674624" behindDoc="1" locked="0" layoutInCell="1" allowOverlap="1">
            <wp:simplePos x="0" y="0"/>
            <wp:positionH relativeFrom="column">
              <wp:posOffset>-1210310</wp:posOffset>
            </wp:positionH>
            <wp:positionV relativeFrom="paragraph">
              <wp:posOffset>-1882775</wp:posOffset>
            </wp:positionV>
            <wp:extent cx="13300075" cy="12123420"/>
            <wp:effectExtent l="0" t="0" r="15875" b="11430"/>
            <wp:wrapNone/>
            <wp:docPr id="14" name="图片 2" descr="照片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照片 003"/>
                    <pic:cNvPicPr>
                      <a:picLocks noChangeAspect="1"/>
                    </pic:cNvPicPr>
                  </pic:nvPicPr>
                  <pic:blipFill>
                    <a:blip r:embed="rId24"/>
                    <a:stretch>
                      <a:fillRect/>
                    </a:stretch>
                  </pic:blipFill>
                  <pic:spPr>
                    <a:xfrm>
                      <a:off x="0" y="0"/>
                      <a:ext cx="13300075" cy="12123420"/>
                    </a:xfrm>
                    <a:prstGeom prst="rect">
                      <a:avLst/>
                    </a:prstGeom>
                    <a:noFill/>
                    <a:ln>
                      <a:noFill/>
                    </a:ln>
                  </pic:spPr>
                </pic:pic>
              </a:graphicData>
            </a:graphic>
          </wp:anchor>
        </w:drawing>
      </w:r>
      <w:r>
        <w:rPr>
          <w:rFonts w:hint="eastAsia"/>
          <w:b/>
          <w:color w:val="auto"/>
          <w:spacing w:val="20"/>
          <w:sz w:val="44"/>
          <w:szCs w:val="44"/>
          <w:lang w:eastAsia="zh-CN"/>
        </w:rPr>
        <w:t>河流</w:t>
      </w:r>
    </w:p>
    <w:p>
      <w:pPr>
        <w:jc w:val="center"/>
        <w:rPr>
          <w:b/>
          <w:color w:val="auto"/>
          <w:spacing w:val="20"/>
          <w:sz w:val="44"/>
          <w:szCs w:val="44"/>
        </w:rPr>
      </w:pPr>
      <w:r>
        <w:rPr>
          <w:rFonts w:hint="eastAsia"/>
          <w:b/>
          <w:color w:val="auto"/>
          <w:spacing w:val="20"/>
          <w:sz w:val="44"/>
          <w:szCs w:val="44"/>
          <w:lang w:eastAsia="zh-CN"/>
        </w:rPr>
        <w:t>河湖健康评估</w:t>
      </w:r>
      <w:r>
        <w:rPr>
          <w:b/>
          <w:color w:val="auto"/>
          <w:spacing w:val="20"/>
          <w:sz w:val="44"/>
          <w:szCs w:val="44"/>
        </w:rPr>
        <w:t>报告书</w:t>
      </w:r>
    </w:p>
    <w:p>
      <w:pPr>
        <w:jc w:val="center"/>
        <w:rPr>
          <w:color w:val="auto"/>
          <w:sz w:val="30"/>
          <w:szCs w:val="30"/>
          <w:highlight w:val="none"/>
        </w:rPr>
      </w:pPr>
    </w:p>
    <w:p>
      <w:pPr>
        <w:jc w:val="center"/>
        <w:rPr>
          <w:b/>
          <w:color w:val="auto"/>
          <w:sz w:val="44"/>
          <w:szCs w:val="44"/>
          <w:highlight w:val="none"/>
        </w:rPr>
      </w:pPr>
    </w:p>
    <w:p>
      <w:pPr>
        <w:jc w:val="center"/>
        <w:rPr>
          <w:b/>
          <w:color w:val="auto"/>
          <w:sz w:val="44"/>
          <w:szCs w:val="44"/>
          <w:highlight w:val="none"/>
        </w:rPr>
      </w:pPr>
    </w:p>
    <w:p>
      <w:pPr>
        <w:jc w:val="center"/>
        <w:rPr>
          <w:b/>
          <w:color w:val="auto"/>
          <w:sz w:val="44"/>
          <w:szCs w:val="44"/>
          <w:highlight w:val="none"/>
        </w:rPr>
      </w:pPr>
    </w:p>
    <w:p>
      <w:pPr>
        <w:jc w:val="center"/>
        <w:rPr>
          <w:b/>
          <w:color w:val="auto"/>
          <w:sz w:val="44"/>
          <w:szCs w:val="44"/>
          <w:highlight w:val="none"/>
        </w:rPr>
      </w:pPr>
    </w:p>
    <w:p>
      <w:pPr>
        <w:jc w:val="center"/>
        <w:rPr>
          <w:b/>
          <w:color w:val="auto"/>
          <w:sz w:val="44"/>
          <w:szCs w:val="44"/>
          <w:highlight w:val="none"/>
        </w:rPr>
      </w:pPr>
    </w:p>
    <w:p>
      <w:pPr>
        <w:jc w:val="center"/>
        <w:rPr>
          <w:b/>
          <w:color w:val="auto"/>
          <w:sz w:val="44"/>
          <w:szCs w:val="44"/>
          <w:highlight w:val="none"/>
        </w:rPr>
      </w:pPr>
    </w:p>
    <w:p>
      <w:pPr>
        <w:jc w:val="center"/>
        <w:rPr>
          <w:b/>
          <w:color w:val="auto"/>
          <w:sz w:val="44"/>
          <w:szCs w:val="44"/>
          <w:highlight w:val="none"/>
        </w:rPr>
      </w:pPr>
    </w:p>
    <w:p>
      <w:pPr>
        <w:jc w:val="center"/>
        <w:rPr>
          <w:b/>
          <w:color w:val="auto"/>
          <w:sz w:val="28"/>
          <w:szCs w:val="28"/>
          <w:highlight w:val="none"/>
        </w:rPr>
      </w:pPr>
    </w:p>
    <w:p>
      <w:pPr>
        <w:jc w:val="center"/>
        <w:rPr>
          <w:b/>
          <w:color w:val="auto"/>
          <w:sz w:val="28"/>
          <w:szCs w:val="28"/>
          <w:highlight w:val="none"/>
        </w:rPr>
      </w:pPr>
    </w:p>
    <w:p>
      <w:pPr>
        <w:jc w:val="center"/>
        <w:rPr>
          <w:b/>
          <w:color w:val="auto"/>
          <w:sz w:val="28"/>
          <w:szCs w:val="28"/>
          <w:highlight w:val="none"/>
        </w:rPr>
      </w:pPr>
      <w:r>
        <w:rPr>
          <w:rFonts w:hint="eastAsia" w:eastAsia="宋体"/>
          <w:b/>
          <w:bCs/>
          <w:smallCaps/>
          <w:color w:val="auto"/>
          <w:sz w:val="32"/>
          <w:lang w:eastAsia="zh-CN"/>
        </w:rPr>
        <w:drawing>
          <wp:anchor distT="0" distB="0" distL="114300" distR="114300" simplePos="0" relativeHeight="251673600" behindDoc="0" locked="0" layoutInCell="1" allowOverlap="1">
            <wp:simplePos x="0" y="0"/>
            <wp:positionH relativeFrom="column">
              <wp:posOffset>2295525</wp:posOffset>
            </wp:positionH>
            <wp:positionV relativeFrom="paragraph">
              <wp:posOffset>18415</wp:posOffset>
            </wp:positionV>
            <wp:extent cx="1874520" cy="1737360"/>
            <wp:effectExtent l="0" t="0" r="0" b="0"/>
            <wp:wrapNone/>
            <wp:docPr id="15" name="图片 1" descr="公章电子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公章电子版"/>
                    <pic:cNvPicPr>
                      <a:picLocks noChangeAspect="1"/>
                    </pic:cNvPicPr>
                  </pic:nvPicPr>
                  <pic:blipFill>
                    <a:blip r:embed="rId25"/>
                    <a:stretch>
                      <a:fillRect/>
                    </a:stretch>
                  </pic:blipFill>
                  <pic:spPr>
                    <a:xfrm>
                      <a:off x="0" y="0"/>
                      <a:ext cx="1874520" cy="1737360"/>
                    </a:xfrm>
                    <a:prstGeom prst="rect">
                      <a:avLst/>
                    </a:prstGeom>
                    <a:noFill/>
                    <a:ln>
                      <a:noFill/>
                    </a:ln>
                  </pic:spPr>
                </pic:pic>
              </a:graphicData>
            </a:graphic>
          </wp:anchor>
        </w:drawing>
      </w:r>
    </w:p>
    <w:p>
      <w:pPr>
        <w:jc w:val="center"/>
        <w:rPr>
          <w:b/>
          <w:color w:val="auto"/>
          <w:sz w:val="28"/>
          <w:szCs w:val="28"/>
          <w:highlight w:val="none"/>
        </w:rPr>
      </w:pPr>
    </w:p>
    <w:p>
      <w:pPr>
        <w:spacing w:line="800" w:lineRule="exact"/>
        <w:ind w:firstLine="803" w:firstLineChars="250"/>
        <w:rPr>
          <w:rFonts w:eastAsia="楷体_GB2312"/>
          <w:color w:val="auto"/>
          <w:sz w:val="36"/>
          <w:szCs w:val="36"/>
        </w:rPr>
      </w:pPr>
      <w:r>
        <w:rPr>
          <w:b/>
          <w:color w:val="auto"/>
          <w:sz w:val="32"/>
          <w:szCs w:val="32"/>
        </w:rPr>
        <w:t>编制单位：桂林兴源水利科技有限责任公司</w:t>
      </w:r>
    </w:p>
    <w:p>
      <w:pPr>
        <w:spacing w:line="800" w:lineRule="exact"/>
        <w:jc w:val="center"/>
        <w:rPr>
          <w:b/>
          <w:color w:val="auto"/>
          <w:sz w:val="32"/>
        </w:rPr>
      </w:pPr>
      <w:r>
        <w:rPr>
          <w:b/>
          <w:color w:val="auto"/>
          <w:sz w:val="32"/>
        </w:rPr>
        <w:t>202</w:t>
      </w:r>
      <w:r>
        <w:rPr>
          <w:rFonts w:hint="eastAsia"/>
          <w:b/>
          <w:color w:val="auto"/>
          <w:sz w:val="32"/>
          <w:lang w:val="en-US" w:eastAsia="zh-CN"/>
        </w:rPr>
        <w:t>1</w:t>
      </w:r>
      <w:r>
        <w:rPr>
          <w:b/>
          <w:color w:val="auto"/>
          <w:sz w:val="32"/>
        </w:rPr>
        <w:t>年</w:t>
      </w:r>
      <w:r>
        <w:rPr>
          <w:rFonts w:hint="eastAsia"/>
          <w:b/>
          <w:color w:val="auto"/>
          <w:sz w:val="32"/>
          <w:lang w:val="en-US" w:eastAsia="zh-CN"/>
        </w:rPr>
        <w:t>11</w:t>
      </w:r>
      <w:r>
        <w:rPr>
          <w:b/>
          <w:color w:val="auto"/>
          <w:sz w:val="32"/>
        </w:rPr>
        <w:t>月</w:t>
      </w:r>
    </w:p>
    <w:p>
      <w:pPr>
        <w:jc w:val="center"/>
        <w:rPr>
          <w:rFonts w:eastAsia="黑体"/>
          <w:color w:val="auto"/>
          <w:sz w:val="36"/>
          <w:szCs w:val="36"/>
        </w:rPr>
      </w:pPr>
      <w:r>
        <w:rPr>
          <w:rFonts w:eastAsia="黑体"/>
          <w:smallCaps/>
          <w:color w:val="auto"/>
          <w:sz w:val="36"/>
          <w:szCs w:val="36"/>
        </w:rPr>
        <w:drawing>
          <wp:inline distT="0" distB="0" distL="114300" distR="114300">
            <wp:extent cx="5398770" cy="8077835"/>
            <wp:effectExtent l="0" t="0" r="11430" b="18415"/>
            <wp:docPr id="134" name="图片 3" descr="兴源水利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 descr="兴源水利执照"/>
                    <pic:cNvPicPr>
                      <a:picLocks noChangeAspect="1"/>
                    </pic:cNvPicPr>
                  </pic:nvPicPr>
                  <pic:blipFill>
                    <a:blip r:embed="rId26"/>
                    <a:stretch>
                      <a:fillRect/>
                    </a:stretch>
                  </pic:blipFill>
                  <pic:spPr>
                    <a:xfrm>
                      <a:off x="0" y="0"/>
                      <a:ext cx="5398770" cy="8077835"/>
                    </a:xfrm>
                    <a:prstGeom prst="rect">
                      <a:avLst/>
                    </a:prstGeom>
                    <a:noFill/>
                    <a:ln>
                      <a:noFill/>
                    </a:ln>
                  </pic:spPr>
                </pic:pic>
              </a:graphicData>
            </a:graphic>
          </wp:inline>
        </w:drawing>
      </w:r>
    </w:p>
    <w:p>
      <w:pPr>
        <w:spacing w:line="480" w:lineRule="auto"/>
        <w:ind w:right="-40"/>
        <w:rPr>
          <w:rFonts w:hint="default" w:ascii="Calibri" w:hAnsi="Calibri" w:eastAsia="黑体" w:cs="Times New Roman"/>
          <w:color w:val="auto"/>
          <w:kern w:val="2"/>
          <w:sz w:val="24"/>
          <w:szCs w:val="24"/>
          <w:highlight w:val="none"/>
          <w:lang w:val="en-US" w:eastAsia="zh-CN" w:bidi="ar"/>
        </w:rPr>
        <w:sectPr>
          <w:headerReference r:id="rId5" w:type="default"/>
          <w:pgSz w:w="11906" w:h="16838"/>
          <w:pgMar w:top="1361" w:right="1361" w:bottom="1474" w:left="1418" w:header="1021" w:footer="964" w:gutter="0"/>
          <w:pgBorders>
            <w:top w:val="none" w:sz="0" w:space="0"/>
            <w:left w:val="none" w:sz="0" w:space="0"/>
            <w:bottom w:val="none" w:sz="0" w:space="0"/>
            <w:right w:val="none" w:sz="0" w:space="0"/>
          </w:pgBorders>
          <w:cols w:space="720" w:num="1"/>
          <w:docGrid w:linePitch="312" w:charSpace="0"/>
        </w:sectPr>
      </w:pPr>
      <w:r>
        <w:rPr>
          <w:rFonts w:eastAsia="黑体"/>
          <w:color w:val="auto"/>
          <w:sz w:val="36"/>
          <w:szCs w:val="36"/>
        </w:rPr>
        <w:br w:type="page"/>
      </w:r>
    </w:p>
    <w:p>
      <w:pPr>
        <w:keepNext w:val="0"/>
        <w:keepLines w:val="0"/>
        <w:widowControl w:val="0"/>
        <w:suppressLineNumbers w:val="0"/>
        <w:spacing w:before="0" w:beforeAutospacing="0" w:after="0" w:afterAutospacing="0" w:line="460" w:lineRule="exact"/>
        <w:ind w:left="0" w:right="-40" w:firstLine="720" w:firstLineChars="200"/>
        <w:jc w:val="left"/>
        <w:rPr>
          <w:rFonts w:eastAsia="楷体_GB2312"/>
          <w:color w:val="auto"/>
          <w:kern w:val="11"/>
          <w:sz w:val="36"/>
          <w:szCs w:val="36"/>
          <w:highlight w:val="none"/>
          <w:lang w:val="en-US"/>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auto"/>
        <w:ind w:left="0" w:leftChars="0" w:right="0" w:firstLine="0" w:firstLineChars="0"/>
        <w:jc w:val="left"/>
        <w:textAlignment w:val="auto"/>
        <w:rPr>
          <w:rFonts w:hint="eastAsia" w:ascii="Calibri" w:hAnsi="Calibri" w:eastAsia="楷体_GB2312" w:cs="楷体_GB2312"/>
          <w:color w:val="auto"/>
          <w:kern w:val="2"/>
          <w:sz w:val="36"/>
          <w:szCs w:val="36"/>
          <w:highlight w:val="none"/>
          <w:lang w:val="en-US" w:eastAsia="zh-CN" w:bidi="ar"/>
        </w:rPr>
      </w:pPr>
      <w:r>
        <w:rPr>
          <w:rFonts w:hint="eastAsia" w:ascii="Calibri" w:hAnsi="Calibri" w:eastAsia="楷体_GB2312" w:cs="楷体_GB2312"/>
          <w:color w:val="auto"/>
          <w:kern w:val="11"/>
          <w:sz w:val="36"/>
          <w:szCs w:val="36"/>
          <w:highlight w:val="none"/>
          <w:lang w:val="en-US" w:eastAsia="zh-CN" w:bidi="ar"/>
        </w:rPr>
        <w:t>项 目 名 称：资源县主要河流河湖健康评估报告书</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auto"/>
        <w:ind w:left="0" w:leftChars="0" w:right="0" w:firstLine="0" w:firstLineChars="0"/>
        <w:jc w:val="left"/>
        <w:textAlignment w:val="auto"/>
        <w:rPr>
          <w:rFonts w:hint="eastAsia" w:ascii="Calibri" w:hAnsi="Calibri" w:eastAsia="楷体_GB2312" w:cs="楷体_GB2312"/>
          <w:color w:val="auto"/>
          <w:kern w:val="11"/>
          <w:sz w:val="36"/>
          <w:szCs w:val="36"/>
          <w:highlight w:val="none"/>
          <w:lang w:val="en-US" w:eastAsia="zh-CN" w:bidi="ar"/>
        </w:rPr>
      </w:pPr>
      <w:r>
        <w:rPr>
          <w:rFonts w:hint="eastAsia" w:ascii="Calibri" w:hAnsi="Calibri" w:eastAsia="楷体_GB2312" w:cs="楷体_GB2312"/>
          <w:color w:val="auto"/>
          <w:kern w:val="11"/>
          <w:sz w:val="36"/>
          <w:szCs w:val="36"/>
          <w:highlight w:val="none"/>
          <w:lang w:val="en-US" w:eastAsia="zh-CN" w:bidi="ar"/>
        </w:rPr>
        <w:t xml:space="preserve">审            定：  周祖旭 </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auto"/>
        <w:ind w:left="0" w:leftChars="0" w:right="0" w:firstLine="0" w:firstLineChars="0"/>
        <w:jc w:val="left"/>
        <w:textAlignment w:val="auto"/>
        <w:rPr>
          <w:rFonts w:hint="eastAsia" w:ascii="Calibri" w:hAnsi="Calibri" w:eastAsia="楷体_GB2312" w:cs="楷体_GB2312"/>
          <w:color w:val="auto"/>
          <w:kern w:val="11"/>
          <w:sz w:val="36"/>
          <w:szCs w:val="36"/>
          <w:highlight w:val="none"/>
          <w:lang w:val="en-US" w:eastAsia="zh-CN" w:bidi="ar"/>
        </w:rPr>
      </w:pPr>
      <w:r>
        <w:rPr>
          <w:rFonts w:hint="eastAsia" w:ascii="Calibri" w:hAnsi="Calibri" w:eastAsia="楷体_GB2312" w:cs="楷体_GB2312"/>
          <w:color w:val="auto"/>
          <w:kern w:val="11"/>
          <w:sz w:val="36"/>
          <w:szCs w:val="36"/>
          <w:highlight w:val="none"/>
          <w:lang w:val="en-US" w:eastAsia="zh-CN" w:bidi="ar"/>
        </w:rPr>
        <w:t>项目负责人：蒋杨明</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auto"/>
        <w:ind w:left="0" w:leftChars="0" w:right="0" w:firstLine="0" w:firstLineChars="0"/>
        <w:jc w:val="left"/>
        <w:textAlignment w:val="auto"/>
        <w:rPr>
          <w:rFonts w:hint="eastAsia" w:ascii="Calibri" w:hAnsi="Calibri" w:eastAsia="楷体_GB2312" w:cs="楷体_GB2312"/>
          <w:color w:val="auto"/>
          <w:kern w:val="11"/>
          <w:sz w:val="36"/>
          <w:szCs w:val="36"/>
          <w:highlight w:val="none"/>
          <w:lang w:val="en-US" w:eastAsia="zh-CN" w:bidi="ar"/>
        </w:rPr>
      </w:pPr>
      <w:r>
        <w:rPr>
          <w:rFonts w:hint="eastAsia" w:ascii="Calibri" w:hAnsi="Calibri" w:eastAsia="楷体_GB2312" w:cs="楷体_GB2312"/>
          <w:color w:val="auto"/>
          <w:kern w:val="11"/>
          <w:sz w:val="36"/>
          <w:szCs w:val="36"/>
          <w:highlight w:val="none"/>
          <w:lang w:val="en-US" w:eastAsia="zh-CN" w:bidi="ar"/>
        </w:rPr>
        <w:t>编 写 人 员： 蒋正芳   冯真万  赵瑞年</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480" w:lineRule="auto"/>
        <w:ind w:firstLine="560" w:firstLineChars="200"/>
        <w:textAlignment w:val="auto"/>
        <w:rPr>
          <w:color w:val="auto"/>
        </w:rPr>
      </w:pPr>
    </w:p>
    <w:p>
      <w:pPr>
        <w:bidi w:val="0"/>
        <w:ind w:left="0" w:leftChars="0" w:firstLine="840" w:firstLineChars="300"/>
        <w:rPr>
          <w:rFonts w:hint="eastAsia"/>
          <w:color w:val="auto"/>
        </w:rPr>
      </w:pPr>
    </w:p>
    <w:p>
      <w:pPr>
        <w:bidi w:val="0"/>
        <w:ind w:left="0" w:leftChars="0" w:firstLine="840" w:firstLineChars="300"/>
        <w:rPr>
          <w:rFonts w:hint="eastAsia"/>
          <w:color w:val="auto"/>
        </w:rPr>
      </w:pPr>
    </w:p>
    <w:p>
      <w:pPr>
        <w:ind w:left="0" w:leftChars="0" w:firstLine="840" w:firstLineChars="300"/>
        <w:rPr>
          <w:rFonts w:hint="eastAsia"/>
          <w:color w:val="auto"/>
        </w:rPr>
      </w:pPr>
      <w:r>
        <w:rPr>
          <w:rFonts w:hint="eastAsia"/>
          <w:color w:val="auto"/>
        </w:rPr>
        <w:t xml:space="preserve">附图： </w:t>
      </w:r>
    </w:p>
    <w:p>
      <w:pPr>
        <w:ind w:left="0" w:leftChars="0" w:firstLine="840" w:firstLineChars="300"/>
        <w:rPr>
          <w:rFonts w:hint="eastAsia"/>
          <w:color w:val="auto"/>
        </w:rPr>
      </w:pPr>
      <w:bookmarkStart w:id="0" w:name="_Toc6391"/>
      <w:r>
        <w:rPr>
          <w:rFonts w:hint="eastAsia"/>
          <w:color w:val="auto"/>
        </w:rPr>
        <w:t xml:space="preserve">附图1  </w:t>
      </w:r>
      <w:r>
        <w:rPr>
          <w:rFonts w:hint="eastAsia"/>
          <w:color w:val="auto"/>
          <w:lang w:val="en-US" w:eastAsia="zh-CN"/>
        </w:rPr>
        <w:t>资源县地理位置图</w:t>
      </w:r>
      <w:bookmarkEnd w:id="0"/>
      <w:r>
        <w:rPr>
          <w:rFonts w:hint="eastAsia"/>
          <w:color w:val="auto"/>
        </w:rPr>
        <w:t xml:space="preserve"> </w:t>
      </w:r>
    </w:p>
    <w:p>
      <w:pPr>
        <w:ind w:left="0" w:leftChars="0" w:firstLine="840" w:firstLineChars="300"/>
        <w:rPr>
          <w:rFonts w:hint="eastAsia"/>
          <w:color w:val="auto"/>
        </w:rPr>
      </w:pPr>
      <w:bookmarkStart w:id="1" w:name="_Toc29539"/>
      <w:r>
        <w:rPr>
          <w:rFonts w:hint="eastAsia"/>
          <w:color w:val="auto"/>
        </w:rPr>
        <w:t xml:space="preserve">附图2  </w:t>
      </w:r>
      <w:r>
        <w:rPr>
          <w:rFonts w:hint="eastAsia"/>
          <w:color w:val="auto"/>
          <w:lang w:eastAsia="zh-CN"/>
        </w:rPr>
        <w:t>资江流域</w:t>
      </w:r>
      <w:r>
        <w:rPr>
          <w:rFonts w:hint="eastAsia"/>
          <w:color w:val="auto"/>
        </w:rPr>
        <w:t>水系及水利工程分布示意图</w:t>
      </w:r>
      <w:bookmarkEnd w:id="1"/>
      <w:r>
        <w:rPr>
          <w:rFonts w:hint="eastAsia"/>
          <w:color w:val="auto"/>
        </w:rPr>
        <w:t xml:space="preserve"> </w:t>
      </w:r>
    </w:p>
    <w:p>
      <w:pPr>
        <w:ind w:left="0" w:leftChars="0" w:firstLine="840" w:firstLineChars="300"/>
        <w:rPr>
          <w:rFonts w:hint="eastAsia"/>
          <w:color w:val="auto"/>
        </w:rPr>
      </w:pPr>
      <w:bookmarkStart w:id="2" w:name="_Toc30753"/>
      <w:r>
        <w:rPr>
          <w:rFonts w:hint="eastAsia"/>
          <w:color w:val="auto"/>
        </w:rPr>
        <w:t xml:space="preserve">附图3  </w:t>
      </w:r>
      <w:r>
        <w:rPr>
          <w:rFonts w:hint="eastAsia"/>
          <w:color w:val="auto"/>
          <w:lang w:eastAsia="zh-CN"/>
        </w:rPr>
        <w:t>资江流域</w:t>
      </w:r>
      <w:r>
        <w:rPr>
          <w:rFonts w:hint="eastAsia"/>
          <w:color w:val="auto"/>
        </w:rPr>
        <w:t>水功能区划图</w:t>
      </w:r>
      <w:bookmarkEnd w:id="2"/>
      <w:r>
        <w:rPr>
          <w:rFonts w:hint="eastAsia"/>
          <w:color w:val="auto"/>
        </w:rPr>
        <w:t xml:space="preserve"> </w:t>
      </w:r>
    </w:p>
    <w:p>
      <w:pPr>
        <w:bidi w:val="0"/>
        <w:rPr>
          <w:color w:val="auto"/>
        </w:rPr>
      </w:pPr>
      <w:bookmarkStart w:id="3" w:name="page9"/>
      <w:bookmarkEnd w:id="3"/>
      <w:bookmarkStart w:id="4" w:name="page5"/>
      <w:bookmarkEnd w:id="4"/>
    </w:p>
    <w:p>
      <w:pPr>
        <w:bidi w:val="0"/>
        <w:rPr>
          <w:color w:val="auto"/>
        </w:rPr>
      </w:pPr>
    </w:p>
    <w:p>
      <w:pPr>
        <w:bidi w:val="0"/>
        <w:rPr>
          <w:color w:val="auto"/>
        </w:rPr>
        <w:sectPr>
          <w:pgSz w:w="11906" w:h="16838"/>
          <w:pgMar w:top="1361" w:right="1361" w:bottom="1474" w:left="1418" w:header="1021" w:footer="964" w:gutter="0"/>
          <w:cols w:space="425" w:num="1"/>
          <w:docGrid w:linePitch="312" w:charSpace="0"/>
        </w:sectPr>
      </w:pPr>
    </w:p>
    <w:p>
      <w:pPr>
        <w:pStyle w:val="4"/>
        <w:bidi w:val="0"/>
        <w:rPr>
          <w:color w:val="auto"/>
        </w:rPr>
      </w:pPr>
      <w:bookmarkStart w:id="5" w:name="_Toc9272"/>
      <w:bookmarkStart w:id="6" w:name="_Toc31495"/>
      <w:bookmarkStart w:id="7" w:name="_Toc26280"/>
      <w:r>
        <w:rPr>
          <w:color w:val="auto"/>
        </w:rPr>
        <w:t>1</w:t>
      </w:r>
      <w:r>
        <w:rPr>
          <w:color w:val="auto"/>
        </w:rPr>
        <w:tab/>
      </w:r>
      <w:r>
        <w:rPr>
          <w:color w:val="auto"/>
        </w:rPr>
        <w:t>前言</w:t>
      </w:r>
      <w:bookmarkEnd w:id="5"/>
      <w:bookmarkEnd w:id="6"/>
      <w:bookmarkEnd w:id="7"/>
    </w:p>
    <w:p>
      <w:pPr>
        <w:spacing w:line="560" w:lineRule="exact"/>
        <w:rPr>
          <w:rFonts w:ascii="Times New Roman" w:hAnsi="Times New Roman" w:eastAsia="仿宋" w:cs="Times New Roman"/>
          <w:color w:val="auto"/>
          <w:kern w:val="0"/>
          <w:sz w:val="28"/>
          <w:szCs w:val="20"/>
        </w:rPr>
      </w:pPr>
    </w:p>
    <w:p>
      <w:pPr>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水是生命之源、生产之要、生态之基。河湖水系是地表水资源的主要载体，是维系生态系统健康的重要因子，也是哺育人类历史文明的摇篮。在大规模经济开发和全球气候变化双重因素作用下，一些河流、湖泊出现了不同程度地形态、结构、水文条件变化、水质恶化、生境退化以及重要或敏感水生生物消失等问题。有效保护、合理利用水资源，为子孙后代留下健康的河湖，不仅关系到水资源的可持续利用，也关系到流域乃至地区整体生态安全和经济社会的可持续发展，具有十分重要的战略意义。</w:t>
      </w:r>
    </w:p>
    <w:p>
      <w:pPr>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为全面贯彻落实《中华人民共和国水法》、2011 年中央 1 号文件《中华人民共和国国务院关于加快水利改革发展的决定》、《国务院关于印发水污染防治行动计划的通知》（国发〔2015〕17 号）以及《关于实行最严格水资源管理制度推动产业转型升级的实施意见》（桂政发〔2012〕36 号）等文件的精神，保护水资源和水生态，以支撑经济社会的可持续发展。20</w:t>
      </w:r>
      <w:r>
        <w:rPr>
          <w:rFonts w:hint="eastAsia" w:ascii="Times New Roman" w:hAnsi="Times New Roman" w:eastAsia="仿宋" w:cs="Times New Roman"/>
          <w:color w:val="auto"/>
          <w:kern w:val="0"/>
          <w:sz w:val="28"/>
          <w:szCs w:val="28"/>
          <w:lang w:val="en-US" w:eastAsia="zh-CN"/>
        </w:rPr>
        <w:t>21</w:t>
      </w:r>
      <w:r>
        <w:rPr>
          <w:rFonts w:ascii="Times New Roman" w:hAnsi="Times New Roman" w:eastAsia="仿宋" w:cs="Times New Roman"/>
          <w:color w:val="auto"/>
          <w:kern w:val="0"/>
          <w:sz w:val="28"/>
          <w:szCs w:val="28"/>
        </w:rPr>
        <w:t>年</w:t>
      </w:r>
      <w:r>
        <w:rPr>
          <w:rFonts w:hint="eastAsia" w:ascii="Times New Roman" w:hAnsi="Times New Roman" w:eastAsia="仿宋" w:cs="Times New Roman"/>
          <w:color w:val="auto"/>
          <w:kern w:val="0"/>
          <w:sz w:val="28"/>
          <w:szCs w:val="28"/>
          <w:lang w:val="en-US" w:eastAsia="zh-CN"/>
        </w:rPr>
        <w:t>11</w:t>
      </w:r>
      <w:r>
        <w:rPr>
          <w:rFonts w:ascii="Times New Roman" w:hAnsi="Times New Roman" w:eastAsia="仿宋" w:cs="Times New Roman"/>
          <w:color w:val="auto"/>
          <w:kern w:val="0"/>
          <w:sz w:val="28"/>
          <w:szCs w:val="28"/>
        </w:rPr>
        <w:t>月，</w:t>
      </w:r>
      <w:r>
        <w:rPr>
          <w:rFonts w:hint="eastAsia" w:ascii="Times New Roman" w:hAnsi="Times New Roman" w:eastAsia="仿宋" w:cs="Times New Roman"/>
          <w:color w:val="auto"/>
          <w:kern w:val="0"/>
          <w:sz w:val="28"/>
          <w:szCs w:val="28"/>
          <w:lang w:eastAsia="zh-CN"/>
        </w:rPr>
        <w:t>资源县水利局</w:t>
      </w:r>
      <w:r>
        <w:rPr>
          <w:rFonts w:ascii="Times New Roman" w:hAnsi="Times New Roman" w:eastAsia="仿宋" w:cs="Times New Roman"/>
          <w:color w:val="auto"/>
          <w:kern w:val="0"/>
          <w:sz w:val="28"/>
          <w:szCs w:val="28"/>
        </w:rPr>
        <w:t>委托</w:t>
      </w:r>
      <w:r>
        <w:rPr>
          <w:rFonts w:hint="eastAsia" w:ascii="Times New Roman" w:hAnsi="Times New Roman" w:eastAsia="仿宋" w:cs="Times New Roman"/>
          <w:color w:val="auto"/>
          <w:kern w:val="0"/>
          <w:sz w:val="28"/>
          <w:szCs w:val="28"/>
          <w:lang w:eastAsia="zh-CN"/>
        </w:rPr>
        <w:t>桂林兴源水利科技有限责任公司</w:t>
      </w:r>
      <w:r>
        <w:rPr>
          <w:rFonts w:ascii="Times New Roman" w:hAnsi="Times New Roman" w:eastAsia="仿宋" w:cs="Times New Roman"/>
          <w:color w:val="auto"/>
          <w:kern w:val="0"/>
          <w:sz w:val="28"/>
          <w:szCs w:val="28"/>
        </w:rPr>
        <w:t>开展广西</w:t>
      </w:r>
      <w:r>
        <w:rPr>
          <w:rFonts w:hint="eastAsia" w:ascii="Times New Roman" w:hAnsi="Times New Roman" w:eastAsia="仿宋" w:cs="Times New Roman"/>
          <w:color w:val="auto"/>
          <w:kern w:val="0"/>
          <w:sz w:val="28"/>
          <w:szCs w:val="28"/>
        </w:rPr>
        <w:t>资源县</w:t>
      </w:r>
      <w:r>
        <w:rPr>
          <w:rFonts w:hint="eastAsia" w:ascii="Times New Roman" w:hAnsi="Times New Roman" w:eastAsia="仿宋" w:cs="Times New Roman"/>
          <w:color w:val="auto"/>
          <w:kern w:val="0"/>
          <w:sz w:val="28"/>
          <w:szCs w:val="28"/>
          <w:lang w:eastAsia="zh-CN"/>
        </w:rPr>
        <w:t>主要</w:t>
      </w:r>
      <w:r>
        <w:rPr>
          <w:rFonts w:ascii="Times New Roman" w:hAnsi="Times New Roman" w:eastAsia="仿宋" w:cs="Times New Roman"/>
          <w:color w:val="auto"/>
          <w:kern w:val="0"/>
          <w:sz w:val="28"/>
          <w:szCs w:val="28"/>
        </w:rPr>
        <w:t>流域</w:t>
      </w:r>
      <w:r>
        <w:rPr>
          <w:rFonts w:hint="eastAsia" w:ascii="Times New Roman" w:hAnsi="Times New Roman" w:eastAsia="仿宋" w:cs="Times New Roman"/>
          <w:color w:val="auto"/>
          <w:kern w:val="0"/>
          <w:sz w:val="28"/>
          <w:szCs w:val="28"/>
        </w:rPr>
        <w:t>河流</w:t>
      </w:r>
      <w:r>
        <w:rPr>
          <w:rFonts w:ascii="Times New Roman" w:hAnsi="Times New Roman" w:eastAsia="仿宋" w:cs="Times New Roman"/>
          <w:color w:val="auto"/>
          <w:kern w:val="0"/>
          <w:sz w:val="28"/>
          <w:szCs w:val="28"/>
        </w:rPr>
        <w:t>健康状况评估工作。</w:t>
      </w:r>
      <w:r>
        <w:rPr>
          <w:rFonts w:hint="eastAsia" w:ascii="Times New Roman" w:hAnsi="Times New Roman" w:eastAsia="仿宋" w:cs="Times New Roman"/>
          <w:color w:val="auto"/>
          <w:kern w:val="0"/>
          <w:sz w:val="28"/>
          <w:szCs w:val="28"/>
        </w:rPr>
        <w:t>工作范围为</w:t>
      </w:r>
      <w:r>
        <w:rPr>
          <w:rFonts w:hint="eastAsia" w:ascii="Times New Roman" w:hAnsi="Times New Roman" w:eastAsia="仿宋" w:cs="Times New Roman"/>
          <w:color w:val="auto"/>
          <w:sz w:val="28"/>
          <w:szCs w:val="28"/>
        </w:rPr>
        <w:t>资源县境内</w:t>
      </w:r>
      <w:r>
        <w:rPr>
          <w:rFonts w:hint="eastAsia" w:ascii="Times New Roman" w:hAnsi="Times New Roman" w:eastAsia="仿宋" w:cs="Times New Roman"/>
          <w:color w:val="auto"/>
          <w:sz w:val="28"/>
          <w:szCs w:val="28"/>
          <w:lang w:eastAsia="zh-CN"/>
        </w:rPr>
        <w:t>资江支流</w:t>
      </w:r>
      <w:r>
        <w:rPr>
          <w:rFonts w:hint="eastAsia" w:ascii="Times New Roman" w:hAnsi="Times New Roman" w:eastAsia="仿宋" w:cs="Times New Roman"/>
          <w:color w:val="auto"/>
          <w:sz w:val="28"/>
          <w:szCs w:val="28"/>
        </w:rPr>
        <w:t>白竹洞河、白竹溪、大湾河、高山溪、瓜里河、胡家田河、黄柏江、蒋家山河、冷水河、鲤溪、木厂河、靑背河、石屋水、塘洞河、下字江河、义林河。工作内容为</w:t>
      </w:r>
      <w:r>
        <w:rPr>
          <w:rFonts w:hint="eastAsia" w:ascii="Times New Roman" w:hAnsi="Times New Roman" w:eastAsia="仿宋" w:cs="Times New Roman"/>
          <w:color w:val="auto"/>
          <w:kern w:val="0"/>
          <w:sz w:val="28"/>
          <w:szCs w:val="28"/>
        </w:rPr>
        <w:t>对资源县辖区内河流</w:t>
      </w:r>
      <w:r>
        <w:rPr>
          <w:rFonts w:ascii="Times New Roman" w:hAnsi="Times New Roman" w:eastAsia="仿宋" w:cs="Times New Roman"/>
          <w:color w:val="auto"/>
          <w:kern w:val="0"/>
          <w:sz w:val="28"/>
          <w:szCs w:val="28"/>
        </w:rPr>
        <w:t>现状进行</w:t>
      </w:r>
      <w:r>
        <w:rPr>
          <w:rFonts w:hint="eastAsia" w:ascii="Times New Roman" w:hAnsi="Times New Roman" w:eastAsia="仿宋" w:cs="Times New Roman"/>
          <w:color w:val="auto"/>
          <w:kern w:val="0"/>
          <w:sz w:val="28"/>
          <w:szCs w:val="28"/>
        </w:rPr>
        <w:t>野外</w:t>
      </w:r>
      <w:r>
        <w:rPr>
          <w:rFonts w:ascii="Times New Roman" w:hAnsi="Times New Roman" w:eastAsia="仿宋" w:cs="Times New Roman"/>
          <w:color w:val="auto"/>
          <w:kern w:val="0"/>
          <w:sz w:val="28"/>
          <w:szCs w:val="28"/>
        </w:rPr>
        <w:t>调查，通过开展河流河岸带、水质、水生态、社会专项等调查，收集相关技术基础资料等工作，定量分析得到河流健康评估相关技术指标，对河流系统水文完整性、物理结构完整性、化学完整性、生物完整性和服务功能完整性以及他们的相互协调性进行评估</w:t>
      </w:r>
      <w:r>
        <w:rPr>
          <w:rFonts w:hint="eastAsia" w:ascii="Times New Roman" w:hAnsi="Times New Roman" w:eastAsia="仿宋" w:cs="Times New Roman"/>
          <w:color w:val="auto"/>
          <w:kern w:val="0"/>
          <w:sz w:val="28"/>
          <w:szCs w:val="28"/>
        </w:rPr>
        <w:t>，</w:t>
      </w:r>
      <w:r>
        <w:rPr>
          <w:rFonts w:ascii="Times New Roman" w:hAnsi="Times New Roman" w:eastAsia="仿宋" w:cs="Times New Roman"/>
          <w:color w:val="auto"/>
          <w:kern w:val="0"/>
          <w:sz w:val="28"/>
          <w:szCs w:val="28"/>
        </w:rPr>
        <w:t>进而准确把脉河湖健康状况问题，</w:t>
      </w:r>
      <w:r>
        <w:rPr>
          <w:rFonts w:hint="eastAsia" w:ascii="Times New Roman" w:hAnsi="Times New Roman" w:eastAsia="仿宋" w:cs="Times New Roman"/>
          <w:color w:val="auto"/>
          <w:sz w:val="28"/>
          <w:szCs w:val="28"/>
        </w:rPr>
        <w:t>提出保护及修复目标，</w:t>
      </w:r>
      <w:r>
        <w:rPr>
          <w:rFonts w:ascii="Times New Roman" w:hAnsi="Times New Roman" w:eastAsia="仿宋" w:cs="Times New Roman"/>
          <w:color w:val="auto"/>
          <w:kern w:val="0"/>
          <w:sz w:val="28"/>
          <w:szCs w:val="28"/>
        </w:rPr>
        <w:t>构建水资源保护与河流健康保障体系，以支撑经济社会的可持续发展。</w:t>
      </w:r>
    </w:p>
    <w:p>
      <w:pPr>
        <w:spacing w:line="560" w:lineRule="exact"/>
        <w:ind w:firstLine="560" w:firstLineChars="200"/>
        <w:rPr>
          <w:rFonts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对资源县辖区内的河流进行</w:t>
      </w:r>
      <w:r>
        <w:rPr>
          <w:rFonts w:ascii="Times New Roman" w:hAnsi="Times New Roman" w:eastAsia="仿宋" w:cs="Times New Roman"/>
          <w:color w:val="auto"/>
          <w:kern w:val="0"/>
          <w:sz w:val="28"/>
          <w:szCs w:val="28"/>
        </w:rPr>
        <w:t>健康状况评估是全面贯彻实施最严格水资源管理制度的重要内容，是依法科学管理和保护水资源，推进</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水生态文明建设，实现</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经济社会的可持续发展的重要支撑。本报告主要依据《河流健康评估指标、标准与方法》（试点工作用）以及《全国重</w:t>
      </w:r>
      <w:bookmarkStart w:id="8" w:name="page10"/>
      <w:bookmarkEnd w:id="8"/>
      <w:r>
        <w:rPr>
          <w:rFonts w:ascii="Times New Roman" w:hAnsi="Times New Roman" w:eastAsia="仿宋" w:cs="Times New Roman"/>
          <w:color w:val="auto"/>
          <w:kern w:val="0"/>
          <w:sz w:val="28"/>
          <w:szCs w:val="28"/>
        </w:rPr>
        <w:t>要河湖健康评估（试点）工作大纲》</w:t>
      </w:r>
      <w:r>
        <w:rPr>
          <w:rFonts w:hint="eastAsia" w:ascii="Times New Roman" w:hAnsi="Times New Roman" w:eastAsia="仿宋" w:cs="Times New Roman"/>
          <w:color w:val="auto"/>
          <w:kern w:val="0"/>
          <w:sz w:val="28"/>
          <w:szCs w:val="28"/>
        </w:rPr>
        <w:t>进行编制，并根据专家咨询意见进行了修改和补充完善。</w:t>
      </w:r>
    </w:p>
    <w:p>
      <w:pPr>
        <w:spacing w:line="560" w:lineRule="exact"/>
        <w:rPr>
          <w:rFonts w:ascii="Times New Roman" w:hAnsi="Times New Roman" w:eastAsia="仿宋" w:cs="Times New Roman"/>
          <w:color w:val="auto"/>
          <w:kern w:val="0"/>
          <w:sz w:val="28"/>
          <w:szCs w:val="28"/>
        </w:rPr>
      </w:pPr>
    </w:p>
    <w:p>
      <w:pPr>
        <w:spacing w:line="560" w:lineRule="exact"/>
        <w:rPr>
          <w:rFonts w:hint="eastAsia" w:ascii="Times New Roman" w:hAnsi="Times New Roman" w:eastAsia="仿宋" w:cs="Times New Roman"/>
          <w:color w:val="auto"/>
          <w:kern w:val="0"/>
          <w:sz w:val="28"/>
          <w:szCs w:val="28"/>
        </w:rPr>
      </w:pPr>
    </w:p>
    <w:p>
      <w:pPr>
        <w:rPr>
          <w:rFonts w:ascii="Times New Roman" w:hAnsi="Times New Roman" w:eastAsia="仿宋" w:cs="Times New Roman"/>
          <w:color w:val="auto"/>
          <w:kern w:val="0"/>
          <w:sz w:val="28"/>
          <w:szCs w:val="28"/>
        </w:rPr>
      </w:pPr>
    </w:p>
    <w:p>
      <w:pPr>
        <w:rPr>
          <w:rFonts w:ascii="Times New Roman" w:hAnsi="Times New Roman" w:eastAsia="仿宋" w:cs="Times New Roman"/>
          <w:color w:val="auto"/>
          <w:kern w:val="0"/>
          <w:sz w:val="28"/>
          <w:szCs w:val="28"/>
        </w:rPr>
      </w:pPr>
    </w:p>
    <w:p>
      <w:pPr>
        <w:rPr>
          <w:rFonts w:ascii="Times New Roman" w:hAnsi="Times New Roman" w:eastAsia="仿宋" w:cs="Times New Roman"/>
          <w:color w:val="auto"/>
          <w:kern w:val="0"/>
          <w:sz w:val="28"/>
          <w:szCs w:val="28"/>
        </w:rPr>
      </w:pPr>
    </w:p>
    <w:p>
      <w:pPr>
        <w:rPr>
          <w:rFonts w:ascii="Times New Roman" w:hAnsi="Times New Roman" w:eastAsia="仿宋" w:cs="Times New Roman"/>
          <w:color w:val="auto"/>
          <w:kern w:val="0"/>
          <w:sz w:val="28"/>
          <w:szCs w:val="28"/>
        </w:rPr>
      </w:pPr>
    </w:p>
    <w:p>
      <w:pPr>
        <w:rPr>
          <w:rFonts w:ascii="Times New Roman" w:hAnsi="Times New Roman" w:eastAsia="仿宋" w:cs="Times New Roman"/>
          <w:color w:val="auto"/>
          <w:kern w:val="0"/>
          <w:sz w:val="28"/>
          <w:szCs w:val="28"/>
        </w:rPr>
      </w:pPr>
    </w:p>
    <w:p>
      <w:pPr>
        <w:rPr>
          <w:rFonts w:ascii="Times New Roman" w:hAnsi="Times New Roman" w:eastAsia="仿宋" w:cs="Times New Roman"/>
          <w:color w:val="auto"/>
          <w:kern w:val="0"/>
          <w:sz w:val="28"/>
          <w:szCs w:val="28"/>
        </w:rPr>
      </w:pPr>
    </w:p>
    <w:p>
      <w:pPr>
        <w:rPr>
          <w:rFonts w:ascii="Times New Roman" w:hAnsi="Times New Roman" w:eastAsia="仿宋" w:cs="Times New Roman"/>
          <w:color w:val="auto"/>
          <w:kern w:val="0"/>
          <w:sz w:val="28"/>
          <w:szCs w:val="28"/>
        </w:rPr>
      </w:pPr>
    </w:p>
    <w:p>
      <w:pPr>
        <w:rPr>
          <w:rFonts w:ascii="Times New Roman" w:hAnsi="Times New Roman" w:eastAsia="仿宋" w:cs="Times New Roman"/>
          <w:color w:val="auto"/>
          <w:kern w:val="0"/>
          <w:sz w:val="28"/>
          <w:szCs w:val="28"/>
        </w:rPr>
      </w:pPr>
    </w:p>
    <w:p>
      <w:pPr>
        <w:rPr>
          <w:rFonts w:ascii="Times New Roman" w:hAnsi="Times New Roman" w:eastAsia="仿宋" w:cs="Times New Roman"/>
          <w:color w:val="auto"/>
          <w:kern w:val="0"/>
          <w:sz w:val="28"/>
          <w:szCs w:val="28"/>
        </w:rPr>
      </w:pPr>
    </w:p>
    <w:p>
      <w:pPr>
        <w:rPr>
          <w:rFonts w:ascii="Times New Roman" w:hAnsi="Times New Roman" w:eastAsia="仿宋" w:cs="Times New Roman"/>
          <w:color w:val="auto"/>
          <w:kern w:val="0"/>
          <w:sz w:val="28"/>
          <w:szCs w:val="28"/>
        </w:rPr>
      </w:pPr>
    </w:p>
    <w:p>
      <w:pPr>
        <w:rPr>
          <w:rFonts w:ascii="Times New Roman" w:hAnsi="Times New Roman" w:eastAsia="仿宋" w:cs="Times New Roman"/>
          <w:color w:val="auto"/>
          <w:kern w:val="0"/>
          <w:sz w:val="28"/>
          <w:szCs w:val="28"/>
        </w:rPr>
      </w:pPr>
    </w:p>
    <w:p>
      <w:pPr>
        <w:pStyle w:val="4"/>
        <w:bidi w:val="0"/>
        <w:rPr>
          <w:color w:val="auto"/>
        </w:rPr>
      </w:pPr>
      <w:bookmarkStart w:id="9" w:name="_Toc30129"/>
      <w:bookmarkStart w:id="10" w:name="_Toc30577"/>
      <w:bookmarkStart w:id="11" w:name="_Toc10859"/>
      <w:r>
        <w:rPr>
          <w:color w:val="auto"/>
        </w:rPr>
        <w:t>2</w:t>
      </w:r>
      <w:r>
        <w:rPr>
          <w:color w:val="auto"/>
        </w:rPr>
        <w:tab/>
      </w:r>
      <w:r>
        <w:rPr>
          <w:color w:val="auto"/>
        </w:rPr>
        <w:t>流域概况</w:t>
      </w:r>
      <w:bookmarkEnd w:id="9"/>
      <w:bookmarkEnd w:id="10"/>
      <w:bookmarkEnd w:id="11"/>
    </w:p>
    <w:p>
      <w:pPr>
        <w:pStyle w:val="5"/>
        <w:bidi w:val="0"/>
        <w:rPr>
          <w:color w:val="auto"/>
        </w:rPr>
      </w:pPr>
      <w:bookmarkStart w:id="12" w:name="_Toc6697"/>
      <w:bookmarkStart w:id="13" w:name="_Toc6792"/>
      <w:r>
        <w:rPr>
          <w:color w:val="auto"/>
        </w:rPr>
        <w:t>2.1  自然地理</w:t>
      </w:r>
      <w:bookmarkEnd w:id="12"/>
      <w:bookmarkEnd w:id="13"/>
    </w:p>
    <w:p>
      <w:pPr>
        <w:adjustRightInd w:val="0"/>
        <w:spacing w:line="360" w:lineRule="auto"/>
        <w:ind w:firstLine="560" w:firstLineChars="200"/>
        <w:rPr>
          <w:rFonts w:ascii="仿宋" w:hAnsi="仿宋" w:eastAsia="仿宋" w:cs="Times New Roman"/>
          <w:color w:val="auto"/>
          <w:sz w:val="28"/>
          <w:szCs w:val="28"/>
        </w:rPr>
      </w:pPr>
      <w:r>
        <w:rPr>
          <w:rFonts w:hint="eastAsia" w:ascii="仿宋" w:hAnsi="仿宋" w:eastAsia="仿宋" w:cs="Times New Roman"/>
          <w:color w:val="auto"/>
          <w:sz w:val="28"/>
          <w:szCs w:val="28"/>
        </w:rPr>
        <w:t>资源县位于广西东北部，东面与本市全州县相连，南面、西南面分别与兴安、龙胜自治县交界，西南、北面分别与湖南城步县、新宁县接壤，是沿海经济发达地区与大西南内陆地区的中间过渡地带，是湘桂两省(区)经济、文化交流的重要通道之一。全县总面积194</w:t>
      </w:r>
      <w:r>
        <w:rPr>
          <w:rFonts w:ascii="仿宋" w:hAnsi="仿宋" w:eastAsia="仿宋" w:cs="Times New Roman"/>
          <w:color w:val="auto"/>
          <w:sz w:val="28"/>
          <w:szCs w:val="28"/>
        </w:rPr>
        <w:t>1.01</w:t>
      </w:r>
      <w:r>
        <w:rPr>
          <w:rFonts w:hint="eastAsia" w:ascii="仿宋" w:hAnsi="仿宋" w:eastAsia="仿宋" w:cs="Times New Roman"/>
          <w:color w:val="auto"/>
          <w:sz w:val="28"/>
          <w:szCs w:val="28"/>
        </w:rPr>
        <w:t>平方公里，人口</w:t>
      </w:r>
      <w:r>
        <w:rPr>
          <w:rFonts w:ascii="仿宋" w:hAnsi="仿宋" w:eastAsia="仿宋" w:cs="Times New Roman"/>
          <w:color w:val="auto"/>
          <w:sz w:val="28"/>
          <w:szCs w:val="28"/>
        </w:rPr>
        <w:t>18.15</w:t>
      </w:r>
      <w:r>
        <w:rPr>
          <w:rFonts w:hint="eastAsia" w:ascii="仿宋" w:hAnsi="仿宋" w:eastAsia="仿宋" w:cs="Times New Roman"/>
          <w:color w:val="auto"/>
          <w:sz w:val="28"/>
          <w:szCs w:val="28"/>
        </w:rPr>
        <w:t>万人，其中少数民族人口4</w:t>
      </w:r>
      <w:r>
        <w:rPr>
          <w:rFonts w:ascii="仿宋" w:hAnsi="仿宋" w:eastAsia="仿宋" w:cs="Times New Roman"/>
          <w:color w:val="auto"/>
          <w:sz w:val="28"/>
          <w:szCs w:val="28"/>
        </w:rPr>
        <w:t>.02</w:t>
      </w:r>
      <w:r>
        <w:rPr>
          <w:rFonts w:hint="eastAsia" w:ascii="仿宋" w:hAnsi="仿宋" w:eastAsia="仿宋" w:cs="Times New Roman"/>
          <w:color w:val="auto"/>
          <w:sz w:val="28"/>
          <w:szCs w:val="28"/>
        </w:rPr>
        <w:t>万人，辖资源镇、中峰镇、梅溪镇、瓜里乡、车田苗族乡、两水苗族乡、河口瑶族乡。资源县属</w:t>
      </w:r>
      <w:r>
        <w:rPr>
          <w:rFonts w:ascii="仿宋" w:hAnsi="仿宋" w:eastAsia="仿宋" w:cs="Times New Roman"/>
          <w:color w:val="auto"/>
          <w:sz w:val="28"/>
          <w:szCs w:val="28"/>
        </w:rPr>
        <w:t>丹霞地貌，是峰林状的盆地丘陵多方山地形。山体相连甚少，地质特殊、形态特异</w:t>
      </w:r>
      <w:r>
        <w:rPr>
          <w:rFonts w:hint="eastAsia" w:ascii="仿宋" w:hAnsi="仿宋" w:eastAsia="仿宋" w:cs="Times New Roman"/>
          <w:color w:val="auto"/>
          <w:sz w:val="28"/>
          <w:szCs w:val="28"/>
        </w:rPr>
        <w:t>，</w:t>
      </w:r>
      <w:r>
        <w:rPr>
          <w:rFonts w:ascii="仿宋" w:hAnsi="仿宋" w:eastAsia="仿宋" w:cs="Times New Roman"/>
          <w:color w:val="auto"/>
          <w:sz w:val="28"/>
          <w:szCs w:val="28"/>
        </w:rPr>
        <w:t>平的如高台、城堡；圆的如半球、蘑菇；光的如针、柱、剑芒、宝塔、金字塔；加之赭红的砂、砾岩，经风霜雨雪的冲刷和化学沉积物浸染，呈现调色板的斑驳彩纹，构成资江流域独有的迷人景色，与岩溶及其</w:t>
      </w:r>
      <w:r>
        <w:rPr>
          <w:rFonts w:hint="eastAsia" w:ascii="仿宋" w:hAnsi="仿宋" w:eastAsia="仿宋" w:cs="Times New Roman"/>
          <w:color w:val="auto"/>
          <w:sz w:val="28"/>
          <w:szCs w:val="28"/>
        </w:rPr>
        <w:t>它</w:t>
      </w:r>
      <w:r>
        <w:rPr>
          <w:rFonts w:ascii="仿宋" w:hAnsi="仿宋" w:eastAsia="仿宋" w:cs="Times New Roman"/>
          <w:color w:val="auto"/>
          <w:sz w:val="28"/>
          <w:szCs w:val="28"/>
        </w:rPr>
        <w:t>地貌</w:t>
      </w:r>
      <w:r>
        <w:rPr>
          <w:rFonts w:hint="eastAsia" w:ascii="仿宋" w:hAnsi="仿宋" w:eastAsia="仿宋" w:cs="Times New Roman"/>
          <w:color w:val="auto"/>
          <w:sz w:val="28"/>
          <w:szCs w:val="28"/>
        </w:rPr>
        <w:t>迥然</w:t>
      </w:r>
      <w:r>
        <w:rPr>
          <w:rFonts w:ascii="仿宋" w:hAnsi="仿宋" w:eastAsia="仿宋" w:cs="Times New Roman"/>
          <w:color w:val="auto"/>
          <w:sz w:val="28"/>
          <w:szCs w:val="28"/>
        </w:rPr>
        <w:t>不同。</w:t>
      </w:r>
    </w:p>
    <w:p>
      <w:pPr>
        <w:pStyle w:val="5"/>
        <w:bidi w:val="0"/>
        <w:rPr>
          <w:rFonts w:cs="Times New Roman"/>
          <w:color w:val="auto"/>
        </w:rPr>
      </w:pPr>
      <w:bookmarkStart w:id="14" w:name="_Toc32120"/>
      <w:bookmarkStart w:id="15" w:name="_Toc11331"/>
      <w:r>
        <w:rPr>
          <w:rFonts w:cs="Times New Roman"/>
          <w:color w:val="auto"/>
        </w:rPr>
        <w:t>2.</w:t>
      </w:r>
      <w:r>
        <w:rPr>
          <w:rFonts w:hint="eastAsia" w:cs="Times New Roman"/>
          <w:color w:val="auto"/>
        </w:rPr>
        <w:t>2</w:t>
      </w:r>
      <w:r>
        <w:rPr>
          <w:rFonts w:cs="Times New Roman"/>
          <w:color w:val="auto"/>
        </w:rPr>
        <w:t xml:space="preserve"> </w:t>
      </w:r>
      <w:r>
        <w:rPr>
          <w:rFonts w:hint="eastAsia" w:cs="Times New Roman"/>
          <w:color w:val="auto"/>
        </w:rPr>
        <w:t>地层岩性及地质构造</w:t>
      </w:r>
      <w:bookmarkEnd w:id="14"/>
      <w:bookmarkEnd w:id="15"/>
    </w:p>
    <w:p>
      <w:pPr>
        <w:spacing w:line="360" w:lineRule="auto"/>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县内从元古界板溪群到古生界奥陶系保存比较完整</w:t>
      </w:r>
      <w:r>
        <w:rPr>
          <w:rFonts w:ascii="Times New Roman" w:hAnsi="Times New Roman" w:eastAsia="仿宋" w:cs="Times New Roman"/>
          <w:color w:val="auto"/>
          <w:sz w:val="28"/>
          <w:szCs w:val="28"/>
        </w:rPr>
        <w:t>，中泥盆统、白垩系和第四系仅在资 江和浔江河谷局部有所分布。其它各系缺失。沉积岩分布面积只占全县面积的30％。</w:t>
      </w:r>
    </w:p>
    <w:p>
      <w:pPr>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元古界板溪群拱洞组变质砂岩、板岩、千枚岩，夹薄层含磷板岩，总厚度约1800米， 分布在车田乡粗石村至两水乡吊垌一带。梅溪</w:t>
      </w:r>
      <w:r>
        <w:rPr>
          <w:rFonts w:hint="eastAsia" w:ascii="Times New Roman" w:hAnsi="Times New Roman" w:eastAsia="仿宋" w:cs="Times New Roman"/>
          <w:color w:val="auto"/>
          <w:sz w:val="28"/>
          <w:szCs w:val="28"/>
        </w:rPr>
        <w:t>镇</w:t>
      </w:r>
      <w:r>
        <w:rPr>
          <w:rFonts w:ascii="Times New Roman" w:hAnsi="Times New Roman" w:eastAsia="仿宋" w:cs="Times New Roman"/>
          <w:color w:val="auto"/>
          <w:sz w:val="28"/>
          <w:szCs w:val="28"/>
        </w:rPr>
        <w:t>坪水底村茅庵堂至鸡笼山也有条带状分布。</w:t>
      </w:r>
    </w:p>
    <w:p>
      <w:pPr>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震旦系分为上统、下统，与下伏板溪群呈假整合接触。分布在车田乡鸭头水至两水乡 一带；中峰乡阳桥也有小块分布。</w:t>
      </w:r>
    </w:p>
    <w:p>
      <w:pPr>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寒武系分为边溪、清溪上下两个组，总厚度1517—1773米，主要分布于车田乡的海棠、 田头水，两水乡的烟竹、社水等村一带。此外，中峰乡的牛塘界、吴家、梅溪</w:t>
      </w:r>
      <w:r>
        <w:rPr>
          <w:rFonts w:hint="eastAsia" w:ascii="Times New Roman" w:hAnsi="Times New Roman" w:eastAsia="仿宋" w:cs="Times New Roman"/>
          <w:color w:val="auto"/>
          <w:sz w:val="28"/>
          <w:szCs w:val="28"/>
        </w:rPr>
        <w:t>镇</w:t>
      </w:r>
      <w:r>
        <w:rPr>
          <w:rFonts w:ascii="Times New Roman" w:hAnsi="Times New Roman" w:eastAsia="仿宋" w:cs="Times New Roman"/>
          <w:color w:val="auto"/>
          <w:sz w:val="28"/>
          <w:szCs w:val="28"/>
        </w:rPr>
        <w:t>的大梅头也 有小块出露。</w:t>
      </w:r>
    </w:p>
    <w:p>
      <w:pPr>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奥陶系分下、中、上三统，分布于车田乡的白垌、木厂、两水乡的烟竹、白石以及河口乡的葱坪等村。</w:t>
      </w:r>
    </w:p>
    <w:p>
      <w:pPr>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白垩系永福群，紫红色砾岩，钙质粉砂岩，泥质粉砂岩，泥岩。厚度2320米。主要分布于县城以北经梅溪延伸到湖南新宁县，沿资江两岸狭长的资—新断陷带内，中峰</w:t>
      </w:r>
      <w:r>
        <w:rPr>
          <w:rFonts w:hint="eastAsia" w:ascii="Times New Roman" w:hAnsi="Times New Roman" w:eastAsia="仿宋" w:cs="Times New Roman"/>
          <w:color w:val="auto"/>
          <w:sz w:val="28"/>
          <w:szCs w:val="28"/>
        </w:rPr>
        <w:t>镇</w:t>
      </w:r>
      <w:r>
        <w:rPr>
          <w:rFonts w:ascii="Times New Roman" w:hAnsi="Times New Roman" w:eastAsia="仿宋" w:cs="Times New Roman"/>
          <w:color w:val="auto"/>
          <w:sz w:val="28"/>
          <w:szCs w:val="28"/>
        </w:rPr>
        <w:t>产子坪也有小块分布，不整合于其他老地层及花岗岩之上。</w:t>
      </w:r>
    </w:p>
    <w:p>
      <w:pPr>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 第四系主要为亚砂土、亚粘土、砂砾石层，分布于河谷阶地及河床中。在资江河谷一般能见到三级阶地，县水泥厂采石场香炉山(现已夷平)，东岗岭灰岩溶洞中，有化学及生物碎屑 沉积，形成溶洞磷矿，并发现有大量化石。延东乡浦田村蒋家山、马家村，中峰</w:t>
      </w:r>
      <w:r>
        <w:rPr>
          <w:rFonts w:hint="eastAsia" w:ascii="Times New Roman" w:hAnsi="Times New Roman" w:eastAsia="仿宋" w:cs="Times New Roman"/>
          <w:color w:val="auto"/>
          <w:sz w:val="28"/>
          <w:szCs w:val="28"/>
        </w:rPr>
        <w:t>镇</w:t>
      </w:r>
      <w:r>
        <w:rPr>
          <w:rFonts w:ascii="Times New Roman" w:hAnsi="Times New Roman" w:eastAsia="仿宋" w:cs="Times New Roman"/>
          <w:color w:val="auto"/>
          <w:sz w:val="28"/>
          <w:szCs w:val="28"/>
        </w:rPr>
        <w:t>八坊、大冲口等地有泥炭沉积。第四系厚度一般5—25米。在中峰</w:t>
      </w:r>
      <w:r>
        <w:rPr>
          <w:rFonts w:hint="eastAsia" w:ascii="Times New Roman" w:hAnsi="Times New Roman" w:eastAsia="仿宋" w:cs="Times New Roman"/>
          <w:color w:val="auto"/>
          <w:sz w:val="28"/>
          <w:szCs w:val="28"/>
        </w:rPr>
        <w:t>镇</w:t>
      </w:r>
      <w:r>
        <w:rPr>
          <w:rFonts w:ascii="Times New Roman" w:hAnsi="Times New Roman" w:eastAsia="仿宋" w:cs="Times New Roman"/>
          <w:color w:val="auto"/>
          <w:sz w:val="28"/>
          <w:szCs w:val="28"/>
        </w:rPr>
        <w:t>产子坪钻探到110米尚有古河床堆积层，浔江河谷第四系厚度较薄，一般不超过25米。</w:t>
      </w:r>
    </w:p>
    <w:p>
      <w:pPr>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本县所处的区域地质构造位置， 过去习惯上叫越城岭穹窿。在1：50万广西壮族自治区地质图上， 属于桂北迭隆起东段的越城岭凸起。在1：20万兴安地质图上，把这个凸 起自东往西细分为越城岭背斜、油榨坪向斜、猫儿山背斜三个次级构造。根据地质资料分析， 本县的地质构造从东到西可划分为越城岭凸起、 资-新断陷带、猫儿山凸起、白垌向斜等四 个构造。</w:t>
      </w:r>
    </w:p>
    <w:p>
      <w:pPr>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县内断裂构造特别发育，而且性质复杂，形式多样，特别是一些长期活动的复活性大断层，对本区的构造发生、发展以及红色盆地形成起着控制作用，也为小岩体、岩脉的侵入和成矿，提供了有利条件，同时对地貌、地下水和地表水系的形成特征均有显著的影响。 根据断裂方向组合形式和形成时期的先后，大体可分为前期断裂和后期断裂两大组。</w:t>
      </w:r>
    </w:p>
    <w:p>
      <w:pPr>
        <w:spacing w:line="360" w:lineRule="auto"/>
        <w:ind w:firstLine="560" w:firstLineChars="200"/>
        <w:jc w:val="lef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境内地下水类型有松散堆积层孔隙潜水、基岩裂隙水、碳酸裂隙岩溶水三大类、七亚类。 地下水的贮存富集和运移受地层岩性、地质构造和地貌等因素控制。</w:t>
      </w:r>
    </w:p>
    <w:p>
      <w:pPr>
        <w:spacing w:line="360" w:lineRule="auto"/>
        <w:ind w:firstLine="560" w:firstLineChars="200"/>
        <w:jc w:val="lef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根据《中国地震动参数区划图》（GB18306－2001），</w:t>
      </w:r>
      <w:r>
        <w:rPr>
          <w:rFonts w:hint="eastAsia" w:ascii="Times New Roman" w:hAnsi="Times New Roman" w:eastAsia="仿宋" w:cs="Times New Roman"/>
          <w:color w:val="auto"/>
          <w:sz w:val="28"/>
          <w:szCs w:val="28"/>
          <w:lang w:eastAsia="zh-CN"/>
        </w:rPr>
        <w:t>资江</w:t>
      </w:r>
      <w:r>
        <w:rPr>
          <w:rFonts w:ascii="Times New Roman" w:hAnsi="Times New Roman" w:eastAsia="仿宋" w:cs="Times New Roman"/>
          <w:color w:val="auto"/>
          <w:sz w:val="28"/>
          <w:szCs w:val="28"/>
        </w:rPr>
        <w:t>上游段及下游段地区地震动峰值加速度为0.05g，相应地震烈度为</w:t>
      </w:r>
      <w:r>
        <w:rPr>
          <w:rFonts w:hint="eastAsia" w:ascii="宋体" w:hAnsi="宋体" w:eastAsia="宋体" w:cs="宋体"/>
          <w:color w:val="auto"/>
          <w:sz w:val="28"/>
          <w:szCs w:val="28"/>
        </w:rPr>
        <w:t>Ⅵ</w:t>
      </w:r>
      <w:r>
        <w:rPr>
          <w:rFonts w:ascii="Times New Roman" w:hAnsi="Times New Roman" w:eastAsia="仿宋" w:cs="Times New Roman"/>
          <w:color w:val="auto"/>
          <w:sz w:val="28"/>
          <w:szCs w:val="28"/>
        </w:rPr>
        <w:t>度。</w:t>
      </w:r>
      <w:r>
        <w:rPr>
          <w:rFonts w:hint="eastAsia" w:ascii="Times New Roman" w:hAnsi="Times New Roman" w:eastAsia="仿宋" w:cs="Times New Roman"/>
          <w:color w:val="auto"/>
          <w:sz w:val="28"/>
          <w:szCs w:val="28"/>
          <w:lang w:eastAsia="zh-CN"/>
        </w:rPr>
        <w:t>资江</w:t>
      </w:r>
      <w:r>
        <w:rPr>
          <w:rFonts w:ascii="Times New Roman" w:hAnsi="Times New Roman" w:eastAsia="仿宋" w:cs="Times New Roman"/>
          <w:color w:val="auto"/>
          <w:sz w:val="28"/>
          <w:szCs w:val="28"/>
        </w:rPr>
        <w:t>中段地区</w:t>
      </w:r>
      <w:r>
        <w:rPr>
          <w:rFonts w:ascii="Times New Roman" w:hAnsi="Times New Roman" w:eastAsia="仿宋" w:cs="Times New Roman"/>
          <w:color w:val="auto"/>
          <w:spacing w:val="-6"/>
          <w:sz w:val="28"/>
          <w:szCs w:val="28"/>
        </w:rPr>
        <w:t>地震动峰值加速度小于0.05g，相应地震基本烈度＜</w:t>
      </w:r>
      <w:r>
        <w:rPr>
          <w:rFonts w:hint="eastAsia" w:ascii="宋体" w:hAnsi="宋体" w:eastAsia="宋体" w:cs="宋体"/>
          <w:color w:val="auto"/>
          <w:spacing w:val="-6"/>
          <w:sz w:val="28"/>
          <w:szCs w:val="28"/>
        </w:rPr>
        <w:t>Ⅵ</w:t>
      </w:r>
      <w:bookmarkStart w:id="16" w:name="page16"/>
      <w:bookmarkEnd w:id="16"/>
      <w:bookmarkStart w:id="17" w:name="page12"/>
      <w:bookmarkEnd w:id="17"/>
      <w:bookmarkStart w:id="18" w:name="page14"/>
      <w:bookmarkEnd w:id="18"/>
      <w:r>
        <w:rPr>
          <w:rFonts w:ascii="Times New Roman" w:hAnsi="Times New Roman" w:eastAsia="仿宋" w:cs="Times New Roman"/>
          <w:color w:val="auto"/>
          <w:spacing w:val="-6"/>
          <w:sz w:val="28"/>
          <w:szCs w:val="28"/>
        </w:rPr>
        <w:t>度，区域构造稳定性好。</w:t>
      </w:r>
    </w:p>
    <w:p>
      <w:pPr>
        <w:pStyle w:val="5"/>
        <w:bidi w:val="0"/>
        <w:rPr>
          <w:rFonts w:cs="Times New Roman"/>
          <w:color w:val="auto"/>
        </w:rPr>
      </w:pPr>
      <w:bookmarkStart w:id="19" w:name="_Toc21068"/>
      <w:bookmarkStart w:id="20" w:name="_Toc20756"/>
      <w:r>
        <w:rPr>
          <w:rFonts w:cs="Times New Roman"/>
          <w:color w:val="auto"/>
        </w:rPr>
        <w:t>2.</w:t>
      </w:r>
      <w:r>
        <w:rPr>
          <w:rFonts w:hint="eastAsia" w:cs="Times New Roman"/>
          <w:color w:val="auto"/>
        </w:rPr>
        <w:t>3</w:t>
      </w:r>
      <w:r>
        <w:rPr>
          <w:rFonts w:cs="Times New Roman"/>
          <w:color w:val="auto"/>
        </w:rPr>
        <w:t xml:space="preserve"> </w:t>
      </w:r>
      <w:r>
        <w:rPr>
          <w:rFonts w:hint="eastAsia" w:cs="Times New Roman"/>
          <w:color w:val="auto"/>
        </w:rPr>
        <w:t>县内</w:t>
      </w:r>
      <w:r>
        <w:rPr>
          <w:rFonts w:cs="Times New Roman"/>
          <w:color w:val="auto"/>
        </w:rPr>
        <w:t>流域河流水系概况</w:t>
      </w:r>
      <w:bookmarkEnd w:id="19"/>
      <w:bookmarkEnd w:id="20"/>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资源县是长江和珠江两大水系的重要水源地之一，境内山高水</w:t>
      </w:r>
      <w:r>
        <w:rPr>
          <w:rFonts w:hint="eastAsia" w:ascii="Times New Roman" w:hAnsi="Times New Roman" w:eastAsia="仿宋" w:cs="Times New Roman"/>
          <w:color w:val="auto"/>
          <w:kern w:val="0"/>
          <w:sz w:val="28"/>
          <w:szCs w:val="20"/>
        </w:rPr>
        <w:t>陡</w:t>
      </w:r>
      <w:r>
        <w:rPr>
          <w:rFonts w:ascii="Times New Roman" w:hAnsi="Times New Roman" w:eastAsia="仿宋" w:cs="Times New Roman"/>
          <w:color w:val="auto"/>
          <w:kern w:val="0"/>
          <w:sz w:val="28"/>
          <w:szCs w:val="20"/>
        </w:rPr>
        <w:t>，年降水量较多，大小溪流密布，落差大，水能资源十分丰富，全县水能蕴藏量31.05万千瓦，可开发量18.2万千瓦，已开发3万千瓦，水电是</w:t>
      </w:r>
      <w:r>
        <w:rPr>
          <w:rFonts w:hint="eastAsia" w:ascii="Times New Roman" w:hAnsi="Times New Roman" w:eastAsia="仿宋" w:cs="Times New Roman"/>
          <w:color w:val="auto"/>
          <w:kern w:val="0"/>
          <w:sz w:val="28"/>
          <w:szCs w:val="20"/>
        </w:rPr>
        <w:t>资源</w:t>
      </w:r>
      <w:r>
        <w:rPr>
          <w:rFonts w:ascii="Times New Roman" w:hAnsi="Times New Roman" w:eastAsia="仿宋" w:cs="Times New Roman"/>
          <w:color w:val="auto"/>
          <w:kern w:val="0"/>
          <w:sz w:val="28"/>
          <w:szCs w:val="20"/>
        </w:rPr>
        <w:t>县经济建设的主要能源，开发潜力大。</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 全县水资源主要集中于资江和五排河，</w:t>
      </w:r>
      <w:r>
        <w:rPr>
          <w:rFonts w:hint="eastAsia" w:ascii="Times New Roman" w:hAnsi="Times New Roman" w:eastAsia="仿宋" w:cs="Times New Roman"/>
          <w:color w:val="auto"/>
          <w:kern w:val="0"/>
          <w:sz w:val="28"/>
          <w:szCs w:val="20"/>
        </w:rPr>
        <w:t>集雨面积大于等于10平方公里的河流有64条，其中10～50平方公里的河流有45条，50～100平方公里的河流有11条，100平方公里以上的河流有8条。</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资江境内流长83.1公里， 流域面积1315.5平方公里， 多年平均流量25.6立方米每秒 (县城水文站) ，控制流域面积522平方公里</w:t>
      </w:r>
      <w:r>
        <w:rPr>
          <w:rFonts w:hint="eastAsia" w:ascii="Times New Roman" w:hAnsi="Times New Roman" w:eastAsia="仿宋" w:cs="Times New Roman"/>
          <w:color w:val="auto"/>
          <w:kern w:val="0"/>
          <w:sz w:val="28"/>
          <w:szCs w:val="20"/>
        </w:rPr>
        <w:t>。较大支流有菜园里河、</w:t>
      </w:r>
      <w:r>
        <w:rPr>
          <w:rFonts w:ascii="Times New Roman" w:hAnsi="Times New Roman" w:eastAsia="仿宋" w:cs="Times New Roman"/>
          <w:color w:val="auto"/>
          <w:kern w:val="0"/>
          <w:sz w:val="28"/>
          <w:szCs w:val="20"/>
        </w:rPr>
        <w:t xml:space="preserve">社岭河、大源河、龙溪河、石溪河、马家河、天门河、铜座河、咸水垌河、瓜里河、茶坪河、坪水底河等十二条。 资江河床宽度在100米左右，河床与河岸高差一般是3—8.5米，平均比降 为1.8‰。 </w:t>
      </w:r>
    </w:p>
    <w:p>
      <w:pPr>
        <w:spacing w:line="360" w:lineRule="auto"/>
        <w:ind w:firstLine="560" w:firstLineChars="200"/>
        <w:rPr>
          <w:rFonts w:hint="eastAsia" w:ascii="Times New Roman" w:hAnsi="Times New Roman" w:eastAsia="仿宋" w:cs="Times New Roman"/>
          <w:color w:val="auto"/>
          <w:sz w:val="28"/>
          <w:szCs w:val="28"/>
        </w:rPr>
      </w:pPr>
      <w:r>
        <w:rPr>
          <w:rFonts w:ascii="Times New Roman" w:hAnsi="Times New Roman" w:eastAsia="仿宋" w:cs="Times New Roman"/>
          <w:color w:val="auto"/>
          <w:kern w:val="0"/>
          <w:sz w:val="28"/>
          <w:szCs w:val="20"/>
        </w:rPr>
        <w:t>五排河又名浔江，主干发源于猫儿山与金紫山东南簏，境内长</w:t>
      </w:r>
      <w:r>
        <w:rPr>
          <w:rFonts w:hint="eastAsia" w:ascii="Times New Roman" w:hAnsi="Times New Roman" w:eastAsia="仿宋" w:cs="Times New Roman"/>
          <w:color w:val="auto"/>
          <w:kern w:val="0"/>
          <w:sz w:val="28"/>
          <w:szCs w:val="20"/>
        </w:rPr>
        <w:t>51</w:t>
      </w:r>
      <w:r>
        <w:rPr>
          <w:rFonts w:ascii="Times New Roman" w:hAnsi="Times New Roman" w:eastAsia="仿宋" w:cs="Times New Roman"/>
          <w:color w:val="auto"/>
          <w:kern w:val="0"/>
          <w:sz w:val="28"/>
          <w:szCs w:val="20"/>
        </w:rPr>
        <w:t>.</w:t>
      </w:r>
      <w:r>
        <w:rPr>
          <w:rFonts w:hint="eastAsia" w:ascii="Times New Roman" w:hAnsi="Times New Roman" w:eastAsia="仿宋" w:cs="Times New Roman"/>
          <w:color w:val="auto"/>
          <w:kern w:val="0"/>
          <w:sz w:val="28"/>
          <w:szCs w:val="20"/>
        </w:rPr>
        <w:t>03</w:t>
      </w:r>
      <w:r>
        <w:rPr>
          <w:rFonts w:ascii="Times New Roman" w:hAnsi="Times New Roman" w:eastAsia="仿宋" w:cs="Times New Roman"/>
          <w:color w:val="auto"/>
          <w:kern w:val="0"/>
          <w:sz w:val="28"/>
          <w:szCs w:val="20"/>
        </w:rPr>
        <w:t>公里，流域面积6</w:t>
      </w:r>
      <w:r>
        <w:rPr>
          <w:rFonts w:hint="eastAsia" w:ascii="Times New Roman" w:hAnsi="Times New Roman" w:eastAsia="仿宋" w:cs="Times New Roman"/>
          <w:color w:val="auto"/>
          <w:kern w:val="0"/>
          <w:sz w:val="28"/>
          <w:szCs w:val="20"/>
        </w:rPr>
        <w:t>18.68</w:t>
      </w:r>
      <w:r>
        <w:rPr>
          <w:rFonts w:ascii="Times New Roman" w:hAnsi="Times New Roman" w:eastAsia="仿宋" w:cs="Times New Roman"/>
          <w:color w:val="auto"/>
          <w:kern w:val="0"/>
          <w:sz w:val="28"/>
          <w:szCs w:val="20"/>
        </w:rPr>
        <w:t>平方公里，是珠江水系，河床宽度在5～30米之间</w:t>
      </w:r>
      <w:r>
        <w:rPr>
          <w:rFonts w:hint="eastAsia" w:ascii="Times New Roman" w:hAnsi="Times New Roman" w:eastAsia="仿宋" w:cs="Times New Roman"/>
          <w:color w:val="auto"/>
          <w:kern w:val="0"/>
          <w:sz w:val="28"/>
          <w:szCs w:val="20"/>
        </w:rPr>
        <w:t>。</w:t>
      </w:r>
      <w:r>
        <w:rPr>
          <w:rFonts w:ascii="Times New Roman" w:hAnsi="Times New Roman" w:eastAsia="仿宋" w:cs="Times New Roman"/>
          <w:color w:val="auto"/>
          <w:kern w:val="0"/>
          <w:sz w:val="28"/>
          <w:szCs w:val="20"/>
        </w:rPr>
        <w:t>五排河暗礁多、滩多、潭多、堑多、水流湍急，河床与河岸高差1～3米，平均比降5.4‰，落差250米。</w:t>
      </w:r>
      <w:r>
        <w:rPr>
          <w:rFonts w:hint="eastAsia" w:ascii="Times New Roman" w:hAnsi="Times New Roman" w:eastAsia="仿宋" w:cs="Times New Roman"/>
          <w:color w:val="auto"/>
          <w:kern w:val="0"/>
          <w:sz w:val="28"/>
          <w:szCs w:val="20"/>
        </w:rPr>
        <w:t>较大支流有海棠河</w:t>
      </w:r>
      <w:r>
        <w:rPr>
          <w:rFonts w:ascii="Times New Roman" w:hAnsi="Times New Roman" w:eastAsia="仿宋" w:cs="Times New Roman"/>
          <w:color w:val="auto"/>
          <w:kern w:val="0"/>
          <w:sz w:val="28"/>
          <w:szCs w:val="20"/>
        </w:rPr>
        <w:t> </w:t>
      </w:r>
      <w:r>
        <w:rPr>
          <w:rFonts w:hint="eastAsia" w:ascii="Times New Roman" w:hAnsi="Times New Roman" w:eastAsia="仿宋" w:cs="Times New Roman"/>
          <w:color w:val="auto"/>
          <w:kern w:val="0"/>
          <w:sz w:val="28"/>
          <w:szCs w:val="20"/>
        </w:rPr>
        <w:t>、</w:t>
      </w:r>
      <w:r>
        <w:rPr>
          <w:rFonts w:ascii="Times New Roman" w:hAnsi="Times New Roman" w:eastAsia="仿宋" w:cs="Times New Roman"/>
          <w:color w:val="auto"/>
          <w:kern w:val="0"/>
          <w:sz w:val="28"/>
          <w:szCs w:val="20"/>
        </w:rPr>
        <w:t>粗石河、小地河、木厂河、两水河、大坪水河、葡萄溪、塘垌河以及50多条小溪涧</w:t>
      </w:r>
      <w:r>
        <w:rPr>
          <w:rFonts w:hint="eastAsia" w:ascii="Times New Roman" w:hAnsi="Times New Roman" w:eastAsia="仿宋" w:cs="Times New Roman"/>
          <w:color w:val="auto"/>
          <w:kern w:val="0"/>
          <w:sz w:val="28"/>
          <w:szCs w:val="20"/>
        </w:rPr>
        <w:t>。</w:t>
      </w:r>
    </w:p>
    <w:p>
      <w:pPr>
        <w:spacing w:line="560" w:lineRule="exact"/>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白竹洞河流域面积2</w:t>
      </w:r>
      <w:r>
        <w:rPr>
          <w:rFonts w:ascii="Times New Roman" w:hAnsi="Times New Roman" w:eastAsia="仿宋" w:cs="Times New Roman"/>
          <w:color w:val="auto"/>
          <w:sz w:val="28"/>
          <w:szCs w:val="28"/>
        </w:rPr>
        <w:t>6.4</w:t>
      </w:r>
      <w:r>
        <w:rPr>
          <w:rFonts w:hint="eastAsia" w:ascii="Times New Roman" w:hAnsi="Times New Roman" w:eastAsia="仿宋" w:cs="Times New Roman"/>
          <w:color w:val="auto"/>
          <w:sz w:val="28"/>
          <w:szCs w:val="28"/>
        </w:rPr>
        <w:t>平方公里，河流总长3</w:t>
      </w:r>
      <w:r>
        <w:rPr>
          <w:rFonts w:ascii="Times New Roman" w:hAnsi="Times New Roman" w:eastAsia="仿宋" w:cs="Times New Roman"/>
          <w:color w:val="auto"/>
          <w:sz w:val="28"/>
          <w:szCs w:val="28"/>
        </w:rPr>
        <w:t>2.2</w:t>
      </w:r>
      <w:r>
        <w:rPr>
          <w:rFonts w:hint="eastAsia" w:ascii="Times New Roman" w:hAnsi="Times New Roman" w:eastAsia="仿宋" w:cs="Times New Roman"/>
          <w:color w:val="auto"/>
          <w:sz w:val="28"/>
          <w:szCs w:val="28"/>
        </w:rPr>
        <w:t>公里，境内河流长度为1</w:t>
      </w:r>
      <w:r>
        <w:rPr>
          <w:rFonts w:ascii="Times New Roman" w:hAnsi="Times New Roman" w:eastAsia="仿宋" w:cs="Times New Roman"/>
          <w:color w:val="auto"/>
          <w:sz w:val="28"/>
          <w:szCs w:val="28"/>
        </w:rPr>
        <w:t>6.1</w:t>
      </w:r>
      <w:r>
        <w:rPr>
          <w:rFonts w:hint="eastAsia" w:ascii="Times New Roman" w:hAnsi="Times New Roman" w:eastAsia="仿宋" w:cs="Times New Roman"/>
          <w:color w:val="auto"/>
          <w:sz w:val="28"/>
          <w:szCs w:val="28"/>
        </w:rPr>
        <w:t>公里。</w:t>
      </w:r>
    </w:p>
    <w:p>
      <w:pPr>
        <w:spacing w:line="560" w:lineRule="exact"/>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白竹溪流域面积</w:t>
      </w:r>
      <w:r>
        <w:rPr>
          <w:rFonts w:ascii="Times New Roman" w:hAnsi="Times New Roman" w:eastAsia="仿宋" w:cs="Times New Roman"/>
          <w:color w:val="auto"/>
          <w:sz w:val="28"/>
          <w:szCs w:val="28"/>
        </w:rPr>
        <w:t>30.9</w:t>
      </w:r>
      <w:r>
        <w:rPr>
          <w:rFonts w:hint="eastAsia" w:ascii="Times New Roman" w:hAnsi="Times New Roman" w:eastAsia="仿宋" w:cs="Times New Roman"/>
          <w:color w:val="auto"/>
          <w:sz w:val="28"/>
          <w:szCs w:val="28"/>
        </w:rPr>
        <w:t>平方公里，河流总长</w:t>
      </w:r>
      <w:r>
        <w:rPr>
          <w:rFonts w:ascii="Times New Roman" w:hAnsi="Times New Roman" w:eastAsia="仿宋" w:cs="Times New Roman"/>
          <w:color w:val="auto"/>
          <w:sz w:val="28"/>
          <w:szCs w:val="28"/>
        </w:rPr>
        <w:t>31</w:t>
      </w:r>
      <w:r>
        <w:rPr>
          <w:rFonts w:hint="eastAsia" w:ascii="Times New Roman" w:hAnsi="Times New Roman" w:eastAsia="仿宋" w:cs="Times New Roman"/>
          <w:color w:val="auto"/>
          <w:sz w:val="28"/>
          <w:szCs w:val="28"/>
        </w:rPr>
        <w:t>公里，境内河流长度为</w:t>
      </w:r>
      <w:r>
        <w:rPr>
          <w:rFonts w:ascii="Times New Roman" w:hAnsi="Times New Roman" w:eastAsia="仿宋" w:cs="Times New Roman"/>
          <w:color w:val="auto"/>
          <w:sz w:val="28"/>
          <w:szCs w:val="28"/>
        </w:rPr>
        <w:t>15.5</w:t>
      </w:r>
      <w:r>
        <w:rPr>
          <w:rFonts w:hint="eastAsia" w:ascii="Times New Roman" w:hAnsi="Times New Roman" w:eastAsia="仿宋" w:cs="Times New Roman"/>
          <w:color w:val="auto"/>
          <w:sz w:val="28"/>
          <w:szCs w:val="28"/>
        </w:rPr>
        <w:t>公里。</w:t>
      </w:r>
    </w:p>
    <w:p>
      <w:pPr>
        <w:spacing w:line="560" w:lineRule="exact"/>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大湾河又名两水河流域面积</w:t>
      </w:r>
      <w:r>
        <w:rPr>
          <w:rFonts w:ascii="Times New Roman" w:hAnsi="Times New Roman" w:eastAsia="仿宋" w:cs="Times New Roman"/>
          <w:color w:val="auto"/>
          <w:sz w:val="28"/>
          <w:szCs w:val="28"/>
        </w:rPr>
        <w:t>147</w:t>
      </w:r>
      <w:r>
        <w:rPr>
          <w:rFonts w:hint="eastAsia" w:ascii="Times New Roman" w:hAnsi="Times New Roman" w:eastAsia="仿宋" w:cs="Times New Roman"/>
          <w:color w:val="auto"/>
          <w:sz w:val="28"/>
          <w:szCs w:val="28"/>
        </w:rPr>
        <w:t>平方公里，河流总长</w:t>
      </w:r>
      <w:r>
        <w:rPr>
          <w:rFonts w:ascii="Times New Roman" w:hAnsi="Times New Roman" w:eastAsia="仿宋" w:cs="Times New Roman"/>
          <w:color w:val="auto"/>
          <w:sz w:val="28"/>
          <w:szCs w:val="28"/>
        </w:rPr>
        <w:t>50.6</w:t>
      </w:r>
      <w:r>
        <w:rPr>
          <w:rFonts w:hint="eastAsia" w:ascii="Times New Roman" w:hAnsi="Times New Roman" w:eastAsia="仿宋" w:cs="Times New Roman"/>
          <w:color w:val="auto"/>
          <w:sz w:val="28"/>
          <w:szCs w:val="28"/>
        </w:rPr>
        <w:t>公里，境内河流长度为</w:t>
      </w:r>
      <w:r>
        <w:rPr>
          <w:rFonts w:ascii="Times New Roman" w:hAnsi="Times New Roman" w:eastAsia="仿宋" w:cs="Times New Roman"/>
          <w:color w:val="auto"/>
          <w:sz w:val="28"/>
          <w:szCs w:val="28"/>
        </w:rPr>
        <w:t>25.3</w:t>
      </w:r>
      <w:r>
        <w:rPr>
          <w:rFonts w:hint="eastAsia" w:ascii="Times New Roman" w:hAnsi="Times New Roman" w:eastAsia="仿宋" w:cs="Times New Roman"/>
          <w:color w:val="auto"/>
          <w:sz w:val="28"/>
          <w:szCs w:val="28"/>
        </w:rPr>
        <w:t>公里。</w:t>
      </w:r>
    </w:p>
    <w:p>
      <w:pPr>
        <w:spacing w:line="560" w:lineRule="exact"/>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高山溪河流域面积</w:t>
      </w:r>
      <w:r>
        <w:rPr>
          <w:rFonts w:ascii="Times New Roman" w:hAnsi="Times New Roman" w:eastAsia="仿宋" w:cs="Times New Roman"/>
          <w:color w:val="auto"/>
          <w:sz w:val="28"/>
          <w:szCs w:val="28"/>
        </w:rPr>
        <w:t>32.2</w:t>
      </w:r>
      <w:r>
        <w:rPr>
          <w:rFonts w:hint="eastAsia" w:ascii="Times New Roman" w:hAnsi="Times New Roman" w:eastAsia="仿宋" w:cs="Times New Roman"/>
          <w:color w:val="auto"/>
          <w:sz w:val="28"/>
          <w:szCs w:val="28"/>
        </w:rPr>
        <w:t>平方公里，河流总长</w:t>
      </w:r>
      <w:r>
        <w:rPr>
          <w:rFonts w:ascii="Times New Roman" w:hAnsi="Times New Roman" w:eastAsia="仿宋" w:cs="Times New Roman"/>
          <w:color w:val="auto"/>
          <w:sz w:val="28"/>
          <w:szCs w:val="28"/>
        </w:rPr>
        <w:t>11.6</w:t>
      </w:r>
      <w:r>
        <w:rPr>
          <w:rFonts w:hint="eastAsia" w:ascii="Times New Roman" w:hAnsi="Times New Roman" w:eastAsia="仿宋" w:cs="Times New Roman"/>
          <w:color w:val="auto"/>
          <w:sz w:val="28"/>
          <w:szCs w:val="28"/>
        </w:rPr>
        <w:t>公里，境内河流长度为</w:t>
      </w:r>
      <w:r>
        <w:rPr>
          <w:rFonts w:ascii="Times New Roman" w:hAnsi="Times New Roman" w:eastAsia="仿宋" w:cs="Times New Roman"/>
          <w:color w:val="auto"/>
          <w:sz w:val="28"/>
          <w:szCs w:val="28"/>
        </w:rPr>
        <w:t>5.8</w:t>
      </w:r>
      <w:r>
        <w:rPr>
          <w:rFonts w:hint="eastAsia" w:ascii="Times New Roman" w:hAnsi="Times New Roman" w:eastAsia="仿宋" w:cs="Times New Roman"/>
          <w:color w:val="auto"/>
          <w:sz w:val="28"/>
          <w:szCs w:val="28"/>
        </w:rPr>
        <w:t>公里。</w:t>
      </w:r>
    </w:p>
    <w:p>
      <w:pPr>
        <w:spacing w:line="560" w:lineRule="exact"/>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瓜里河</w:t>
      </w:r>
      <w:r>
        <w:rPr>
          <w:rFonts w:hint="eastAsia" w:ascii="Times New Roman" w:hAnsi="Times New Roman" w:eastAsia="仿宋" w:cs="Times New Roman"/>
          <w:color w:val="auto"/>
          <w:sz w:val="28"/>
          <w:szCs w:val="28"/>
          <w:lang w:val="en-US" w:eastAsia="zh-CN"/>
        </w:rPr>
        <w:t>为</w:t>
      </w:r>
      <w:r>
        <w:rPr>
          <w:rFonts w:hint="eastAsia" w:ascii="Times New Roman" w:hAnsi="Times New Roman" w:eastAsia="仿宋" w:cs="Times New Roman"/>
          <w:color w:val="auto"/>
          <w:sz w:val="28"/>
          <w:szCs w:val="28"/>
        </w:rPr>
        <w:t>资江一级支流，</w:t>
      </w:r>
      <w:r>
        <w:rPr>
          <w:rFonts w:hint="eastAsia" w:ascii="Times New Roman" w:hAnsi="Times New Roman" w:eastAsia="仿宋" w:cs="Times New Roman"/>
          <w:color w:val="auto"/>
          <w:sz w:val="28"/>
          <w:szCs w:val="28"/>
          <w:lang w:val="en-US" w:eastAsia="zh-CN"/>
        </w:rPr>
        <w:t>发源于车田苗族乡北部上芙蓉坪，流经白水、瓜里、大田等地，于梅溪镇下赤坨左侧汇入资江。</w:t>
      </w:r>
      <w:r>
        <w:rPr>
          <w:rFonts w:hint="eastAsia" w:ascii="Times New Roman" w:hAnsi="Times New Roman" w:eastAsia="仿宋" w:cs="Times New Roman"/>
          <w:color w:val="auto"/>
          <w:sz w:val="28"/>
          <w:szCs w:val="28"/>
        </w:rPr>
        <w:t>河流流域面积1</w:t>
      </w:r>
      <w:r>
        <w:rPr>
          <w:rFonts w:ascii="Times New Roman" w:hAnsi="Times New Roman" w:eastAsia="仿宋" w:cs="Times New Roman"/>
          <w:color w:val="auto"/>
          <w:sz w:val="28"/>
          <w:szCs w:val="28"/>
        </w:rPr>
        <w:t>80</w:t>
      </w:r>
      <w:r>
        <w:rPr>
          <w:rFonts w:hint="eastAsia" w:ascii="Times New Roman" w:hAnsi="Times New Roman" w:eastAsia="仿宋" w:cs="Times New Roman"/>
          <w:color w:val="auto"/>
          <w:sz w:val="28"/>
          <w:szCs w:val="28"/>
        </w:rPr>
        <w:t>平方公里，河流总长</w:t>
      </w:r>
      <w:r>
        <w:rPr>
          <w:rFonts w:ascii="Times New Roman" w:hAnsi="Times New Roman" w:eastAsia="仿宋" w:cs="Times New Roman"/>
          <w:color w:val="auto"/>
          <w:sz w:val="28"/>
          <w:szCs w:val="28"/>
        </w:rPr>
        <w:t>61</w:t>
      </w:r>
      <w:r>
        <w:rPr>
          <w:rFonts w:hint="eastAsia" w:ascii="Times New Roman" w:hAnsi="Times New Roman" w:eastAsia="仿宋" w:cs="Times New Roman"/>
          <w:color w:val="auto"/>
          <w:sz w:val="28"/>
          <w:szCs w:val="28"/>
        </w:rPr>
        <w:t>公里，境内河流长度为</w:t>
      </w:r>
      <w:r>
        <w:rPr>
          <w:rFonts w:ascii="Times New Roman" w:hAnsi="Times New Roman" w:eastAsia="仿宋" w:cs="Times New Roman"/>
          <w:color w:val="auto"/>
          <w:sz w:val="28"/>
          <w:szCs w:val="28"/>
        </w:rPr>
        <w:t>30.5</w:t>
      </w:r>
      <w:r>
        <w:rPr>
          <w:rFonts w:hint="eastAsia" w:ascii="Times New Roman" w:hAnsi="Times New Roman" w:eastAsia="仿宋" w:cs="Times New Roman"/>
          <w:color w:val="auto"/>
          <w:sz w:val="28"/>
          <w:szCs w:val="28"/>
        </w:rPr>
        <w:t>公里。</w:t>
      </w:r>
    </w:p>
    <w:p>
      <w:pPr>
        <w:spacing w:line="560" w:lineRule="exact"/>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胡家田河流域面积</w:t>
      </w:r>
      <w:r>
        <w:rPr>
          <w:rFonts w:ascii="Times New Roman" w:hAnsi="Times New Roman" w:eastAsia="仿宋" w:cs="Times New Roman"/>
          <w:color w:val="auto"/>
          <w:sz w:val="28"/>
          <w:szCs w:val="28"/>
        </w:rPr>
        <w:t>6.8</w:t>
      </w:r>
      <w:r>
        <w:rPr>
          <w:rFonts w:hint="eastAsia" w:ascii="Times New Roman" w:hAnsi="Times New Roman" w:eastAsia="仿宋" w:cs="Times New Roman"/>
          <w:color w:val="auto"/>
          <w:sz w:val="28"/>
          <w:szCs w:val="28"/>
        </w:rPr>
        <w:t>平方公里，河流总长</w:t>
      </w:r>
      <w:r>
        <w:rPr>
          <w:rFonts w:ascii="Times New Roman" w:hAnsi="Times New Roman" w:eastAsia="仿宋" w:cs="Times New Roman"/>
          <w:color w:val="auto"/>
          <w:sz w:val="28"/>
          <w:szCs w:val="28"/>
        </w:rPr>
        <w:t>8.4</w:t>
      </w:r>
      <w:r>
        <w:rPr>
          <w:rFonts w:hint="eastAsia" w:ascii="Times New Roman" w:hAnsi="Times New Roman" w:eastAsia="仿宋" w:cs="Times New Roman"/>
          <w:color w:val="auto"/>
          <w:sz w:val="28"/>
          <w:szCs w:val="28"/>
        </w:rPr>
        <w:t>公里，境内河流长度为</w:t>
      </w:r>
      <w:r>
        <w:rPr>
          <w:rFonts w:ascii="Times New Roman" w:hAnsi="Times New Roman" w:eastAsia="仿宋" w:cs="Times New Roman"/>
          <w:color w:val="auto"/>
          <w:sz w:val="28"/>
          <w:szCs w:val="28"/>
        </w:rPr>
        <w:t>4.2</w:t>
      </w:r>
      <w:r>
        <w:rPr>
          <w:rFonts w:hint="eastAsia" w:ascii="Times New Roman" w:hAnsi="Times New Roman" w:eastAsia="仿宋" w:cs="Times New Roman"/>
          <w:color w:val="auto"/>
          <w:sz w:val="28"/>
          <w:szCs w:val="28"/>
        </w:rPr>
        <w:t>公里。</w:t>
      </w:r>
    </w:p>
    <w:p>
      <w:pPr>
        <w:spacing w:line="560" w:lineRule="exact"/>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黄柏江流域面积</w:t>
      </w:r>
      <w:r>
        <w:rPr>
          <w:rFonts w:ascii="Times New Roman" w:hAnsi="Times New Roman" w:eastAsia="仿宋" w:cs="Times New Roman"/>
          <w:color w:val="auto"/>
          <w:sz w:val="28"/>
          <w:szCs w:val="28"/>
        </w:rPr>
        <w:t>173</w:t>
      </w:r>
      <w:r>
        <w:rPr>
          <w:rFonts w:hint="eastAsia" w:ascii="Times New Roman" w:hAnsi="Times New Roman" w:eastAsia="仿宋" w:cs="Times New Roman"/>
          <w:color w:val="auto"/>
          <w:sz w:val="28"/>
          <w:szCs w:val="28"/>
        </w:rPr>
        <w:t>平方公里，河流总长</w:t>
      </w:r>
      <w:r>
        <w:rPr>
          <w:rFonts w:ascii="Times New Roman" w:hAnsi="Times New Roman" w:eastAsia="仿宋" w:cs="Times New Roman"/>
          <w:color w:val="auto"/>
          <w:sz w:val="28"/>
          <w:szCs w:val="28"/>
        </w:rPr>
        <w:t>11</w:t>
      </w:r>
      <w:r>
        <w:rPr>
          <w:rFonts w:hint="eastAsia" w:ascii="Times New Roman" w:hAnsi="Times New Roman" w:eastAsia="仿宋" w:cs="Times New Roman"/>
          <w:color w:val="auto"/>
          <w:sz w:val="28"/>
          <w:szCs w:val="28"/>
        </w:rPr>
        <w:t>公里，境内河流长度为</w:t>
      </w:r>
      <w:r>
        <w:rPr>
          <w:rFonts w:ascii="Times New Roman" w:hAnsi="Times New Roman" w:eastAsia="仿宋" w:cs="Times New Roman"/>
          <w:color w:val="auto"/>
          <w:sz w:val="28"/>
          <w:szCs w:val="28"/>
        </w:rPr>
        <w:t>5.5</w:t>
      </w:r>
      <w:r>
        <w:rPr>
          <w:rFonts w:hint="eastAsia" w:ascii="Times New Roman" w:hAnsi="Times New Roman" w:eastAsia="仿宋" w:cs="Times New Roman"/>
          <w:color w:val="auto"/>
          <w:sz w:val="28"/>
          <w:szCs w:val="28"/>
        </w:rPr>
        <w:t>公里。</w:t>
      </w:r>
    </w:p>
    <w:p>
      <w:pPr>
        <w:spacing w:line="560" w:lineRule="exact"/>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蒋家山河流域面积</w:t>
      </w:r>
      <w:r>
        <w:rPr>
          <w:rFonts w:ascii="Times New Roman" w:hAnsi="Times New Roman" w:eastAsia="仿宋" w:cs="Times New Roman"/>
          <w:color w:val="auto"/>
          <w:sz w:val="28"/>
          <w:szCs w:val="28"/>
        </w:rPr>
        <w:t>5.2</w:t>
      </w:r>
      <w:r>
        <w:rPr>
          <w:rFonts w:hint="eastAsia" w:ascii="Times New Roman" w:hAnsi="Times New Roman" w:eastAsia="仿宋" w:cs="Times New Roman"/>
          <w:color w:val="auto"/>
          <w:sz w:val="28"/>
          <w:szCs w:val="28"/>
        </w:rPr>
        <w:t>平方公里，河流总长</w:t>
      </w:r>
      <w:r>
        <w:rPr>
          <w:rFonts w:ascii="Times New Roman" w:hAnsi="Times New Roman" w:eastAsia="仿宋" w:cs="Times New Roman"/>
          <w:color w:val="auto"/>
          <w:sz w:val="28"/>
          <w:szCs w:val="28"/>
        </w:rPr>
        <w:t>11</w:t>
      </w:r>
      <w:r>
        <w:rPr>
          <w:rFonts w:hint="eastAsia" w:ascii="Times New Roman" w:hAnsi="Times New Roman" w:eastAsia="仿宋" w:cs="Times New Roman"/>
          <w:color w:val="auto"/>
          <w:sz w:val="28"/>
          <w:szCs w:val="28"/>
        </w:rPr>
        <w:t>公里，境内河流长度为</w:t>
      </w:r>
      <w:r>
        <w:rPr>
          <w:rFonts w:ascii="Times New Roman" w:hAnsi="Times New Roman" w:eastAsia="仿宋" w:cs="Times New Roman"/>
          <w:color w:val="auto"/>
          <w:sz w:val="28"/>
          <w:szCs w:val="28"/>
        </w:rPr>
        <w:t>5.5</w:t>
      </w:r>
      <w:r>
        <w:rPr>
          <w:rFonts w:hint="eastAsia" w:ascii="Times New Roman" w:hAnsi="Times New Roman" w:eastAsia="仿宋" w:cs="Times New Roman"/>
          <w:color w:val="auto"/>
          <w:sz w:val="28"/>
          <w:szCs w:val="28"/>
        </w:rPr>
        <w:t>公里。</w:t>
      </w:r>
    </w:p>
    <w:p>
      <w:pPr>
        <w:spacing w:line="560" w:lineRule="exact"/>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冷水河流域面积</w:t>
      </w:r>
      <w:r>
        <w:rPr>
          <w:rFonts w:ascii="Times New Roman" w:hAnsi="Times New Roman" w:eastAsia="仿宋" w:cs="Times New Roman"/>
          <w:color w:val="auto"/>
          <w:sz w:val="28"/>
          <w:szCs w:val="28"/>
        </w:rPr>
        <w:t>91.3</w:t>
      </w:r>
      <w:r>
        <w:rPr>
          <w:rFonts w:hint="eastAsia" w:ascii="Times New Roman" w:hAnsi="Times New Roman" w:eastAsia="仿宋" w:cs="Times New Roman"/>
          <w:color w:val="auto"/>
          <w:sz w:val="28"/>
          <w:szCs w:val="28"/>
        </w:rPr>
        <w:t>平方公里，河流总长</w:t>
      </w:r>
      <w:r>
        <w:rPr>
          <w:rFonts w:ascii="Times New Roman" w:hAnsi="Times New Roman" w:eastAsia="仿宋" w:cs="Times New Roman"/>
          <w:color w:val="auto"/>
          <w:sz w:val="28"/>
          <w:szCs w:val="28"/>
        </w:rPr>
        <w:t>6.6</w:t>
      </w:r>
      <w:r>
        <w:rPr>
          <w:rFonts w:hint="eastAsia" w:ascii="Times New Roman" w:hAnsi="Times New Roman" w:eastAsia="仿宋" w:cs="Times New Roman"/>
          <w:color w:val="auto"/>
          <w:sz w:val="28"/>
          <w:szCs w:val="28"/>
        </w:rPr>
        <w:t>公里，境内河流长度为</w:t>
      </w:r>
      <w:r>
        <w:rPr>
          <w:rFonts w:ascii="Times New Roman" w:hAnsi="Times New Roman" w:eastAsia="仿宋" w:cs="Times New Roman"/>
          <w:color w:val="auto"/>
          <w:sz w:val="28"/>
          <w:szCs w:val="28"/>
        </w:rPr>
        <w:t>3.3</w:t>
      </w:r>
      <w:r>
        <w:rPr>
          <w:rFonts w:hint="eastAsia" w:ascii="Times New Roman" w:hAnsi="Times New Roman" w:eastAsia="仿宋" w:cs="Times New Roman"/>
          <w:color w:val="auto"/>
          <w:sz w:val="28"/>
          <w:szCs w:val="28"/>
        </w:rPr>
        <w:t>公里。</w:t>
      </w:r>
    </w:p>
    <w:p>
      <w:pPr>
        <w:spacing w:line="560" w:lineRule="exact"/>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鲤溪又名坪水底河，流域面积</w:t>
      </w:r>
      <w:r>
        <w:rPr>
          <w:rFonts w:ascii="Times New Roman" w:hAnsi="Times New Roman" w:eastAsia="仿宋" w:cs="Times New Roman"/>
          <w:color w:val="auto"/>
          <w:sz w:val="28"/>
          <w:szCs w:val="28"/>
        </w:rPr>
        <w:t>82.6</w:t>
      </w:r>
      <w:r>
        <w:rPr>
          <w:rFonts w:hint="eastAsia" w:ascii="Times New Roman" w:hAnsi="Times New Roman" w:eastAsia="仿宋" w:cs="Times New Roman"/>
          <w:color w:val="auto"/>
          <w:sz w:val="28"/>
          <w:szCs w:val="28"/>
        </w:rPr>
        <w:t>平方公里，河流总长</w:t>
      </w:r>
      <w:r>
        <w:rPr>
          <w:rFonts w:ascii="Times New Roman" w:hAnsi="Times New Roman" w:eastAsia="仿宋" w:cs="Times New Roman"/>
          <w:color w:val="auto"/>
          <w:sz w:val="28"/>
          <w:szCs w:val="28"/>
        </w:rPr>
        <w:t>26.2</w:t>
      </w:r>
      <w:r>
        <w:rPr>
          <w:rFonts w:hint="eastAsia" w:ascii="Times New Roman" w:hAnsi="Times New Roman" w:eastAsia="仿宋" w:cs="Times New Roman"/>
          <w:color w:val="auto"/>
          <w:sz w:val="28"/>
          <w:szCs w:val="28"/>
        </w:rPr>
        <w:t>公里，境内河流长度为</w:t>
      </w:r>
      <w:r>
        <w:rPr>
          <w:rFonts w:ascii="Times New Roman" w:hAnsi="Times New Roman" w:eastAsia="仿宋" w:cs="Times New Roman"/>
          <w:color w:val="auto"/>
          <w:sz w:val="28"/>
          <w:szCs w:val="28"/>
        </w:rPr>
        <w:t>13.1</w:t>
      </w:r>
      <w:r>
        <w:rPr>
          <w:rFonts w:hint="eastAsia" w:ascii="Times New Roman" w:hAnsi="Times New Roman" w:eastAsia="仿宋" w:cs="Times New Roman"/>
          <w:color w:val="auto"/>
          <w:sz w:val="28"/>
          <w:szCs w:val="28"/>
        </w:rPr>
        <w:t>公里。</w:t>
      </w:r>
    </w:p>
    <w:p>
      <w:pPr>
        <w:spacing w:line="560" w:lineRule="exact"/>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木长水又名木厂河，流域面积</w:t>
      </w:r>
      <w:r>
        <w:rPr>
          <w:rFonts w:ascii="Times New Roman" w:hAnsi="Times New Roman" w:eastAsia="仿宋" w:cs="Times New Roman"/>
          <w:color w:val="auto"/>
          <w:sz w:val="28"/>
          <w:szCs w:val="28"/>
        </w:rPr>
        <w:t>77</w:t>
      </w:r>
      <w:r>
        <w:rPr>
          <w:rFonts w:hint="eastAsia" w:ascii="Times New Roman" w:hAnsi="Times New Roman" w:eastAsia="仿宋" w:cs="Times New Roman"/>
          <w:color w:val="auto"/>
          <w:sz w:val="28"/>
          <w:szCs w:val="28"/>
        </w:rPr>
        <w:t>平方公里，河流总长</w:t>
      </w:r>
      <w:r>
        <w:rPr>
          <w:rFonts w:ascii="Times New Roman" w:hAnsi="Times New Roman" w:eastAsia="仿宋" w:cs="Times New Roman"/>
          <w:color w:val="auto"/>
          <w:sz w:val="28"/>
          <w:szCs w:val="28"/>
        </w:rPr>
        <w:t>39.8</w:t>
      </w:r>
      <w:r>
        <w:rPr>
          <w:rFonts w:hint="eastAsia" w:ascii="Times New Roman" w:hAnsi="Times New Roman" w:eastAsia="仿宋" w:cs="Times New Roman"/>
          <w:color w:val="auto"/>
          <w:sz w:val="28"/>
          <w:szCs w:val="28"/>
        </w:rPr>
        <w:t>公里，境内河流长度为</w:t>
      </w:r>
      <w:r>
        <w:rPr>
          <w:rFonts w:ascii="Times New Roman" w:hAnsi="Times New Roman" w:eastAsia="仿宋" w:cs="Times New Roman"/>
          <w:color w:val="auto"/>
          <w:sz w:val="28"/>
          <w:szCs w:val="28"/>
        </w:rPr>
        <w:t>19.9</w:t>
      </w:r>
      <w:r>
        <w:rPr>
          <w:rFonts w:hint="eastAsia" w:ascii="Times New Roman" w:hAnsi="Times New Roman" w:eastAsia="仿宋" w:cs="Times New Roman"/>
          <w:color w:val="auto"/>
          <w:sz w:val="28"/>
          <w:szCs w:val="28"/>
        </w:rPr>
        <w:t>公里。</w:t>
      </w:r>
    </w:p>
    <w:p>
      <w:pPr>
        <w:spacing w:line="560" w:lineRule="exact"/>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靑背河流域面积</w:t>
      </w:r>
      <w:r>
        <w:rPr>
          <w:rFonts w:ascii="Times New Roman" w:hAnsi="Times New Roman" w:eastAsia="仿宋" w:cs="Times New Roman"/>
          <w:color w:val="auto"/>
          <w:sz w:val="28"/>
          <w:szCs w:val="28"/>
        </w:rPr>
        <w:t>30.1</w:t>
      </w:r>
      <w:r>
        <w:rPr>
          <w:rFonts w:hint="eastAsia" w:ascii="Times New Roman" w:hAnsi="Times New Roman" w:eastAsia="仿宋" w:cs="Times New Roman"/>
          <w:color w:val="auto"/>
          <w:sz w:val="28"/>
          <w:szCs w:val="28"/>
        </w:rPr>
        <w:t>平方公里，河流总长</w:t>
      </w:r>
      <w:r>
        <w:rPr>
          <w:rFonts w:ascii="Times New Roman" w:hAnsi="Times New Roman" w:eastAsia="仿宋" w:cs="Times New Roman"/>
          <w:color w:val="auto"/>
          <w:sz w:val="28"/>
          <w:szCs w:val="28"/>
        </w:rPr>
        <w:t>34.6</w:t>
      </w:r>
      <w:r>
        <w:rPr>
          <w:rFonts w:hint="eastAsia" w:ascii="Times New Roman" w:hAnsi="Times New Roman" w:eastAsia="仿宋" w:cs="Times New Roman"/>
          <w:color w:val="auto"/>
          <w:sz w:val="28"/>
          <w:szCs w:val="28"/>
        </w:rPr>
        <w:t>公里，境内河流长度为</w:t>
      </w:r>
      <w:r>
        <w:rPr>
          <w:rFonts w:ascii="Times New Roman" w:hAnsi="Times New Roman" w:eastAsia="仿宋" w:cs="Times New Roman"/>
          <w:color w:val="auto"/>
          <w:sz w:val="28"/>
          <w:szCs w:val="28"/>
        </w:rPr>
        <w:t>17.3</w:t>
      </w:r>
      <w:r>
        <w:rPr>
          <w:rFonts w:hint="eastAsia" w:ascii="Times New Roman" w:hAnsi="Times New Roman" w:eastAsia="仿宋" w:cs="Times New Roman"/>
          <w:color w:val="auto"/>
          <w:sz w:val="28"/>
          <w:szCs w:val="28"/>
        </w:rPr>
        <w:t>公里。</w:t>
      </w:r>
    </w:p>
    <w:p>
      <w:pPr>
        <w:spacing w:line="560" w:lineRule="exact"/>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石屋水</w:t>
      </w:r>
      <w:r>
        <w:rPr>
          <w:rFonts w:hint="eastAsia" w:ascii="Times New Roman" w:hAnsi="Times New Roman" w:eastAsia="仿宋" w:cs="Times New Roman"/>
          <w:color w:val="auto"/>
          <w:sz w:val="28"/>
          <w:szCs w:val="28"/>
          <w:lang w:val="en-US" w:eastAsia="zh-CN"/>
        </w:rPr>
        <w:t>资江支流瓜里河一级支流，河流发源于资源县瓜里乡石屋水屯以西十里平坦，源地高程1766m，先东北流2.2km，折向东南流，于石屋水屯左纳七里坪溪，右纳江天堂溪，续东南流，过牛大江、金竹岔，于五里岔下游汇入瓜里河。</w:t>
      </w:r>
      <w:r>
        <w:rPr>
          <w:rFonts w:hint="eastAsia" w:ascii="Times New Roman" w:hAnsi="Times New Roman" w:eastAsia="仿宋" w:cs="Times New Roman"/>
          <w:color w:val="auto"/>
          <w:sz w:val="28"/>
          <w:szCs w:val="28"/>
        </w:rPr>
        <w:t>流域面积</w:t>
      </w:r>
      <w:r>
        <w:rPr>
          <w:rFonts w:ascii="Times New Roman" w:hAnsi="Times New Roman" w:eastAsia="仿宋" w:cs="Times New Roman"/>
          <w:color w:val="auto"/>
          <w:sz w:val="28"/>
          <w:szCs w:val="28"/>
        </w:rPr>
        <w:t>13.2</w:t>
      </w:r>
      <w:r>
        <w:rPr>
          <w:rFonts w:hint="eastAsia" w:ascii="Times New Roman" w:hAnsi="Times New Roman" w:eastAsia="仿宋" w:cs="Times New Roman"/>
          <w:color w:val="auto"/>
          <w:sz w:val="28"/>
          <w:szCs w:val="28"/>
        </w:rPr>
        <w:t>平方公里，河流总长</w:t>
      </w:r>
      <w:r>
        <w:rPr>
          <w:rFonts w:ascii="Times New Roman" w:hAnsi="Times New Roman" w:eastAsia="仿宋" w:cs="Times New Roman"/>
          <w:color w:val="auto"/>
          <w:sz w:val="28"/>
          <w:szCs w:val="28"/>
        </w:rPr>
        <w:t>21.2</w:t>
      </w:r>
      <w:r>
        <w:rPr>
          <w:rFonts w:hint="eastAsia" w:ascii="Times New Roman" w:hAnsi="Times New Roman" w:eastAsia="仿宋" w:cs="Times New Roman"/>
          <w:color w:val="auto"/>
          <w:sz w:val="28"/>
          <w:szCs w:val="28"/>
        </w:rPr>
        <w:t>公里，境内河流长度为</w:t>
      </w:r>
      <w:r>
        <w:rPr>
          <w:rFonts w:ascii="Times New Roman" w:hAnsi="Times New Roman" w:eastAsia="仿宋" w:cs="Times New Roman"/>
          <w:color w:val="auto"/>
          <w:sz w:val="28"/>
          <w:szCs w:val="28"/>
        </w:rPr>
        <w:t>10.6</w:t>
      </w:r>
      <w:r>
        <w:rPr>
          <w:rFonts w:hint="eastAsia" w:ascii="Times New Roman" w:hAnsi="Times New Roman" w:eastAsia="仿宋" w:cs="Times New Roman"/>
          <w:color w:val="auto"/>
          <w:sz w:val="28"/>
          <w:szCs w:val="28"/>
        </w:rPr>
        <w:t>公里。</w:t>
      </w:r>
    </w:p>
    <w:p>
      <w:pPr>
        <w:spacing w:line="560" w:lineRule="exact"/>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塘洞河</w:t>
      </w:r>
      <w:r>
        <w:rPr>
          <w:rFonts w:hint="eastAsia" w:ascii="Times New Roman" w:hAnsi="Times New Roman" w:eastAsia="仿宋" w:cs="Times New Roman"/>
          <w:color w:val="auto"/>
          <w:sz w:val="28"/>
          <w:szCs w:val="28"/>
          <w:lang w:eastAsia="zh-CN"/>
        </w:rPr>
        <w:t>，</w:t>
      </w:r>
      <w:r>
        <w:rPr>
          <w:rFonts w:hint="eastAsia" w:ascii="Times New Roman" w:hAnsi="Times New Roman" w:eastAsia="仿宋" w:cs="Times New Roman"/>
          <w:color w:val="auto"/>
          <w:sz w:val="28"/>
          <w:szCs w:val="28"/>
        </w:rPr>
        <w:t>塘洞河小流域在资源县两水乡塘洞村内，属于五排河的二级支流，发源于猫儿山西麓，塘洞河、葱坪，在木律桥汇入两水河</w:t>
      </w:r>
      <w:r>
        <w:rPr>
          <w:rFonts w:hint="eastAsia" w:ascii="Times New Roman" w:hAnsi="Times New Roman" w:eastAsia="仿宋" w:cs="Times New Roman"/>
          <w:color w:val="auto"/>
          <w:sz w:val="28"/>
          <w:szCs w:val="28"/>
          <w:lang w:eastAsia="zh-CN"/>
        </w:rPr>
        <w:t>，</w:t>
      </w:r>
      <w:r>
        <w:rPr>
          <w:rFonts w:hint="eastAsia" w:ascii="Times New Roman" w:hAnsi="Times New Roman" w:eastAsia="仿宋" w:cs="Times New Roman"/>
          <w:color w:val="auto"/>
          <w:sz w:val="28"/>
          <w:szCs w:val="28"/>
        </w:rPr>
        <w:t>流域面积</w:t>
      </w:r>
      <w:r>
        <w:rPr>
          <w:rFonts w:ascii="Times New Roman" w:hAnsi="Times New Roman" w:eastAsia="仿宋" w:cs="Times New Roman"/>
          <w:color w:val="auto"/>
          <w:sz w:val="28"/>
          <w:szCs w:val="28"/>
        </w:rPr>
        <w:t>54.3</w:t>
      </w:r>
      <w:r>
        <w:rPr>
          <w:rFonts w:hint="eastAsia" w:ascii="Times New Roman" w:hAnsi="Times New Roman" w:eastAsia="仿宋" w:cs="Times New Roman"/>
          <w:color w:val="auto"/>
          <w:sz w:val="28"/>
          <w:szCs w:val="28"/>
        </w:rPr>
        <w:t>平方公里，河流总长</w:t>
      </w:r>
      <w:r>
        <w:rPr>
          <w:rFonts w:ascii="Times New Roman" w:hAnsi="Times New Roman" w:eastAsia="仿宋" w:cs="Times New Roman"/>
          <w:color w:val="auto"/>
          <w:sz w:val="28"/>
          <w:szCs w:val="28"/>
        </w:rPr>
        <w:t>26</w:t>
      </w:r>
      <w:r>
        <w:rPr>
          <w:rFonts w:hint="eastAsia" w:ascii="Times New Roman" w:hAnsi="Times New Roman" w:eastAsia="仿宋" w:cs="Times New Roman"/>
          <w:color w:val="auto"/>
          <w:sz w:val="28"/>
          <w:szCs w:val="28"/>
        </w:rPr>
        <w:t>公里，境内河流长度为</w:t>
      </w:r>
      <w:r>
        <w:rPr>
          <w:rFonts w:ascii="Times New Roman" w:hAnsi="Times New Roman" w:eastAsia="仿宋" w:cs="Times New Roman"/>
          <w:color w:val="auto"/>
          <w:sz w:val="28"/>
          <w:szCs w:val="28"/>
        </w:rPr>
        <w:t>13</w:t>
      </w:r>
      <w:r>
        <w:rPr>
          <w:rFonts w:hint="eastAsia" w:ascii="Times New Roman" w:hAnsi="Times New Roman" w:eastAsia="仿宋" w:cs="Times New Roman"/>
          <w:color w:val="auto"/>
          <w:sz w:val="28"/>
          <w:szCs w:val="28"/>
        </w:rPr>
        <w:t>公里。</w:t>
      </w:r>
    </w:p>
    <w:p>
      <w:pPr>
        <w:spacing w:line="560" w:lineRule="exact"/>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下字江河流域面积</w:t>
      </w:r>
      <w:r>
        <w:rPr>
          <w:rFonts w:ascii="Times New Roman" w:hAnsi="Times New Roman" w:eastAsia="仿宋" w:cs="Times New Roman"/>
          <w:color w:val="auto"/>
          <w:sz w:val="28"/>
          <w:szCs w:val="28"/>
        </w:rPr>
        <w:t>22.6</w:t>
      </w:r>
      <w:r>
        <w:rPr>
          <w:rFonts w:hint="eastAsia" w:ascii="Times New Roman" w:hAnsi="Times New Roman" w:eastAsia="仿宋" w:cs="Times New Roman"/>
          <w:color w:val="auto"/>
          <w:sz w:val="28"/>
          <w:szCs w:val="28"/>
        </w:rPr>
        <w:t>平方公里，河流总长</w:t>
      </w:r>
      <w:r>
        <w:rPr>
          <w:rFonts w:ascii="Times New Roman" w:hAnsi="Times New Roman" w:eastAsia="仿宋" w:cs="Times New Roman"/>
          <w:color w:val="auto"/>
          <w:sz w:val="28"/>
          <w:szCs w:val="28"/>
        </w:rPr>
        <w:t>21.6</w:t>
      </w:r>
      <w:r>
        <w:rPr>
          <w:rFonts w:hint="eastAsia" w:ascii="Times New Roman" w:hAnsi="Times New Roman" w:eastAsia="仿宋" w:cs="Times New Roman"/>
          <w:color w:val="auto"/>
          <w:sz w:val="28"/>
          <w:szCs w:val="28"/>
        </w:rPr>
        <w:t>公里，境内河流长度为</w:t>
      </w:r>
      <w:r>
        <w:rPr>
          <w:rFonts w:ascii="Times New Roman" w:hAnsi="Times New Roman" w:eastAsia="仿宋" w:cs="Times New Roman"/>
          <w:color w:val="auto"/>
          <w:sz w:val="28"/>
          <w:szCs w:val="28"/>
        </w:rPr>
        <w:t>10.8</w:t>
      </w:r>
      <w:r>
        <w:rPr>
          <w:rFonts w:hint="eastAsia" w:ascii="Times New Roman" w:hAnsi="Times New Roman" w:eastAsia="仿宋" w:cs="Times New Roman"/>
          <w:color w:val="auto"/>
          <w:sz w:val="28"/>
          <w:szCs w:val="28"/>
        </w:rPr>
        <w:t>公里。</w:t>
      </w:r>
    </w:p>
    <w:p>
      <w:pPr>
        <w:spacing w:line="560" w:lineRule="exact"/>
        <w:ind w:firstLine="560" w:firstLineChars="200"/>
        <w:rPr>
          <w:rFonts w:hint="eastAsia"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义林河流域面积</w:t>
      </w:r>
      <w:r>
        <w:rPr>
          <w:rFonts w:ascii="Times New Roman" w:hAnsi="Times New Roman" w:eastAsia="仿宋" w:cs="Times New Roman"/>
          <w:color w:val="auto"/>
          <w:sz w:val="28"/>
          <w:szCs w:val="28"/>
        </w:rPr>
        <w:t>16.9</w:t>
      </w:r>
      <w:r>
        <w:rPr>
          <w:rFonts w:hint="eastAsia" w:ascii="Times New Roman" w:hAnsi="Times New Roman" w:eastAsia="仿宋" w:cs="Times New Roman"/>
          <w:color w:val="auto"/>
          <w:sz w:val="28"/>
          <w:szCs w:val="28"/>
        </w:rPr>
        <w:t>平方公里，河流总长</w:t>
      </w:r>
      <w:r>
        <w:rPr>
          <w:rFonts w:ascii="Times New Roman" w:hAnsi="Times New Roman" w:eastAsia="仿宋" w:cs="Times New Roman"/>
          <w:color w:val="auto"/>
          <w:sz w:val="28"/>
          <w:szCs w:val="28"/>
        </w:rPr>
        <w:t>17</w:t>
      </w:r>
      <w:r>
        <w:rPr>
          <w:rFonts w:hint="eastAsia" w:ascii="Times New Roman" w:hAnsi="Times New Roman" w:eastAsia="仿宋" w:cs="Times New Roman"/>
          <w:color w:val="auto"/>
          <w:sz w:val="28"/>
          <w:szCs w:val="28"/>
        </w:rPr>
        <w:t>公里，境内河流长度为</w:t>
      </w:r>
      <w:r>
        <w:rPr>
          <w:rFonts w:ascii="Times New Roman" w:hAnsi="Times New Roman" w:eastAsia="仿宋" w:cs="Times New Roman"/>
          <w:color w:val="auto"/>
          <w:sz w:val="28"/>
          <w:szCs w:val="28"/>
        </w:rPr>
        <w:t>8.5</w:t>
      </w:r>
      <w:r>
        <w:rPr>
          <w:rFonts w:hint="eastAsia" w:ascii="Times New Roman" w:hAnsi="Times New Roman" w:eastAsia="仿宋" w:cs="Times New Roman"/>
          <w:color w:val="auto"/>
          <w:sz w:val="28"/>
          <w:szCs w:val="28"/>
        </w:rPr>
        <w:t>公里。</w:t>
      </w:r>
    </w:p>
    <w:p>
      <w:pPr>
        <w:spacing w:line="560" w:lineRule="exact"/>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本次评估</w:t>
      </w:r>
      <w:bookmarkStart w:id="110" w:name="_GoBack"/>
      <w:bookmarkEnd w:id="110"/>
      <w:r>
        <w:rPr>
          <w:rFonts w:hint="eastAsia" w:ascii="Times New Roman" w:hAnsi="Times New Roman" w:eastAsia="仿宋" w:cs="Times New Roman"/>
          <w:color w:val="auto"/>
          <w:sz w:val="28"/>
          <w:szCs w:val="28"/>
        </w:rPr>
        <w:t>河道特征见表2.3。</w:t>
      </w:r>
    </w:p>
    <w:p>
      <w:pPr>
        <w:spacing w:line="560" w:lineRule="exact"/>
        <w:ind w:firstLine="1124" w:firstLineChars="400"/>
        <w:rPr>
          <w:rFonts w:hint="eastAsia" w:ascii="Times New Roman" w:hAnsi="Times New Roman" w:eastAsia="仿宋" w:cs="Times New Roman"/>
          <w:b/>
          <w:bCs/>
          <w:color w:val="auto"/>
          <w:sz w:val="28"/>
          <w:szCs w:val="28"/>
        </w:rPr>
      </w:pPr>
      <w:r>
        <w:rPr>
          <w:rFonts w:ascii="Times New Roman" w:hAnsi="Times New Roman" w:eastAsia="仿宋" w:cs="Times New Roman"/>
          <w:b/>
          <w:bCs/>
          <w:color w:val="auto"/>
          <w:sz w:val="28"/>
          <w:szCs w:val="28"/>
        </w:rPr>
        <w:t>表2.</w:t>
      </w:r>
      <w:r>
        <w:rPr>
          <w:rFonts w:hint="eastAsia" w:ascii="Times New Roman" w:hAnsi="Times New Roman" w:eastAsia="仿宋" w:cs="Times New Roman"/>
          <w:b/>
          <w:bCs/>
          <w:color w:val="auto"/>
          <w:sz w:val="28"/>
          <w:szCs w:val="28"/>
        </w:rPr>
        <w:t>3</w:t>
      </w:r>
      <w:r>
        <w:rPr>
          <w:rFonts w:ascii="Times New Roman" w:hAnsi="Times New Roman" w:eastAsia="仿宋" w:cs="Times New Roman"/>
          <w:b/>
          <w:bCs/>
          <w:color w:val="auto"/>
          <w:sz w:val="28"/>
          <w:szCs w:val="28"/>
        </w:rPr>
        <w:t xml:space="preserve">                  </w:t>
      </w:r>
      <w:r>
        <w:rPr>
          <w:rFonts w:hint="eastAsia" w:ascii="Times New Roman" w:hAnsi="Times New Roman" w:eastAsia="仿宋" w:cs="Times New Roman"/>
          <w:b/>
          <w:bCs/>
          <w:color w:val="auto"/>
          <w:sz w:val="28"/>
          <w:szCs w:val="28"/>
        </w:rPr>
        <w:t>本次评估</w:t>
      </w:r>
      <w:r>
        <w:rPr>
          <w:rFonts w:ascii="Times New Roman" w:hAnsi="Times New Roman" w:eastAsia="仿宋" w:cs="Times New Roman"/>
          <w:b/>
          <w:bCs/>
          <w:color w:val="auto"/>
          <w:sz w:val="28"/>
          <w:szCs w:val="28"/>
        </w:rPr>
        <w:t>河道特征表</w:t>
      </w:r>
    </w:p>
    <w:tbl>
      <w:tblPr>
        <w:tblStyle w:val="15"/>
        <w:tblW w:w="4998" w:type="pct"/>
        <w:jc w:val="center"/>
        <w:tblLayout w:type="autofit"/>
        <w:tblCellMar>
          <w:top w:w="0" w:type="dxa"/>
          <w:left w:w="108" w:type="dxa"/>
          <w:bottom w:w="0" w:type="dxa"/>
          <w:right w:w="108" w:type="dxa"/>
        </w:tblCellMar>
      </w:tblPr>
      <w:tblGrid>
        <w:gridCol w:w="1429"/>
        <w:gridCol w:w="1860"/>
        <w:gridCol w:w="1705"/>
        <w:gridCol w:w="1881"/>
        <w:gridCol w:w="1645"/>
      </w:tblGrid>
      <w:tr>
        <w:tblPrEx>
          <w:tblCellMar>
            <w:top w:w="0" w:type="dxa"/>
            <w:left w:w="108" w:type="dxa"/>
            <w:bottom w:w="0" w:type="dxa"/>
            <w:right w:w="108" w:type="dxa"/>
          </w:tblCellMar>
        </w:tblPrEx>
        <w:trPr>
          <w:trHeight w:val="241" w:hRule="atLeast"/>
          <w:jc w:val="center"/>
        </w:trPr>
        <w:tc>
          <w:tcPr>
            <w:tcW w:w="838"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hint="eastAsia" w:ascii="宋体" w:hAnsi="Times New Roman" w:eastAsia="宋体" w:cs="宋体"/>
                <w:color w:val="auto"/>
                <w:kern w:val="0"/>
                <w:sz w:val="21"/>
                <w:szCs w:val="21"/>
              </w:rPr>
              <w:t>序号</w:t>
            </w:r>
          </w:p>
        </w:tc>
        <w:tc>
          <w:tcPr>
            <w:tcW w:w="1091"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hint="eastAsia" w:ascii="宋体" w:hAnsi="Times New Roman" w:eastAsia="宋体" w:cs="宋体"/>
                <w:color w:val="auto"/>
                <w:kern w:val="0"/>
                <w:sz w:val="21"/>
                <w:szCs w:val="21"/>
              </w:rPr>
              <w:t>江河湖库名称</w:t>
            </w:r>
          </w:p>
        </w:tc>
        <w:tc>
          <w:tcPr>
            <w:tcW w:w="1000"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hint="eastAsia" w:ascii="宋体" w:hAnsi="Times New Roman" w:eastAsia="宋体" w:cs="宋体"/>
                <w:color w:val="auto"/>
                <w:kern w:val="0"/>
                <w:sz w:val="21"/>
                <w:szCs w:val="21"/>
              </w:rPr>
              <w:t>流域面积</w:t>
            </w:r>
            <w:r>
              <w:rPr>
                <w:rFonts w:ascii="宋体" w:hAnsi="Times New Roman" w:eastAsia="宋体" w:cs="宋体"/>
                <w:color w:val="auto"/>
                <w:kern w:val="0"/>
                <w:sz w:val="21"/>
                <w:szCs w:val="21"/>
              </w:rPr>
              <w:t>(</w:t>
            </w:r>
            <w:r>
              <w:rPr>
                <w:rFonts w:hint="eastAsia" w:ascii="宋体" w:hAnsi="Times New Roman" w:eastAsia="宋体" w:cs="宋体"/>
                <w:color w:val="auto"/>
                <w:kern w:val="0"/>
                <w:sz w:val="21"/>
                <w:szCs w:val="21"/>
              </w:rPr>
              <w:t>平方公里</w:t>
            </w:r>
            <w:r>
              <w:rPr>
                <w:rFonts w:ascii="宋体" w:hAnsi="Times New Roman" w:eastAsia="宋体" w:cs="宋体"/>
                <w:color w:val="auto"/>
                <w:kern w:val="0"/>
                <w:sz w:val="21"/>
                <w:szCs w:val="21"/>
              </w:rPr>
              <w:t>)</w:t>
            </w:r>
          </w:p>
        </w:tc>
        <w:tc>
          <w:tcPr>
            <w:tcW w:w="1103"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hint="eastAsia" w:ascii="宋体" w:hAnsi="Times New Roman" w:eastAsia="宋体" w:cs="宋体"/>
                <w:color w:val="auto"/>
                <w:kern w:val="0"/>
                <w:sz w:val="21"/>
                <w:szCs w:val="21"/>
              </w:rPr>
              <w:t>辖区河流</w:t>
            </w:r>
            <w:r>
              <w:rPr>
                <w:rFonts w:ascii="宋体" w:hAnsi="Times New Roman" w:eastAsia="宋体" w:cs="宋体"/>
                <w:color w:val="auto"/>
                <w:kern w:val="0"/>
                <w:sz w:val="21"/>
                <w:szCs w:val="21"/>
              </w:rPr>
              <w:t>(</w:t>
            </w:r>
            <w:r>
              <w:rPr>
                <w:rFonts w:hint="eastAsia" w:ascii="宋体" w:hAnsi="Times New Roman" w:eastAsia="宋体" w:cs="宋体"/>
                <w:color w:val="auto"/>
                <w:kern w:val="0"/>
                <w:sz w:val="21"/>
                <w:szCs w:val="21"/>
              </w:rPr>
              <w:t>河段</w:t>
            </w:r>
            <w:r>
              <w:rPr>
                <w:rFonts w:ascii="宋体" w:hAnsi="Times New Roman" w:eastAsia="宋体" w:cs="宋体"/>
                <w:color w:val="auto"/>
                <w:kern w:val="0"/>
                <w:sz w:val="21"/>
                <w:szCs w:val="21"/>
              </w:rPr>
              <w:t>)</w:t>
            </w:r>
            <w:r>
              <w:rPr>
                <w:rFonts w:hint="eastAsia" w:ascii="宋体" w:hAnsi="Times New Roman" w:eastAsia="宋体" w:cs="宋体"/>
                <w:color w:val="auto"/>
                <w:kern w:val="0"/>
                <w:sz w:val="21"/>
                <w:szCs w:val="21"/>
              </w:rPr>
              <w:t>长度</w:t>
            </w:r>
            <w:r>
              <w:rPr>
                <w:rFonts w:ascii="宋体" w:hAnsi="Times New Roman" w:eastAsia="宋体" w:cs="宋体"/>
                <w:color w:val="auto"/>
                <w:kern w:val="0"/>
                <w:sz w:val="21"/>
                <w:szCs w:val="21"/>
              </w:rPr>
              <w:t>(</w:t>
            </w:r>
            <w:r>
              <w:rPr>
                <w:rFonts w:hint="eastAsia" w:ascii="宋体" w:hAnsi="Times New Roman" w:eastAsia="宋体" w:cs="宋体"/>
                <w:color w:val="auto"/>
                <w:kern w:val="0"/>
                <w:sz w:val="21"/>
                <w:szCs w:val="21"/>
              </w:rPr>
              <w:t>公里</w:t>
            </w:r>
            <w:r>
              <w:rPr>
                <w:rFonts w:ascii="宋体" w:hAnsi="Times New Roman" w:eastAsia="宋体" w:cs="宋体"/>
                <w:color w:val="auto"/>
                <w:kern w:val="0"/>
                <w:sz w:val="21"/>
                <w:szCs w:val="21"/>
              </w:rPr>
              <w:t>)</w:t>
            </w:r>
          </w:p>
        </w:tc>
        <w:tc>
          <w:tcPr>
            <w:tcW w:w="965"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hint="eastAsia" w:ascii="宋体" w:hAnsi="Times New Roman" w:eastAsia="宋体" w:cs="宋体"/>
                <w:color w:val="auto"/>
                <w:kern w:val="0"/>
                <w:sz w:val="21"/>
                <w:szCs w:val="21"/>
              </w:rPr>
              <w:t>岸线总长度</w:t>
            </w:r>
            <w:r>
              <w:rPr>
                <w:rFonts w:ascii="宋体" w:hAnsi="Times New Roman" w:eastAsia="宋体" w:cs="宋体"/>
                <w:color w:val="auto"/>
                <w:kern w:val="0"/>
                <w:sz w:val="21"/>
                <w:szCs w:val="21"/>
              </w:rPr>
              <w:t>(</w:t>
            </w:r>
            <w:r>
              <w:rPr>
                <w:rFonts w:hint="eastAsia" w:ascii="宋体" w:hAnsi="Times New Roman" w:eastAsia="宋体" w:cs="宋体"/>
                <w:color w:val="auto"/>
                <w:kern w:val="0"/>
                <w:sz w:val="21"/>
                <w:szCs w:val="21"/>
              </w:rPr>
              <w:t>公里</w:t>
            </w:r>
            <w:r>
              <w:rPr>
                <w:rFonts w:ascii="宋体" w:hAnsi="Times New Roman" w:eastAsia="宋体" w:cs="宋体"/>
                <w:color w:val="auto"/>
                <w:kern w:val="0"/>
                <w:sz w:val="21"/>
                <w:szCs w:val="21"/>
              </w:rPr>
              <w:t>)</w:t>
            </w:r>
          </w:p>
        </w:tc>
      </w:tr>
      <w:tr>
        <w:tblPrEx>
          <w:tblCellMar>
            <w:top w:w="0" w:type="dxa"/>
            <w:left w:w="108" w:type="dxa"/>
            <w:bottom w:w="0" w:type="dxa"/>
            <w:right w:w="108" w:type="dxa"/>
          </w:tblCellMar>
        </w:tblPrEx>
        <w:trPr>
          <w:trHeight w:val="254" w:hRule="atLeast"/>
          <w:jc w:val="center"/>
        </w:trPr>
        <w:tc>
          <w:tcPr>
            <w:tcW w:w="838"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w:t>
            </w:r>
          </w:p>
        </w:tc>
        <w:tc>
          <w:tcPr>
            <w:tcW w:w="1091"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hint="eastAsia" w:ascii="宋体" w:hAnsi="Times New Roman" w:eastAsia="宋体" w:cs="宋体"/>
                <w:color w:val="auto"/>
                <w:kern w:val="0"/>
                <w:sz w:val="21"/>
                <w:szCs w:val="21"/>
              </w:rPr>
              <w:t>白竹洞河</w:t>
            </w:r>
          </w:p>
        </w:tc>
        <w:tc>
          <w:tcPr>
            <w:tcW w:w="1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26.4</w:t>
            </w:r>
          </w:p>
        </w:tc>
        <w:tc>
          <w:tcPr>
            <w:tcW w:w="110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16.1</w:t>
            </w:r>
          </w:p>
        </w:tc>
        <w:tc>
          <w:tcPr>
            <w:tcW w:w="96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32.2</w:t>
            </w:r>
          </w:p>
        </w:tc>
      </w:tr>
      <w:tr>
        <w:tblPrEx>
          <w:tblCellMar>
            <w:top w:w="0" w:type="dxa"/>
            <w:left w:w="108" w:type="dxa"/>
            <w:bottom w:w="0" w:type="dxa"/>
            <w:right w:w="108" w:type="dxa"/>
          </w:tblCellMar>
        </w:tblPrEx>
        <w:trPr>
          <w:trHeight w:val="254" w:hRule="atLeast"/>
          <w:jc w:val="center"/>
        </w:trPr>
        <w:tc>
          <w:tcPr>
            <w:tcW w:w="838"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2</w:t>
            </w:r>
          </w:p>
        </w:tc>
        <w:tc>
          <w:tcPr>
            <w:tcW w:w="1091"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hint="eastAsia" w:ascii="宋体" w:hAnsi="Times New Roman" w:eastAsia="宋体" w:cs="宋体"/>
                <w:color w:val="auto"/>
                <w:kern w:val="0"/>
                <w:sz w:val="21"/>
                <w:szCs w:val="21"/>
              </w:rPr>
              <w:t>白竹溪</w:t>
            </w:r>
          </w:p>
        </w:tc>
        <w:tc>
          <w:tcPr>
            <w:tcW w:w="1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30.9</w:t>
            </w:r>
          </w:p>
        </w:tc>
        <w:tc>
          <w:tcPr>
            <w:tcW w:w="110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15.5</w:t>
            </w:r>
          </w:p>
        </w:tc>
        <w:tc>
          <w:tcPr>
            <w:tcW w:w="96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31</w:t>
            </w:r>
          </w:p>
        </w:tc>
      </w:tr>
      <w:tr>
        <w:tblPrEx>
          <w:tblCellMar>
            <w:top w:w="0" w:type="dxa"/>
            <w:left w:w="108" w:type="dxa"/>
            <w:bottom w:w="0" w:type="dxa"/>
            <w:right w:w="108" w:type="dxa"/>
          </w:tblCellMar>
        </w:tblPrEx>
        <w:trPr>
          <w:trHeight w:val="764" w:hRule="atLeast"/>
          <w:jc w:val="center"/>
        </w:trPr>
        <w:tc>
          <w:tcPr>
            <w:tcW w:w="838"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3</w:t>
            </w:r>
          </w:p>
        </w:tc>
        <w:tc>
          <w:tcPr>
            <w:tcW w:w="1091"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hint="eastAsia" w:ascii="宋体" w:hAnsi="Times New Roman" w:eastAsia="宋体" w:cs="宋体"/>
                <w:color w:val="auto"/>
                <w:kern w:val="0"/>
                <w:sz w:val="21"/>
                <w:szCs w:val="21"/>
              </w:rPr>
              <w:t>大湾河</w:t>
            </w:r>
          </w:p>
          <w:p>
            <w:pPr>
              <w:autoSpaceDE w:val="0"/>
              <w:autoSpaceDN w:val="0"/>
              <w:adjustRightInd w:val="0"/>
              <w:jc w:val="center"/>
              <w:rPr>
                <w:rFonts w:ascii="宋体" w:hAnsi="Times New Roman" w:eastAsia="宋体" w:cs="宋体"/>
                <w:color w:val="auto"/>
                <w:kern w:val="0"/>
                <w:sz w:val="21"/>
                <w:szCs w:val="21"/>
              </w:rPr>
            </w:pPr>
            <w:r>
              <w:rPr>
                <w:rFonts w:hint="eastAsia" w:ascii="宋体" w:hAnsi="Times New Roman" w:eastAsia="宋体" w:cs="宋体"/>
                <w:color w:val="auto"/>
                <w:kern w:val="0"/>
                <w:sz w:val="21"/>
                <w:szCs w:val="21"/>
              </w:rPr>
              <w:t>（两水河）</w:t>
            </w:r>
          </w:p>
        </w:tc>
        <w:tc>
          <w:tcPr>
            <w:tcW w:w="1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147</w:t>
            </w:r>
          </w:p>
        </w:tc>
        <w:tc>
          <w:tcPr>
            <w:tcW w:w="110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25.3</w:t>
            </w:r>
          </w:p>
        </w:tc>
        <w:tc>
          <w:tcPr>
            <w:tcW w:w="96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50.6</w:t>
            </w:r>
          </w:p>
        </w:tc>
      </w:tr>
      <w:tr>
        <w:tblPrEx>
          <w:tblCellMar>
            <w:top w:w="0" w:type="dxa"/>
            <w:left w:w="108" w:type="dxa"/>
            <w:bottom w:w="0" w:type="dxa"/>
            <w:right w:w="108" w:type="dxa"/>
          </w:tblCellMar>
        </w:tblPrEx>
        <w:trPr>
          <w:trHeight w:val="254" w:hRule="atLeast"/>
          <w:jc w:val="center"/>
        </w:trPr>
        <w:tc>
          <w:tcPr>
            <w:tcW w:w="838"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4</w:t>
            </w:r>
          </w:p>
        </w:tc>
        <w:tc>
          <w:tcPr>
            <w:tcW w:w="1091"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hint="eastAsia" w:ascii="宋体" w:hAnsi="Times New Roman" w:eastAsia="宋体" w:cs="宋体"/>
                <w:color w:val="auto"/>
                <w:kern w:val="0"/>
                <w:sz w:val="21"/>
                <w:szCs w:val="21"/>
              </w:rPr>
              <w:t>高山溪</w:t>
            </w:r>
          </w:p>
        </w:tc>
        <w:tc>
          <w:tcPr>
            <w:tcW w:w="1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32.2</w:t>
            </w:r>
          </w:p>
        </w:tc>
        <w:tc>
          <w:tcPr>
            <w:tcW w:w="110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5.8</w:t>
            </w:r>
          </w:p>
        </w:tc>
        <w:tc>
          <w:tcPr>
            <w:tcW w:w="96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11.6</w:t>
            </w:r>
          </w:p>
        </w:tc>
      </w:tr>
      <w:tr>
        <w:tblPrEx>
          <w:tblCellMar>
            <w:top w:w="0" w:type="dxa"/>
            <w:left w:w="108" w:type="dxa"/>
            <w:bottom w:w="0" w:type="dxa"/>
            <w:right w:w="108" w:type="dxa"/>
          </w:tblCellMar>
        </w:tblPrEx>
        <w:trPr>
          <w:trHeight w:val="254" w:hRule="atLeast"/>
          <w:jc w:val="center"/>
        </w:trPr>
        <w:tc>
          <w:tcPr>
            <w:tcW w:w="838"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5</w:t>
            </w:r>
          </w:p>
        </w:tc>
        <w:tc>
          <w:tcPr>
            <w:tcW w:w="1091"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hint="eastAsia" w:ascii="宋体" w:hAnsi="Times New Roman" w:eastAsia="宋体" w:cs="宋体"/>
                <w:color w:val="auto"/>
                <w:kern w:val="0"/>
                <w:sz w:val="21"/>
                <w:szCs w:val="21"/>
              </w:rPr>
              <w:t>瓜里河</w:t>
            </w:r>
          </w:p>
        </w:tc>
        <w:tc>
          <w:tcPr>
            <w:tcW w:w="1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180</w:t>
            </w:r>
          </w:p>
        </w:tc>
        <w:tc>
          <w:tcPr>
            <w:tcW w:w="110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30.5</w:t>
            </w:r>
          </w:p>
        </w:tc>
        <w:tc>
          <w:tcPr>
            <w:tcW w:w="96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61</w:t>
            </w:r>
          </w:p>
        </w:tc>
      </w:tr>
      <w:tr>
        <w:tblPrEx>
          <w:tblCellMar>
            <w:top w:w="0" w:type="dxa"/>
            <w:left w:w="108" w:type="dxa"/>
            <w:bottom w:w="0" w:type="dxa"/>
            <w:right w:w="108" w:type="dxa"/>
          </w:tblCellMar>
        </w:tblPrEx>
        <w:trPr>
          <w:trHeight w:val="254" w:hRule="atLeast"/>
          <w:jc w:val="center"/>
        </w:trPr>
        <w:tc>
          <w:tcPr>
            <w:tcW w:w="838"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6</w:t>
            </w:r>
          </w:p>
        </w:tc>
        <w:tc>
          <w:tcPr>
            <w:tcW w:w="1091"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hint="eastAsia" w:ascii="宋体" w:hAnsi="Times New Roman" w:eastAsia="宋体" w:cs="宋体"/>
                <w:color w:val="auto"/>
                <w:kern w:val="0"/>
                <w:sz w:val="21"/>
                <w:szCs w:val="21"/>
              </w:rPr>
              <w:t>胡家田河</w:t>
            </w:r>
          </w:p>
        </w:tc>
        <w:tc>
          <w:tcPr>
            <w:tcW w:w="1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6.8</w:t>
            </w:r>
          </w:p>
        </w:tc>
        <w:tc>
          <w:tcPr>
            <w:tcW w:w="110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4.2</w:t>
            </w:r>
          </w:p>
        </w:tc>
        <w:tc>
          <w:tcPr>
            <w:tcW w:w="96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8.4</w:t>
            </w:r>
          </w:p>
        </w:tc>
      </w:tr>
      <w:tr>
        <w:tblPrEx>
          <w:tblCellMar>
            <w:top w:w="0" w:type="dxa"/>
            <w:left w:w="108" w:type="dxa"/>
            <w:bottom w:w="0" w:type="dxa"/>
            <w:right w:w="108" w:type="dxa"/>
          </w:tblCellMar>
        </w:tblPrEx>
        <w:trPr>
          <w:trHeight w:val="254" w:hRule="atLeast"/>
          <w:jc w:val="center"/>
        </w:trPr>
        <w:tc>
          <w:tcPr>
            <w:tcW w:w="838"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7</w:t>
            </w:r>
          </w:p>
        </w:tc>
        <w:tc>
          <w:tcPr>
            <w:tcW w:w="1091"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hint="eastAsia" w:ascii="宋体" w:hAnsi="Times New Roman" w:eastAsia="宋体" w:cs="宋体"/>
                <w:color w:val="auto"/>
                <w:kern w:val="0"/>
                <w:sz w:val="21"/>
                <w:szCs w:val="21"/>
              </w:rPr>
              <w:t>黄柏江</w:t>
            </w:r>
          </w:p>
        </w:tc>
        <w:tc>
          <w:tcPr>
            <w:tcW w:w="1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173</w:t>
            </w:r>
          </w:p>
        </w:tc>
        <w:tc>
          <w:tcPr>
            <w:tcW w:w="110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5.5</w:t>
            </w:r>
          </w:p>
        </w:tc>
        <w:tc>
          <w:tcPr>
            <w:tcW w:w="96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11</w:t>
            </w:r>
          </w:p>
        </w:tc>
      </w:tr>
      <w:tr>
        <w:tblPrEx>
          <w:tblCellMar>
            <w:top w:w="0" w:type="dxa"/>
            <w:left w:w="108" w:type="dxa"/>
            <w:bottom w:w="0" w:type="dxa"/>
            <w:right w:w="108" w:type="dxa"/>
          </w:tblCellMar>
        </w:tblPrEx>
        <w:trPr>
          <w:trHeight w:val="254" w:hRule="atLeast"/>
          <w:jc w:val="center"/>
        </w:trPr>
        <w:tc>
          <w:tcPr>
            <w:tcW w:w="838"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8</w:t>
            </w:r>
          </w:p>
        </w:tc>
        <w:tc>
          <w:tcPr>
            <w:tcW w:w="1091"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hint="eastAsia" w:ascii="宋体" w:hAnsi="Times New Roman" w:eastAsia="宋体" w:cs="宋体"/>
                <w:color w:val="auto"/>
                <w:kern w:val="0"/>
                <w:sz w:val="21"/>
                <w:szCs w:val="21"/>
              </w:rPr>
              <w:t>蒋家山河</w:t>
            </w:r>
          </w:p>
        </w:tc>
        <w:tc>
          <w:tcPr>
            <w:tcW w:w="1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5.2</w:t>
            </w:r>
          </w:p>
        </w:tc>
        <w:tc>
          <w:tcPr>
            <w:tcW w:w="110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5.5</w:t>
            </w:r>
          </w:p>
        </w:tc>
        <w:tc>
          <w:tcPr>
            <w:tcW w:w="96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11</w:t>
            </w:r>
          </w:p>
        </w:tc>
      </w:tr>
      <w:tr>
        <w:tblPrEx>
          <w:tblCellMar>
            <w:top w:w="0" w:type="dxa"/>
            <w:left w:w="108" w:type="dxa"/>
            <w:bottom w:w="0" w:type="dxa"/>
            <w:right w:w="108" w:type="dxa"/>
          </w:tblCellMar>
        </w:tblPrEx>
        <w:trPr>
          <w:trHeight w:val="254" w:hRule="atLeast"/>
          <w:jc w:val="center"/>
        </w:trPr>
        <w:tc>
          <w:tcPr>
            <w:tcW w:w="838"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9</w:t>
            </w:r>
          </w:p>
        </w:tc>
        <w:tc>
          <w:tcPr>
            <w:tcW w:w="1091"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hint="eastAsia" w:ascii="宋体" w:hAnsi="Times New Roman" w:eastAsia="宋体" w:cs="宋体"/>
                <w:color w:val="auto"/>
                <w:kern w:val="0"/>
                <w:sz w:val="21"/>
                <w:szCs w:val="21"/>
              </w:rPr>
              <w:t>冷水河</w:t>
            </w:r>
          </w:p>
        </w:tc>
        <w:tc>
          <w:tcPr>
            <w:tcW w:w="1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91.3</w:t>
            </w:r>
          </w:p>
        </w:tc>
        <w:tc>
          <w:tcPr>
            <w:tcW w:w="110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3.3</w:t>
            </w:r>
          </w:p>
        </w:tc>
        <w:tc>
          <w:tcPr>
            <w:tcW w:w="96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6.6</w:t>
            </w:r>
          </w:p>
        </w:tc>
      </w:tr>
      <w:tr>
        <w:tblPrEx>
          <w:tblCellMar>
            <w:top w:w="0" w:type="dxa"/>
            <w:left w:w="108" w:type="dxa"/>
            <w:bottom w:w="0" w:type="dxa"/>
            <w:right w:w="108" w:type="dxa"/>
          </w:tblCellMar>
        </w:tblPrEx>
        <w:trPr>
          <w:trHeight w:val="764" w:hRule="atLeast"/>
          <w:jc w:val="center"/>
        </w:trPr>
        <w:tc>
          <w:tcPr>
            <w:tcW w:w="838"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10</w:t>
            </w:r>
          </w:p>
        </w:tc>
        <w:tc>
          <w:tcPr>
            <w:tcW w:w="1091"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hint="eastAsia" w:ascii="宋体" w:hAnsi="Times New Roman" w:eastAsia="宋体" w:cs="宋体"/>
                <w:color w:val="auto"/>
                <w:kern w:val="0"/>
                <w:sz w:val="21"/>
                <w:szCs w:val="21"/>
              </w:rPr>
              <w:t>鲤溪</w:t>
            </w:r>
          </w:p>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w:t>
            </w:r>
            <w:r>
              <w:rPr>
                <w:rFonts w:hint="eastAsia" w:ascii="宋体" w:hAnsi="Times New Roman" w:eastAsia="宋体" w:cs="宋体"/>
                <w:color w:val="auto"/>
                <w:kern w:val="0"/>
                <w:sz w:val="21"/>
                <w:szCs w:val="21"/>
              </w:rPr>
              <w:t>坪水底河</w:t>
            </w:r>
            <w:r>
              <w:rPr>
                <w:rFonts w:ascii="宋体" w:hAnsi="Times New Roman" w:eastAsia="宋体" w:cs="宋体"/>
                <w:color w:val="auto"/>
                <w:kern w:val="0"/>
                <w:sz w:val="21"/>
                <w:szCs w:val="21"/>
              </w:rPr>
              <w:t>)</w:t>
            </w:r>
          </w:p>
        </w:tc>
        <w:tc>
          <w:tcPr>
            <w:tcW w:w="1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82.6</w:t>
            </w:r>
          </w:p>
        </w:tc>
        <w:tc>
          <w:tcPr>
            <w:tcW w:w="110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13.1</w:t>
            </w:r>
          </w:p>
        </w:tc>
        <w:tc>
          <w:tcPr>
            <w:tcW w:w="96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26.2</w:t>
            </w:r>
          </w:p>
        </w:tc>
      </w:tr>
      <w:tr>
        <w:tblPrEx>
          <w:tblCellMar>
            <w:top w:w="0" w:type="dxa"/>
            <w:left w:w="108" w:type="dxa"/>
            <w:bottom w:w="0" w:type="dxa"/>
            <w:right w:w="108" w:type="dxa"/>
          </w:tblCellMar>
        </w:tblPrEx>
        <w:trPr>
          <w:trHeight w:val="508" w:hRule="atLeast"/>
          <w:jc w:val="center"/>
        </w:trPr>
        <w:tc>
          <w:tcPr>
            <w:tcW w:w="838"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11</w:t>
            </w:r>
          </w:p>
        </w:tc>
        <w:tc>
          <w:tcPr>
            <w:tcW w:w="1091"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hint="eastAsia" w:ascii="宋体" w:hAnsi="Times New Roman" w:eastAsia="宋体" w:cs="宋体"/>
                <w:color w:val="auto"/>
                <w:kern w:val="0"/>
                <w:sz w:val="21"/>
                <w:szCs w:val="21"/>
              </w:rPr>
              <w:t>木厂水</w:t>
            </w:r>
          </w:p>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w:t>
            </w:r>
            <w:r>
              <w:rPr>
                <w:rFonts w:hint="eastAsia" w:ascii="宋体" w:hAnsi="Times New Roman" w:eastAsia="宋体" w:cs="宋体"/>
                <w:color w:val="auto"/>
                <w:kern w:val="0"/>
                <w:sz w:val="21"/>
                <w:szCs w:val="21"/>
              </w:rPr>
              <w:t>木厂河</w:t>
            </w:r>
            <w:r>
              <w:rPr>
                <w:rFonts w:ascii="宋体" w:hAnsi="Times New Roman" w:eastAsia="宋体" w:cs="宋体"/>
                <w:color w:val="auto"/>
                <w:kern w:val="0"/>
                <w:sz w:val="21"/>
                <w:szCs w:val="21"/>
              </w:rPr>
              <w:t>)</w:t>
            </w:r>
          </w:p>
        </w:tc>
        <w:tc>
          <w:tcPr>
            <w:tcW w:w="1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77</w:t>
            </w:r>
          </w:p>
        </w:tc>
        <w:tc>
          <w:tcPr>
            <w:tcW w:w="110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19.9</w:t>
            </w:r>
          </w:p>
        </w:tc>
        <w:tc>
          <w:tcPr>
            <w:tcW w:w="96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39.8</w:t>
            </w:r>
          </w:p>
        </w:tc>
      </w:tr>
      <w:tr>
        <w:tblPrEx>
          <w:tblCellMar>
            <w:top w:w="0" w:type="dxa"/>
            <w:left w:w="108" w:type="dxa"/>
            <w:bottom w:w="0" w:type="dxa"/>
            <w:right w:w="108" w:type="dxa"/>
          </w:tblCellMar>
        </w:tblPrEx>
        <w:trPr>
          <w:trHeight w:val="254" w:hRule="atLeast"/>
          <w:jc w:val="center"/>
        </w:trPr>
        <w:tc>
          <w:tcPr>
            <w:tcW w:w="838"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12</w:t>
            </w:r>
          </w:p>
        </w:tc>
        <w:tc>
          <w:tcPr>
            <w:tcW w:w="1091"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hint="eastAsia" w:ascii="宋体" w:hAnsi="Times New Roman" w:eastAsia="宋体" w:cs="宋体"/>
                <w:color w:val="auto"/>
                <w:kern w:val="0"/>
                <w:sz w:val="21"/>
                <w:szCs w:val="21"/>
              </w:rPr>
              <w:t>青背河</w:t>
            </w:r>
          </w:p>
        </w:tc>
        <w:tc>
          <w:tcPr>
            <w:tcW w:w="1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30.1</w:t>
            </w:r>
          </w:p>
        </w:tc>
        <w:tc>
          <w:tcPr>
            <w:tcW w:w="110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17.3</w:t>
            </w:r>
          </w:p>
        </w:tc>
        <w:tc>
          <w:tcPr>
            <w:tcW w:w="96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34.6</w:t>
            </w:r>
          </w:p>
        </w:tc>
      </w:tr>
      <w:tr>
        <w:tblPrEx>
          <w:tblCellMar>
            <w:top w:w="0" w:type="dxa"/>
            <w:left w:w="108" w:type="dxa"/>
            <w:bottom w:w="0" w:type="dxa"/>
            <w:right w:w="108" w:type="dxa"/>
          </w:tblCellMar>
        </w:tblPrEx>
        <w:trPr>
          <w:trHeight w:val="254" w:hRule="atLeast"/>
          <w:jc w:val="center"/>
        </w:trPr>
        <w:tc>
          <w:tcPr>
            <w:tcW w:w="838"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13</w:t>
            </w:r>
          </w:p>
        </w:tc>
        <w:tc>
          <w:tcPr>
            <w:tcW w:w="1091"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hint="eastAsia" w:ascii="宋体" w:hAnsi="Times New Roman" w:eastAsia="宋体" w:cs="宋体"/>
                <w:color w:val="auto"/>
                <w:kern w:val="0"/>
                <w:sz w:val="21"/>
                <w:szCs w:val="21"/>
              </w:rPr>
              <w:t>石屋水</w:t>
            </w:r>
          </w:p>
        </w:tc>
        <w:tc>
          <w:tcPr>
            <w:tcW w:w="1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13.2</w:t>
            </w:r>
          </w:p>
        </w:tc>
        <w:tc>
          <w:tcPr>
            <w:tcW w:w="110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10.6</w:t>
            </w:r>
          </w:p>
        </w:tc>
        <w:tc>
          <w:tcPr>
            <w:tcW w:w="96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21.2</w:t>
            </w:r>
          </w:p>
        </w:tc>
      </w:tr>
      <w:tr>
        <w:tblPrEx>
          <w:tblCellMar>
            <w:top w:w="0" w:type="dxa"/>
            <w:left w:w="108" w:type="dxa"/>
            <w:bottom w:w="0" w:type="dxa"/>
            <w:right w:w="108" w:type="dxa"/>
          </w:tblCellMar>
        </w:tblPrEx>
        <w:trPr>
          <w:trHeight w:val="254" w:hRule="atLeast"/>
          <w:jc w:val="center"/>
        </w:trPr>
        <w:tc>
          <w:tcPr>
            <w:tcW w:w="838"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14</w:t>
            </w:r>
          </w:p>
        </w:tc>
        <w:tc>
          <w:tcPr>
            <w:tcW w:w="1091"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hint="eastAsia" w:ascii="宋体" w:hAnsi="Times New Roman" w:eastAsia="宋体" w:cs="宋体"/>
                <w:color w:val="auto"/>
                <w:kern w:val="0"/>
                <w:sz w:val="21"/>
                <w:szCs w:val="21"/>
              </w:rPr>
              <w:t>塘垌河</w:t>
            </w:r>
          </w:p>
        </w:tc>
        <w:tc>
          <w:tcPr>
            <w:tcW w:w="1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54.3</w:t>
            </w:r>
          </w:p>
        </w:tc>
        <w:tc>
          <w:tcPr>
            <w:tcW w:w="110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13</w:t>
            </w:r>
          </w:p>
        </w:tc>
        <w:tc>
          <w:tcPr>
            <w:tcW w:w="96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26</w:t>
            </w:r>
          </w:p>
        </w:tc>
      </w:tr>
      <w:tr>
        <w:tblPrEx>
          <w:tblCellMar>
            <w:top w:w="0" w:type="dxa"/>
            <w:left w:w="108" w:type="dxa"/>
            <w:bottom w:w="0" w:type="dxa"/>
            <w:right w:w="108" w:type="dxa"/>
          </w:tblCellMar>
        </w:tblPrEx>
        <w:trPr>
          <w:trHeight w:val="254" w:hRule="atLeast"/>
          <w:jc w:val="center"/>
        </w:trPr>
        <w:tc>
          <w:tcPr>
            <w:tcW w:w="838"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15</w:t>
            </w:r>
          </w:p>
        </w:tc>
        <w:tc>
          <w:tcPr>
            <w:tcW w:w="1091"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hint="eastAsia" w:ascii="宋体" w:hAnsi="Times New Roman" w:eastAsia="宋体" w:cs="宋体"/>
                <w:color w:val="auto"/>
                <w:kern w:val="0"/>
                <w:sz w:val="21"/>
                <w:szCs w:val="21"/>
              </w:rPr>
              <w:t>下字江河</w:t>
            </w:r>
          </w:p>
        </w:tc>
        <w:tc>
          <w:tcPr>
            <w:tcW w:w="1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22.6</w:t>
            </w:r>
          </w:p>
        </w:tc>
        <w:tc>
          <w:tcPr>
            <w:tcW w:w="110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10.8</w:t>
            </w:r>
          </w:p>
        </w:tc>
        <w:tc>
          <w:tcPr>
            <w:tcW w:w="96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21.6</w:t>
            </w:r>
          </w:p>
        </w:tc>
      </w:tr>
      <w:tr>
        <w:tblPrEx>
          <w:tblCellMar>
            <w:top w:w="0" w:type="dxa"/>
            <w:left w:w="108" w:type="dxa"/>
            <w:bottom w:w="0" w:type="dxa"/>
            <w:right w:w="108" w:type="dxa"/>
          </w:tblCellMar>
        </w:tblPrEx>
        <w:trPr>
          <w:trHeight w:val="254" w:hRule="atLeast"/>
          <w:jc w:val="center"/>
        </w:trPr>
        <w:tc>
          <w:tcPr>
            <w:tcW w:w="838"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16</w:t>
            </w:r>
          </w:p>
        </w:tc>
        <w:tc>
          <w:tcPr>
            <w:tcW w:w="1091" w:type="pct"/>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宋体" w:hAnsi="Times New Roman" w:eastAsia="宋体" w:cs="宋体"/>
                <w:color w:val="auto"/>
                <w:kern w:val="0"/>
                <w:sz w:val="21"/>
                <w:szCs w:val="21"/>
              </w:rPr>
            </w:pPr>
            <w:r>
              <w:rPr>
                <w:rFonts w:hint="eastAsia" w:ascii="宋体" w:hAnsi="Times New Roman" w:eastAsia="宋体" w:cs="宋体"/>
                <w:color w:val="auto"/>
                <w:kern w:val="0"/>
                <w:sz w:val="21"/>
                <w:szCs w:val="21"/>
              </w:rPr>
              <w:t>义林河</w:t>
            </w:r>
          </w:p>
        </w:tc>
        <w:tc>
          <w:tcPr>
            <w:tcW w:w="1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16.9</w:t>
            </w:r>
          </w:p>
        </w:tc>
        <w:tc>
          <w:tcPr>
            <w:tcW w:w="110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8.5</w:t>
            </w:r>
          </w:p>
        </w:tc>
        <w:tc>
          <w:tcPr>
            <w:tcW w:w="96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eastAsia="宋体" w:cs="宋体"/>
                <w:color w:val="auto"/>
                <w:kern w:val="0"/>
                <w:sz w:val="21"/>
                <w:szCs w:val="21"/>
              </w:rPr>
            </w:pPr>
            <w:r>
              <w:rPr>
                <w:rFonts w:ascii="宋体" w:hAnsi="Times New Roman" w:eastAsia="宋体" w:cs="宋体"/>
                <w:color w:val="auto"/>
                <w:kern w:val="0"/>
                <w:sz w:val="21"/>
                <w:szCs w:val="21"/>
              </w:rPr>
              <w:t>17</w:t>
            </w:r>
          </w:p>
        </w:tc>
      </w:tr>
    </w:tbl>
    <w:p>
      <w:pPr>
        <w:pStyle w:val="5"/>
        <w:bidi w:val="0"/>
        <w:rPr>
          <w:rFonts w:cs="Times New Roman"/>
          <w:color w:val="auto"/>
        </w:rPr>
      </w:pPr>
      <w:bookmarkStart w:id="21" w:name="_Toc20121"/>
      <w:bookmarkStart w:id="22" w:name="_Toc2608"/>
      <w:r>
        <w:rPr>
          <w:rFonts w:cs="Times New Roman"/>
          <w:color w:val="auto"/>
        </w:rPr>
        <w:t>2.</w:t>
      </w:r>
      <w:r>
        <w:rPr>
          <w:rFonts w:hint="eastAsia" w:cs="Times New Roman"/>
          <w:color w:val="auto"/>
        </w:rPr>
        <w:t>4</w:t>
      </w:r>
      <w:r>
        <w:rPr>
          <w:rFonts w:cs="Times New Roman"/>
          <w:color w:val="auto"/>
        </w:rPr>
        <w:t>水文状况</w:t>
      </w:r>
      <w:bookmarkEnd w:id="21"/>
      <w:bookmarkEnd w:id="22"/>
    </w:p>
    <w:p>
      <w:pPr>
        <w:spacing w:line="360" w:lineRule="auto"/>
        <w:ind w:firstLine="560" w:firstLineChars="200"/>
        <w:rPr>
          <w:rFonts w:hint="eastAsia" w:ascii="Times New Roman" w:hAnsi="Times New Roman" w:eastAsia="仿宋" w:cs="Times New Roman"/>
          <w:color w:val="auto"/>
          <w:kern w:val="0"/>
          <w:sz w:val="28"/>
          <w:szCs w:val="20"/>
        </w:rPr>
      </w:pPr>
      <w:r>
        <w:rPr>
          <w:rFonts w:hint="eastAsia" w:ascii="Times New Roman" w:hAnsi="Times New Roman" w:eastAsia="仿宋" w:cs="Times New Roman"/>
          <w:color w:val="auto"/>
          <w:kern w:val="0"/>
          <w:sz w:val="28"/>
          <w:szCs w:val="20"/>
        </w:rPr>
        <w:t>资源水文站位于资江干流上，1959年设立。该站是资江上游重要控制站，位于资源县资源镇沈滩村，地理位置东径110°38′55″，北纬26°2′39″，控制集水面积469km</w:t>
      </w:r>
      <w:r>
        <w:rPr>
          <w:rFonts w:hint="eastAsia" w:ascii="Times New Roman" w:hAnsi="Times New Roman" w:eastAsia="仿宋" w:cs="Times New Roman"/>
          <w:color w:val="auto"/>
          <w:kern w:val="0"/>
          <w:sz w:val="28"/>
          <w:szCs w:val="20"/>
          <w:vertAlign w:val="superscript"/>
        </w:rPr>
        <w:t>2</w:t>
      </w:r>
      <w:r>
        <w:rPr>
          <w:rFonts w:hint="eastAsia" w:ascii="Times New Roman" w:hAnsi="Times New Roman" w:eastAsia="仿宋" w:cs="Times New Roman"/>
          <w:color w:val="auto"/>
          <w:kern w:val="0"/>
          <w:sz w:val="28"/>
          <w:szCs w:val="20"/>
        </w:rPr>
        <w:t>。</w:t>
      </w:r>
    </w:p>
    <w:p>
      <w:pPr>
        <w:spacing w:line="360" w:lineRule="auto"/>
        <w:ind w:firstLine="560" w:firstLineChars="200"/>
        <w:rPr>
          <w:rFonts w:hint="eastAsia" w:ascii="Times New Roman" w:hAnsi="Times New Roman" w:eastAsia="仿宋" w:cs="Times New Roman"/>
          <w:color w:val="auto"/>
          <w:kern w:val="0"/>
          <w:sz w:val="28"/>
          <w:szCs w:val="20"/>
        </w:rPr>
      </w:pPr>
      <w:r>
        <w:rPr>
          <w:rFonts w:hint="eastAsia" w:ascii="Times New Roman" w:hAnsi="Times New Roman" w:eastAsia="仿宋" w:cs="Times New Roman"/>
          <w:color w:val="auto"/>
          <w:kern w:val="0"/>
          <w:sz w:val="28"/>
          <w:szCs w:val="20"/>
        </w:rPr>
        <w:t>水文站控制断面河道顺直，卵石河床，高水无分流；上游2km处有城关水电站，城关水电站是河床径流水电站，水量是来多少放多少，在水文站水流仍然是天然状态，故对水文站没有影响；河流两边有水草，两岸均有稀疏灌木。本次计算采用的主要依据站是资源水文站，资源水文站作为本次计算的重要参证站，有实测降雨、水位、流量等资料，为国家刊布站，精度较高，资料完整可靠，可以采用。</w:t>
      </w:r>
    </w:p>
    <w:p>
      <w:pPr>
        <w:spacing w:line="360" w:lineRule="auto"/>
        <w:ind w:firstLine="560" w:firstLineChars="200"/>
        <w:rPr>
          <w:rFonts w:hint="eastAsia" w:ascii="Times New Roman" w:hAnsi="Times New Roman" w:eastAsia="仿宋" w:cs="Times New Roman"/>
          <w:bCs/>
          <w:color w:val="auto"/>
          <w:sz w:val="28"/>
          <w:szCs w:val="28"/>
        </w:rPr>
      </w:pPr>
      <w:r>
        <w:rPr>
          <w:rFonts w:hint="eastAsia" w:ascii="Times New Roman" w:hAnsi="Times New Roman" w:eastAsia="仿宋" w:cs="Times New Roman"/>
          <w:bCs/>
          <w:color w:val="auto"/>
          <w:sz w:val="28"/>
          <w:szCs w:val="28"/>
        </w:rPr>
        <w:t>此外，在坝址流域附近还有咸水口、大江头、社水雨量观测站，咸水口雨量站</w:t>
      </w:r>
      <w:r>
        <w:rPr>
          <w:rFonts w:hint="eastAsia" w:ascii="Times New Roman" w:hAnsi="Times New Roman" w:eastAsia="仿宋" w:cs="Times New Roman"/>
          <w:bCs/>
          <w:color w:val="auto"/>
          <w:sz w:val="28"/>
          <w:szCs w:val="28"/>
          <w:lang w:val="en-US" w:eastAsia="zh-CN"/>
        </w:rPr>
        <w:t>等</w:t>
      </w:r>
      <w:r>
        <w:rPr>
          <w:rFonts w:hint="eastAsia" w:ascii="Times New Roman" w:hAnsi="Times New Roman" w:eastAsia="仿宋" w:cs="Times New Roman"/>
          <w:bCs/>
          <w:color w:val="auto"/>
          <w:sz w:val="28"/>
          <w:szCs w:val="28"/>
        </w:rPr>
        <w:t>。</w:t>
      </w:r>
    </w:p>
    <w:p>
      <w:pPr>
        <w:spacing w:line="360" w:lineRule="auto"/>
        <w:ind w:firstLine="560" w:firstLineChars="200"/>
        <w:rPr>
          <w:rFonts w:hint="eastAsia" w:ascii="Times New Roman" w:hAnsi="Times New Roman" w:eastAsia="仿宋" w:cs="Times New Roman"/>
          <w:bCs/>
          <w:color w:val="auto"/>
          <w:sz w:val="28"/>
          <w:szCs w:val="28"/>
        </w:rPr>
      </w:pPr>
      <w:r>
        <w:rPr>
          <w:rFonts w:hint="eastAsia" w:ascii="Times New Roman" w:hAnsi="Times New Roman" w:eastAsia="仿宋" w:cs="Times New Roman"/>
          <w:bCs/>
          <w:color w:val="auto"/>
          <w:sz w:val="28"/>
          <w:szCs w:val="28"/>
        </w:rPr>
        <w:t>以上各水文站基本情况见表2.</w:t>
      </w:r>
      <w:r>
        <w:rPr>
          <w:rFonts w:ascii="Times New Roman" w:hAnsi="Times New Roman" w:eastAsia="仿宋" w:cs="Times New Roman"/>
          <w:bCs/>
          <w:color w:val="auto"/>
          <w:sz w:val="28"/>
          <w:szCs w:val="28"/>
        </w:rPr>
        <w:t>4</w:t>
      </w:r>
      <w:r>
        <w:rPr>
          <w:rFonts w:hint="eastAsia" w:ascii="Times New Roman" w:hAnsi="Times New Roman" w:eastAsia="仿宋" w:cs="Times New Roman"/>
          <w:bCs/>
          <w:color w:val="auto"/>
          <w:sz w:val="28"/>
          <w:szCs w:val="28"/>
        </w:rPr>
        <w:t>.1。</w:t>
      </w:r>
    </w:p>
    <w:p>
      <w:pPr>
        <w:spacing w:line="360" w:lineRule="auto"/>
        <w:ind w:firstLine="560" w:firstLineChars="200"/>
        <w:jc w:val="center"/>
        <w:rPr>
          <w:rFonts w:hint="eastAsia" w:ascii="Times New Roman" w:hAnsi="Times New Roman" w:eastAsia="仿宋" w:cs="Times New Roman"/>
          <w:bCs/>
          <w:color w:val="auto"/>
          <w:sz w:val="28"/>
          <w:szCs w:val="28"/>
        </w:rPr>
      </w:pPr>
      <w:r>
        <w:rPr>
          <w:rFonts w:hint="eastAsia" w:ascii="Times New Roman" w:hAnsi="Times New Roman" w:eastAsia="仿宋" w:cs="Times New Roman"/>
          <w:bCs/>
          <w:color w:val="auto"/>
          <w:sz w:val="28"/>
          <w:szCs w:val="28"/>
        </w:rPr>
        <w:t>表2.</w:t>
      </w:r>
      <w:r>
        <w:rPr>
          <w:rFonts w:ascii="Times New Roman" w:hAnsi="Times New Roman" w:eastAsia="仿宋" w:cs="Times New Roman"/>
          <w:bCs/>
          <w:color w:val="auto"/>
          <w:sz w:val="28"/>
          <w:szCs w:val="28"/>
        </w:rPr>
        <w:t>4</w:t>
      </w:r>
      <w:r>
        <w:rPr>
          <w:rFonts w:hint="eastAsia" w:ascii="Times New Roman" w:hAnsi="Times New Roman" w:eastAsia="仿宋" w:cs="Times New Roman"/>
          <w:bCs/>
          <w:color w:val="auto"/>
          <w:sz w:val="28"/>
          <w:szCs w:val="28"/>
        </w:rPr>
        <w:t>.1各水文测站基本情况</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50"/>
        <w:gridCol w:w="2089"/>
        <w:gridCol w:w="2089"/>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80" w:type="dxa"/>
            <w:vMerge w:val="restart"/>
            <w:vAlign w:val="center"/>
          </w:tcPr>
          <w:p>
            <w:pPr>
              <w:spacing w:line="360" w:lineRule="auto"/>
              <w:jc w:val="center"/>
              <w:outlineLvl w:val="2"/>
              <w:rPr>
                <w:rFonts w:hint="eastAsia"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站  名</w:t>
            </w:r>
          </w:p>
        </w:tc>
        <w:tc>
          <w:tcPr>
            <w:tcW w:w="6540" w:type="dxa"/>
            <w:gridSpan w:val="3"/>
            <w:vAlign w:val="center"/>
          </w:tcPr>
          <w:p>
            <w:pPr>
              <w:spacing w:line="360" w:lineRule="auto"/>
              <w:jc w:val="center"/>
              <w:outlineLvl w:val="2"/>
              <w:rPr>
                <w:rFonts w:hint="eastAsia"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观测项目及起迄年份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80" w:type="dxa"/>
            <w:vMerge w:val="continue"/>
            <w:vAlign w:val="center"/>
          </w:tcPr>
          <w:p>
            <w:pPr>
              <w:spacing w:line="360" w:lineRule="auto"/>
              <w:jc w:val="center"/>
              <w:outlineLvl w:val="9"/>
              <w:rPr>
                <w:rFonts w:hint="eastAsia" w:ascii="Times New Roman" w:hAnsi="Times New Roman" w:eastAsia="仿宋" w:cs="Times New Roman"/>
                <w:color w:val="auto"/>
                <w:kern w:val="0"/>
                <w:sz w:val="28"/>
                <w:szCs w:val="28"/>
              </w:rPr>
            </w:pPr>
          </w:p>
        </w:tc>
        <w:tc>
          <w:tcPr>
            <w:tcW w:w="2180" w:type="dxa"/>
            <w:vAlign w:val="center"/>
          </w:tcPr>
          <w:p>
            <w:pPr>
              <w:spacing w:line="360" w:lineRule="auto"/>
              <w:jc w:val="center"/>
              <w:outlineLvl w:val="2"/>
              <w:rPr>
                <w:rFonts w:hint="eastAsia"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水  位</w:t>
            </w:r>
          </w:p>
        </w:tc>
        <w:tc>
          <w:tcPr>
            <w:tcW w:w="2180" w:type="dxa"/>
            <w:vAlign w:val="center"/>
          </w:tcPr>
          <w:p>
            <w:pPr>
              <w:spacing w:line="360" w:lineRule="auto"/>
              <w:jc w:val="center"/>
              <w:outlineLvl w:val="2"/>
              <w:rPr>
                <w:rFonts w:hint="eastAsia"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流  量</w:t>
            </w:r>
          </w:p>
        </w:tc>
        <w:tc>
          <w:tcPr>
            <w:tcW w:w="2180" w:type="dxa"/>
            <w:vAlign w:val="center"/>
          </w:tcPr>
          <w:p>
            <w:pPr>
              <w:spacing w:line="360" w:lineRule="auto"/>
              <w:jc w:val="center"/>
              <w:outlineLvl w:val="2"/>
              <w:rPr>
                <w:rFonts w:hint="eastAsia"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降  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80" w:type="dxa"/>
            <w:vAlign w:val="center"/>
          </w:tcPr>
          <w:p>
            <w:pPr>
              <w:spacing w:line="360" w:lineRule="auto"/>
              <w:jc w:val="center"/>
              <w:outlineLvl w:val="2"/>
              <w:rPr>
                <w:rFonts w:hint="eastAsia"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资  源</w:t>
            </w:r>
          </w:p>
        </w:tc>
        <w:tc>
          <w:tcPr>
            <w:tcW w:w="2180" w:type="dxa"/>
            <w:vAlign w:val="center"/>
          </w:tcPr>
          <w:p>
            <w:pPr>
              <w:spacing w:line="360" w:lineRule="auto"/>
              <w:jc w:val="center"/>
              <w:outlineLvl w:val="2"/>
              <w:rPr>
                <w:rFonts w:hint="eastAsia"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1959～今</w:t>
            </w:r>
          </w:p>
        </w:tc>
        <w:tc>
          <w:tcPr>
            <w:tcW w:w="2180" w:type="dxa"/>
            <w:vAlign w:val="center"/>
          </w:tcPr>
          <w:p>
            <w:pPr>
              <w:spacing w:line="360" w:lineRule="auto"/>
              <w:jc w:val="center"/>
              <w:outlineLvl w:val="2"/>
              <w:rPr>
                <w:rFonts w:hint="eastAsia"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1959～今</w:t>
            </w:r>
          </w:p>
        </w:tc>
        <w:tc>
          <w:tcPr>
            <w:tcW w:w="2180" w:type="dxa"/>
            <w:vAlign w:val="center"/>
          </w:tcPr>
          <w:p>
            <w:pPr>
              <w:spacing w:line="360" w:lineRule="auto"/>
              <w:jc w:val="center"/>
              <w:outlineLvl w:val="2"/>
              <w:rPr>
                <w:rFonts w:hint="eastAsia"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1954～今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80" w:type="dxa"/>
            <w:vAlign w:val="center"/>
          </w:tcPr>
          <w:p>
            <w:pPr>
              <w:spacing w:line="360" w:lineRule="auto"/>
              <w:jc w:val="center"/>
              <w:outlineLvl w:val="2"/>
              <w:rPr>
                <w:rFonts w:hint="eastAsia"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咸水口</w:t>
            </w:r>
          </w:p>
        </w:tc>
        <w:tc>
          <w:tcPr>
            <w:tcW w:w="2180" w:type="dxa"/>
            <w:vAlign w:val="center"/>
          </w:tcPr>
          <w:p>
            <w:pPr>
              <w:spacing w:line="360" w:lineRule="auto"/>
              <w:jc w:val="center"/>
              <w:outlineLvl w:val="9"/>
              <w:rPr>
                <w:rFonts w:hint="eastAsia" w:ascii="Times New Roman" w:hAnsi="Times New Roman" w:eastAsia="仿宋" w:cs="Times New Roman"/>
                <w:color w:val="auto"/>
                <w:kern w:val="0"/>
                <w:sz w:val="28"/>
                <w:szCs w:val="28"/>
              </w:rPr>
            </w:pPr>
          </w:p>
        </w:tc>
        <w:tc>
          <w:tcPr>
            <w:tcW w:w="2180" w:type="dxa"/>
            <w:vAlign w:val="center"/>
          </w:tcPr>
          <w:p>
            <w:pPr>
              <w:spacing w:line="360" w:lineRule="auto"/>
              <w:jc w:val="center"/>
              <w:outlineLvl w:val="9"/>
              <w:rPr>
                <w:rFonts w:hint="eastAsia" w:ascii="Times New Roman" w:hAnsi="Times New Roman" w:eastAsia="仿宋" w:cs="Times New Roman"/>
                <w:color w:val="auto"/>
                <w:kern w:val="0"/>
                <w:sz w:val="28"/>
                <w:szCs w:val="28"/>
              </w:rPr>
            </w:pPr>
          </w:p>
        </w:tc>
        <w:tc>
          <w:tcPr>
            <w:tcW w:w="2180" w:type="dxa"/>
            <w:vAlign w:val="center"/>
          </w:tcPr>
          <w:p>
            <w:pPr>
              <w:spacing w:line="360" w:lineRule="auto"/>
              <w:jc w:val="center"/>
              <w:outlineLvl w:val="2"/>
              <w:rPr>
                <w:rFonts w:hint="eastAsia"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1974～今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80" w:type="dxa"/>
            <w:vAlign w:val="center"/>
          </w:tcPr>
          <w:p>
            <w:pPr>
              <w:spacing w:line="360" w:lineRule="auto"/>
              <w:jc w:val="center"/>
              <w:outlineLvl w:val="2"/>
              <w:rPr>
                <w:rFonts w:hint="eastAsia"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枫  木</w:t>
            </w:r>
          </w:p>
        </w:tc>
        <w:tc>
          <w:tcPr>
            <w:tcW w:w="2180" w:type="dxa"/>
            <w:vAlign w:val="center"/>
          </w:tcPr>
          <w:p>
            <w:pPr>
              <w:spacing w:line="360" w:lineRule="auto"/>
              <w:jc w:val="center"/>
              <w:outlineLvl w:val="9"/>
              <w:rPr>
                <w:rFonts w:hint="eastAsia" w:ascii="Times New Roman" w:hAnsi="Times New Roman" w:eastAsia="仿宋" w:cs="Times New Roman"/>
                <w:color w:val="auto"/>
                <w:kern w:val="0"/>
                <w:sz w:val="28"/>
                <w:szCs w:val="28"/>
              </w:rPr>
            </w:pPr>
          </w:p>
        </w:tc>
        <w:tc>
          <w:tcPr>
            <w:tcW w:w="2180" w:type="dxa"/>
            <w:vAlign w:val="center"/>
          </w:tcPr>
          <w:p>
            <w:pPr>
              <w:spacing w:line="360" w:lineRule="auto"/>
              <w:jc w:val="center"/>
              <w:outlineLvl w:val="9"/>
              <w:rPr>
                <w:rFonts w:hint="eastAsia" w:ascii="Times New Roman" w:hAnsi="Times New Roman" w:eastAsia="仿宋" w:cs="Times New Roman"/>
                <w:color w:val="auto"/>
                <w:kern w:val="0"/>
                <w:sz w:val="28"/>
                <w:szCs w:val="28"/>
              </w:rPr>
            </w:pPr>
          </w:p>
        </w:tc>
        <w:tc>
          <w:tcPr>
            <w:tcW w:w="2180" w:type="dxa"/>
            <w:vAlign w:val="center"/>
          </w:tcPr>
          <w:p>
            <w:pPr>
              <w:spacing w:line="360" w:lineRule="auto"/>
              <w:jc w:val="center"/>
              <w:outlineLvl w:val="2"/>
              <w:rPr>
                <w:rFonts w:hint="eastAsia"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1982～今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80" w:type="dxa"/>
            <w:vAlign w:val="center"/>
          </w:tcPr>
          <w:p>
            <w:pPr>
              <w:spacing w:line="360" w:lineRule="auto"/>
              <w:jc w:val="center"/>
              <w:outlineLvl w:val="2"/>
              <w:rPr>
                <w:rFonts w:hint="eastAsia"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烟竹山</w:t>
            </w:r>
          </w:p>
        </w:tc>
        <w:tc>
          <w:tcPr>
            <w:tcW w:w="2180" w:type="dxa"/>
            <w:vAlign w:val="center"/>
          </w:tcPr>
          <w:p>
            <w:pPr>
              <w:spacing w:line="360" w:lineRule="auto"/>
              <w:jc w:val="center"/>
              <w:outlineLvl w:val="9"/>
              <w:rPr>
                <w:rFonts w:hint="eastAsia" w:ascii="Times New Roman" w:hAnsi="Times New Roman" w:eastAsia="仿宋" w:cs="Times New Roman"/>
                <w:color w:val="auto"/>
                <w:kern w:val="0"/>
                <w:sz w:val="28"/>
                <w:szCs w:val="28"/>
              </w:rPr>
            </w:pPr>
          </w:p>
        </w:tc>
        <w:tc>
          <w:tcPr>
            <w:tcW w:w="2180" w:type="dxa"/>
            <w:vAlign w:val="center"/>
          </w:tcPr>
          <w:p>
            <w:pPr>
              <w:spacing w:line="360" w:lineRule="auto"/>
              <w:jc w:val="center"/>
              <w:outlineLvl w:val="9"/>
              <w:rPr>
                <w:rFonts w:hint="eastAsia" w:ascii="Times New Roman" w:hAnsi="Times New Roman" w:eastAsia="仿宋" w:cs="Times New Roman"/>
                <w:color w:val="auto"/>
                <w:kern w:val="0"/>
                <w:sz w:val="28"/>
                <w:szCs w:val="28"/>
              </w:rPr>
            </w:pPr>
          </w:p>
        </w:tc>
        <w:tc>
          <w:tcPr>
            <w:tcW w:w="2180" w:type="dxa"/>
            <w:vAlign w:val="center"/>
          </w:tcPr>
          <w:p>
            <w:pPr>
              <w:spacing w:line="360" w:lineRule="auto"/>
              <w:jc w:val="center"/>
              <w:outlineLvl w:val="2"/>
              <w:rPr>
                <w:rFonts w:hint="eastAsia"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1982～今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80" w:type="dxa"/>
            <w:vAlign w:val="center"/>
          </w:tcPr>
          <w:p>
            <w:pPr>
              <w:spacing w:line="360" w:lineRule="auto"/>
              <w:jc w:val="center"/>
              <w:outlineLvl w:val="2"/>
              <w:rPr>
                <w:rFonts w:hint="eastAsia"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中  峰</w:t>
            </w:r>
          </w:p>
        </w:tc>
        <w:tc>
          <w:tcPr>
            <w:tcW w:w="2180" w:type="dxa"/>
            <w:vAlign w:val="center"/>
          </w:tcPr>
          <w:p>
            <w:pPr>
              <w:spacing w:line="360" w:lineRule="auto"/>
              <w:jc w:val="center"/>
              <w:outlineLvl w:val="9"/>
              <w:rPr>
                <w:rFonts w:hint="eastAsia" w:ascii="Times New Roman" w:hAnsi="Times New Roman" w:eastAsia="仿宋" w:cs="Times New Roman"/>
                <w:color w:val="auto"/>
                <w:kern w:val="0"/>
                <w:sz w:val="28"/>
                <w:szCs w:val="28"/>
              </w:rPr>
            </w:pPr>
          </w:p>
        </w:tc>
        <w:tc>
          <w:tcPr>
            <w:tcW w:w="2180" w:type="dxa"/>
            <w:vAlign w:val="center"/>
          </w:tcPr>
          <w:p>
            <w:pPr>
              <w:spacing w:line="360" w:lineRule="auto"/>
              <w:jc w:val="center"/>
              <w:outlineLvl w:val="9"/>
              <w:rPr>
                <w:rFonts w:hint="eastAsia" w:ascii="Times New Roman" w:hAnsi="Times New Roman" w:eastAsia="仿宋" w:cs="Times New Roman"/>
                <w:color w:val="auto"/>
                <w:kern w:val="0"/>
                <w:sz w:val="28"/>
                <w:szCs w:val="28"/>
              </w:rPr>
            </w:pPr>
          </w:p>
        </w:tc>
        <w:tc>
          <w:tcPr>
            <w:tcW w:w="2180" w:type="dxa"/>
            <w:vAlign w:val="center"/>
          </w:tcPr>
          <w:p>
            <w:pPr>
              <w:spacing w:line="360" w:lineRule="auto"/>
              <w:jc w:val="center"/>
              <w:outlineLvl w:val="2"/>
              <w:rPr>
                <w:rFonts w:hint="eastAsia"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1982～今</w:t>
            </w:r>
          </w:p>
        </w:tc>
      </w:tr>
    </w:tbl>
    <w:p>
      <w:pPr>
        <w:spacing w:line="560" w:lineRule="exact"/>
        <w:ind w:firstLine="560" w:firstLineChars="200"/>
        <w:rPr>
          <w:rFonts w:ascii="Times New Roman" w:hAnsi="Times New Roman" w:eastAsia="仿宋" w:cs="Times New Roman"/>
          <w:bCs/>
          <w:color w:val="auto"/>
          <w:sz w:val="28"/>
          <w:szCs w:val="28"/>
        </w:rPr>
      </w:pPr>
    </w:p>
    <w:p>
      <w:pPr>
        <w:spacing w:line="360" w:lineRule="auto"/>
        <w:jc w:val="left"/>
        <w:outlineLvl w:val="2"/>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2.</w:t>
      </w:r>
      <w:r>
        <w:rPr>
          <w:rFonts w:hint="eastAsia" w:ascii="Times New Roman" w:hAnsi="Times New Roman" w:eastAsia="仿宋" w:cs="Times New Roman"/>
          <w:color w:val="auto"/>
          <w:kern w:val="0"/>
          <w:sz w:val="28"/>
          <w:szCs w:val="28"/>
        </w:rPr>
        <w:t>4</w:t>
      </w:r>
      <w:r>
        <w:rPr>
          <w:rFonts w:ascii="Times New Roman" w:hAnsi="Times New Roman" w:eastAsia="仿宋" w:cs="Times New Roman"/>
          <w:color w:val="auto"/>
          <w:kern w:val="0"/>
          <w:sz w:val="28"/>
          <w:szCs w:val="28"/>
        </w:rPr>
        <w:t>.1  降水</w:t>
      </w:r>
    </w:p>
    <w:p>
      <w:pPr>
        <w:spacing w:line="360" w:lineRule="auto"/>
        <w:ind w:firstLine="560" w:firstLineChars="200"/>
        <w:rPr>
          <w:rFonts w:ascii="仿宋" w:hAnsi="仿宋" w:eastAsia="仿宋" w:cs="Times New Roman"/>
          <w:bCs/>
          <w:color w:val="auto"/>
          <w:sz w:val="28"/>
          <w:szCs w:val="28"/>
        </w:rPr>
      </w:pPr>
      <w:r>
        <w:rPr>
          <w:rFonts w:hint="eastAsia" w:ascii="仿宋" w:hAnsi="仿宋" w:eastAsia="仿宋" w:cs="Times New Roman"/>
          <w:bCs/>
          <w:color w:val="auto"/>
          <w:sz w:val="28"/>
          <w:szCs w:val="28"/>
        </w:rPr>
        <w:t>资源县</w:t>
      </w:r>
      <w:r>
        <w:rPr>
          <w:rFonts w:ascii="仿宋" w:hAnsi="仿宋" w:eastAsia="仿宋" w:cs="Times New Roman"/>
          <w:bCs/>
          <w:color w:val="auto"/>
          <w:sz w:val="28"/>
          <w:szCs w:val="28"/>
        </w:rPr>
        <w:t>属亚热带季风区，气候温和，雨量充沛，流域地形北高南低，有利于南面进入的水气堆积和降雨。</w:t>
      </w:r>
      <w:bookmarkStart w:id="23" w:name="_Hlk90242154"/>
      <w:r>
        <w:rPr>
          <w:rFonts w:ascii="仿宋" w:hAnsi="仿宋" w:eastAsia="仿宋" w:cs="Times New Roman"/>
          <w:bCs/>
          <w:color w:val="auto"/>
          <w:sz w:val="28"/>
          <w:szCs w:val="28"/>
        </w:rPr>
        <w:t>年降雨量一般在</w:t>
      </w:r>
      <w:r>
        <w:rPr>
          <w:rFonts w:ascii="Times New Roman" w:hAnsi="Times New Roman" w:eastAsia="仿宋" w:cs="Times New Roman"/>
          <w:bCs/>
          <w:color w:val="auto"/>
          <w:sz w:val="28"/>
          <w:szCs w:val="28"/>
        </w:rPr>
        <w:t>1431—2507</w:t>
      </w:r>
      <w:r>
        <w:rPr>
          <w:rFonts w:ascii="仿宋" w:hAnsi="仿宋" w:eastAsia="仿宋" w:cs="Times New Roman"/>
          <w:bCs/>
          <w:color w:val="auto"/>
          <w:sz w:val="28"/>
          <w:szCs w:val="28"/>
        </w:rPr>
        <w:t>毫米之间，年平均</w:t>
      </w:r>
      <w:r>
        <w:rPr>
          <w:rFonts w:hint="eastAsia" w:ascii="仿宋" w:hAnsi="仿宋" w:eastAsia="仿宋" w:cs="Times New Roman"/>
          <w:bCs/>
          <w:color w:val="auto"/>
          <w:sz w:val="28"/>
          <w:szCs w:val="28"/>
        </w:rPr>
        <w:t>降雨</w:t>
      </w:r>
      <w:r>
        <w:rPr>
          <w:rFonts w:ascii="Times New Roman" w:hAnsi="Times New Roman" w:eastAsia="仿宋" w:cs="Times New Roman"/>
          <w:bCs/>
          <w:color w:val="auto"/>
          <w:sz w:val="28"/>
          <w:szCs w:val="28"/>
        </w:rPr>
        <w:t>1773</w:t>
      </w:r>
      <w:r>
        <w:rPr>
          <w:rFonts w:ascii="仿宋" w:hAnsi="仿宋" w:eastAsia="仿宋" w:cs="Times New Roman"/>
          <w:bCs/>
          <w:color w:val="auto"/>
          <w:sz w:val="28"/>
          <w:szCs w:val="28"/>
        </w:rPr>
        <w:t>毫米。境内年雨量充沛，但季节分布不均。冬季少雨，仅占年雨量的</w:t>
      </w:r>
      <w:r>
        <w:rPr>
          <w:rFonts w:ascii="Times New Roman" w:hAnsi="Times New Roman" w:eastAsia="仿宋" w:cs="Times New Roman"/>
          <w:bCs/>
          <w:color w:val="auto"/>
          <w:sz w:val="28"/>
          <w:szCs w:val="28"/>
        </w:rPr>
        <w:t>12.1％</w:t>
      </w:r>
      <w:r>
        <w:rPr>
          <w:rFonts w:ascii="仿宋" w:hAnsi="仿宋" w:eastAsia="仿宋" w:cs="Times New Roman"/>
          <w:bCs/>
          <w:color w:val="auto"/>
          <w:sz w:val="28"/>
          <w:szCs w:val="28"/>
        </w:rPr>
        <w:t>。 春、夏两季多雨，尤以</w:t>
      </w:r>
      <w:r>
        <w:rPr>
          <w:rFonts w:ascii="Times New Roman" w:hAnsi="Times New Roman" w:eastAsia="仿宋" w:cs="Times New Roman"/>
          <w:bCs/>
          <w:color w:val="auto"/>
          <w:sz w:val="28"/>
          <w:szCs w:val="28"/>
        </w:rPr>
        <w:t>5、6</w:t>
      </w:r>
      <w:r>
        <w:rPr>
          <w:rFonts w:ascii="仿宋" w:hAnsi="仿宋" w:eastAsia="仿宋" w:cs="Times New Roman"/>
          <w:bCs/>
          <w:color w:val="auto"/>
          <w:sz w:val="28"/>
          <w:szCs w:val="28"/>
        </w:rPr>
        <w:t>月份雨量最多，占年雨量的</w:t>
      </w:r>
      <w:r>
        <w:rPr>
          <w:rFonts w:ascii="Times New Roman" w:hAnsi="Times New Roman" w:eastAsia="仿宋" w:cs="Times New Roman"/>
          <w:bCs/>
          <w:color w:val="auto"/>
          <w:sz w:val="28"/>
          <w:szCs w:val="28"/>
        </w:rPr>
        <w:t>34.5％</w:t>
      </w:r>
      <w:r>
        <w:rPr>
          <w:rFonts w:ascii="仿宋" w:hAnsi="仿宋" w:eastAsia="仿宋" w:cs="Times New Roman"/>
          <w:bCs/>
          <w:color w:val="auto"/>
          <w:sz w:val="28"/>
          <w:szCs w:val="28"/>
        </w:rPr>
        <w:t>，常出现山洪暴发，一些地区 崩山形成泥石流，危害甚大。从多年情况看，雨季</w:t>
      </w:r>
      <w:r>
        <w:rPr>
          <w:rFonts w:hint="eastAsia" w:ascii="仿宋" w:hAnsi="仿宋" w:eastAsia="仿宋" w:cs="Times New Roman"/>
          <w:bCs/>
          <w:color w:val="auto"/>
          <w:sz w:val="28"/>
          <w:szCs w:val="28"/>
        </w:rPr>
        <w:t>一般</w:t>
      </w:r>
      <w:r>
        <w:rPr>
          <w:rFonts w:ascii="仿宋" w:hAnsi="仿宋" w:eastAsia="仿宋" w:cs="Times New Roman"/>
          <w:bCs/>
          <w:color w:val="auto"/>
          <w:sz w:val="28"/>
          <w:szCs w:val="28"/>
        </w:rPr>
        <w:t>从</w:t>
      </w:r>
      <w:r>
        <w:rPr>
          <w:rFonts w:ascii="Times New Roman" w:hAnsi="Times New Roman" w:eastAsia="仿宋" w:cs="Times New Roman"/>
          <w:bCs/>
          <w:color w:val="auto"/>
          <w:sz w:val="28"/>
          <w:szCs w:val="28"/>
        </w:rPr>
        <w:t>3</w:t>
      </w:r>
      <w:r>
        <w:rPr>
          <w:rFonts w:ascii="仿宋" w:hAnsi="仿宋" w:eastAsia="仿宋" w:cs="Times New Roman"/>
          <w:bCs/>
          <w:color w:val="auto"/>
          <w:sz w:val="28"/>
          <w:szCs w:val="28"/>
        </w:rPr>
        <w:t>月份开始，</w:t>
      </w:r>
      <w:r>
        <w:rPr>
          <w:rFonts w:ascii="Times New Roman" w:hAnsi="Times New Roman" w:eastAsia="仿宋" w:cs="Times New Roman"/>
          <w:bCs/>
          <w:color w:val="auto"/>
          <w:sz w:val="28"/>
          <w:szCs w:val="28"/>
        </w:rPr>
        <w:t>9</w:t>
      </w:r>
      <w:r>
        <w:rPr>
          <w:rFonts w:ascii="仿宋" w:hAnsi="仿宋" w:eastAsia="仿宋" w:cs="Times New Roman"/>
          <w:bCs/>
          <w:color w:val="auto"/>
          <w:sz w:val="28"/>
          <w:szCs w:val="28"/>
        </w:rPr>
        <w:t>月份结束</w:t>
      </w:r>
      <w:r>
        <w:rPr>
          <w:rFonts w:hint="eastAsia" w:ascii="仿宋" w:hAnsi="仿宋" w:eastAsia="仿宋" w:cs="Times New Roman"/>
          <w:bCs/>
          <w:color w:val="auto"/>
          <w:sz w:val="28"/>
          <w:szCs w:val="28"/>
        </w:rPr>
        <w:t>。</w:t>
      </w:r>
      <w:bookmarkEnd w:id="23"/>
    </w:p>
    <w:p>
      <w:pPr>
        <w:spacing w:line="360" w:lineRule="auto"/>
        <w:jc w:val="left"/>
        <w:outlineLvl w:val="2"/>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2.</w:t>
      </w:r>
      <w:r>
        <w:rPr>
          <w:rFonts w:hint="eastAsia" w:ascii="Times New Roman" w:hAnsi="Times New Roman" w:eastAsia="仿宋" w:cs="Times New Roman"/>
          <w:color w:val="auto"/>
          <w:kern w:val="0"/>
          <w:sz w:val="28"/>
          <w:szCs w:val="28"/>
        </w:rPr>
        <w:t>4</w:t>
      </w:r>
      <w:r>
        <w:rPr>
          <w:rFonts w:ascii="Times New Roman" w:hAnsi="Times New Roman" w:eastAsia="仿宋" w:cs="Times New Roman"/>
          <w:color w:val="auto"/>
          <w:kern w:val="0"/>
          <w:sz w:val="28"/>
          <w:szCs w:val="28"/>
        </w:rPr>
        <w:t>.2  蒸发</w:t>
      </w:r>
    </w:p>
    <w:p>
      <w:pPr>
        <w:spacing w:line="360" w:lineRule="auto"/>
        <w:ind w:firstLine="560" w:firstLineChars="200"/>
        <w:jc w:val="left"/>
        <w:rPr>
          <w:rFonts w:ascii="Times New Roman" w:hAnsi="Times New Roman" w:eastAsia="仿宋" w:cs="Times New Roman"/>
          <w:bCs/>
          <w:color w:val="auto"/>
          <w:sz w:val="28"/>
          <w:szCs w:val="28"/>
        </w:rPr>
      </w:pPr>
      <w:r>
        <w:rPr>
          <w:rFonts w:hint="eastAsia" w:ascii="Times New Roman" w:hAnsi="Times New Roman" w:eastAsia="仿宋" w:cs="Times New Roman"/>
          <w:bCs/>
          <w:color w:val="auto"/>
          <w:sz w:val="28"/>
          <w:szCs w:val="28"/>
        </w:rPr>
        <w:t>资源县</w:t>
      </w:r>
      <w:r>
        <w:rPr>
          <w:rFonts w:ascii="Times New Roman" w:hAnsi="Times New Roman" w:eastAsia="仿宋" w:cs="Times New Roman"/>
          <w:bCs/>
          <w:color w:val="auto"/>
          <w:sz w:val="28"/>
          <w:szCs w:val="28"/>
        </w:rPr>
        <w:t>年平均相对湿度83％。一年中不同时期的湿润程度除9月份属半湿润级外， 其它月份均属湿润级。历年平均蒸发量为1330.4毫米。蒸发量最大的年份是1966年，达1601.6毫米；蒸发量最少的年份是1957年， 仅1158毫米。每年以7月和8月的蒸发量最大，分别达192毫米和 178毫米；以1月和2月的蒸发量最少，分别为56.8毫米和54.3毫米。</w:t>
      </w:r>
      <w:r>
        <w:rPr>
          <w:rFonts w:hint="eastAsia" w:ascii="Times New Roman" w:hAnsi="Times New Roman" w:eastAsia="仿宋" w:cs="Times New Roman"/>
          <w:bCs/>
          <w:color w:val="auto"/>
          <w:sz w:val="28"/>
          <w:szCs w:val="28"/>
        </w:rPr>
        <w:t>资源县历年月</w:t>
      </w:r>
      <w:r>
        <w:rPr>
          <w:rFonts w:ascii="Times New Roman" w:hAnsi="Times New Roman" w:eastAsia="仿宋" w:cs="Times New Roman"/>
          <w:bCs/>
          <w:color w:val="auto"/>
          <w:sz w:val="28"/>
          <w:szCs w:val="28"/>
        </w:rPr>
        <w:t>平均蒸发量统计资料见表 2.</w:t>
      </w:r>
      <w:r>
        <w:rPr>
          <w:rFonts w:hint="eastAsia" w:ascii="Times New Roman" w:hAnsi="Times New Roman" w:eastAsia="仿宋" w:cs="Times New Roman"/>
          <w:bCs/>
          <w:color w:val="auto"/>
          <w:sz w:val="28"/>
          <w:szCs w:val="28"/>
        </w:rPr>
        <w:t>4</w:t>
      </w:r>
      <w:r>
        <w:rPr>
          <w:rFonts w:ascii="Times New Roman" w:hAnsi="Times New Roman" w:eastAsia="仿宋" w:cs="Times New Roman"/>
          <w:bCs/>
          <w:color w:val="auto"/>
          <w:sz w:val="28"/>
          <w:szCs w:val="28"/>
        </w:rPr>
        <w:t>.3。</w:t>
      </w:r>
    </w:p>
    <w:p>
      <w:pPr>
        <w:spacing w:line="360" w:lineRule="auto"/>
        <w:ind w:firstLine="562" w:firstLineChars="200"/>
        <w:rPr>
          <w:rFonts w:ascii="Times New Roman" w:hAnsi="Times New Roman" w:eastAsia="仿宋" w:cs="Times New Roman"/>
          <w:b/>
          <w:bCs/>
          <w:color w:val="auto"/>
          <w:sz w:val="28"/>
          <w:szCs w:val="28"/>
        </w:rPr>
      </w:pPr>
      <w:r>
        <w:rPr>
          <w:rFonts w:ascii="Times New Roman" w:hAnsi="Times New Roman" w:eastAsia="仿宋" w:cs="Times New Roman"/>
          <w:b/>
          <w:bCs/>
          <w:color w:val="auto"/>
          <w:sz w:val="28"/>
          <w:szCs w:val="28"/>
        </w:rPr>
        <w:t>表 2.</w:t>
      </w:r>
      <w:r>
        <w:rPr>
          <w:rFonts w:hint="eastAsia" w:ascii="Times New Roman" w:hAnsi="Times New Roman" w:eastAsia="仿宋" w:cs="Times New Roman"/>
          <w:b/>
          <w:bCs/>
          <w:color w:val="auto"/>
          <w:sz w:val="28"/>
          <w:szCs w:val="28"/>
        </w:rPr>
        <w:t>4</w:t>
      </w:r>
      <w:r>
        <w:rPr>
          <w:rFonts w:ascii="Times New Roman" w:hAnsi="Times New Roman" w:eastAsia="仿宋" w:cs="Times New Roman"/>
          <w:b/>
          <w:bCs/>
          <w:color w:val="auto"/>
          <w:sz w:val="28"/>
          <w:szCs w:val="28"/>
        </w:rPr>
        <w:t>.3</w:t>
      </w:r>
      <w:r>
        <w:rPr>
          <w:rFonts w:hint="eastAsia" w:ascii="Times New Roman" w:hAnsi="Times New Roman" w:eastAsia="仿宋" w:cs="Times New Roman"/>
          <w:b/>
          <w:bCs/>
          <w:color w:val="auto"/>
          <w:sz w:val="28"/>
          <w:szCs w:val="28"/>
        </w:rPr>
        <w:t xml:space="preserve"> </w:t>
      </w:r>
      <w:r>
        <w:rPr>
          <w:rFonts w:ascii="Times New Roman" w:hAnsi="Times New Roman" w:eastAsia="仿宋" w:cs="Times New Roman"/>
          <w:b/>
          <w:bCs/>
          <w:color w:val="auto"/>
          <w:sz w:val="28"/>
          <w:szCs w:val="28"/>
        </w:rPr>
        <w:tab/>
      </w:r>
      <w:r>
        <w:rPr>
          <w:rFonts w:hint="eastAsia" w:ascii="Times New Roman" w:hAnsi="Times New Roman" w:eastAsia="仿宋" w:cs="Times New Roman"/>
          <w:b/>
          <w:bCs/>
          <w:color w:val="auto"/>
          <w:sz w:val="28"/>
          <w:szCs w:val="28"/>
          <w:lang w:val="en-US" w:eastAsia="zh-CN"/>
        </w:rPr>
        <w:t xml:space="preserve">          </w:t>
      </w:r>
      <w:r>
        <w:rPr>
          <w:rFonts w:hint="eastAsia" w:ascii="Times New Roman" w:hAnsi="Times New Roman" w:eastAsia="仿宋" w:cs="Times New Roman"/>
          <w:b/>
          <w:bCs/>
          <w:color w:val="auto"/>
          <w:sz w:val="28"/>
          <w:szCs w:val="28"/>
        </w:rPr>
        <w:t>资源县历年</w:t>
      </w:r>
      <w:r>
        <w:rPr>
          <w:rFonts w:ascii="Times New Roman" w:hAnsi="Times New Roman" w:eastAsia="仿宋" w:cs="Times New Roman"/>
          <w:b/>
          <w:bCs/>
          <w:color w:val="auto"/>
          <w:sz w:val="28"/>
          <w:szCs w:val="28"/>
        </w:rPr>
        <w:t>月平均蒸发量统计表</w:t>
      </w:r>
      <w:r>
        <w:rPr>
          <w:rFonts w:ascii="Times New Roman" w:hAnsi="Times New Roman" w:eastAsia="仿宋" w:cs="Times New Roman"/>
          <w:b/>
          <w:bCs/>
          <w:color w:val="auto"/>
          <w:sz w:val="28"/>
          <w:szCs w:val="28"/>
        </w:rPr>
        <w:tab/>
      </w:r>
      <w:r>
        <w:rPr>
          <w:rFonts w:ascii="Times New Roman" w:hAnsi="Times New Roman" w:eastAsia="仿宋" w:cs="Times New Roman"/>
          <w:b/>
          <w:bCs/>
          <w:color w:val="auto"/>
          <w:sz w:val="28"/>
          <w:szCs w:val="28"/>
        </w:rPr>
        <w:t>单位：mm</w:t>
      </w:r>
    </w:p>
    <w:tbl>
      <w:tblPr>
        <w:tblStyle w:val="15"/>
        <w:tblW w:w="4996"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839"/>
        <w:gridCol w:w="578"/>
        <w:gridCol w:w="578"/>
        <w:gridCol w:w="560"/>
        <w:gridCol w:w="658"/>
        <w:gridCol w:w="658"/>
        <w:gridCol w:w="658"/>
        <w:gridCol w:w="658"/>
        <w:gridCol w:w="658"/>
        <w:gridCol w:w="658"/>
        <w:gridCol w:w="579"/>
        <w:gridCol w:w="619"/>
        <w:gridCol w:w="61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73" w:hRule="atLeast"/>
        </w:trPr>
        <w:tc>
          <w:tcPr>
            <w:tcW w:w="503" w:type="pct"/>
            <w:shd w:val="clear" w:color="auto" w:fill="auto"/>
            <w:vAlign w:val="bottom"/>
          </w:tcPr>
          <w:p>
            <w:pPr>
              <w:spacing w:line="380" w:lineRule="exact"/>
              <w:jc w:val="center"/>
              <w:rPr>
                <w:rFonts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蒸发量</w:t>
            </w:r>
          </w:p>
        </w:tc>
        <w:tc>
          <w:tcPr>
            <w:tcW w:w="347" w:type="pct"/>
            <w:shd w:val="clear" w:color="auto" w:fill="auto"/>
            <w:vAlign w:val="bottom"/>
          </w:tcPr>
          <w:p>
            <w:pPr>
              <w:spacing w:line="380" w:lineRule="exact"/>
              <w:jc w:val="center"/>
              <w:rPr>
                <w:rFonts w:ascii="Times New Roman" w:hAnsi="Times New Roman" w:eastAsia="仿宋" w:cs="Times New Roman"/>
                <w:color w:val="auto"/>
                <w:w w:val="97"/>
                <w:kern w:val="0"/>
                <w:sz w:val="24"/>
                <w:szCs w:val="24"/>
              </w:rPr>
            </w:pPr>
            <w:r>
              <w:rPr>
                <w:rFonts w:ascii="Times New Roman" w:hAnsi="Times New Roman" w:eastAsia="仿宋" w:cs="Times New Roman"/>
                <w:color w:val="auto"/>
                <w:w w:val="97"/>
                <w:kern w:val="0"/>
                <w:sz w:val="24"/>
                <w:szCs w:val="24"/>
              </w:rPr>
              <w:t>1 月</w:t>
            </w:r>
          </w:p>
        </w:tc>
        <w:tc>
          <w:tcPr>
            <w:tcW w:w="347" w:type="pct"/>
            <w:shd w:val="clear" w:color="auto" w:fill="auto"/>
            <w:vAlign w:val="bottom"/>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2 月</w:t>
            </w:r>
          </w:p>
        </w:tc>
        <w:tc>
          <w:tcPr>
            <w:tcW w:w="335" w:type="pct"/>
            <w:shd w:val="clear" w:color="auto" w:fill="auto"/>
            <w:vAlign w:val="bottom"/>
          </w:tcPr>
          <w:p>
            <w:pPr>
              <w:spacing w:line="380" w:lineRule="exact"/>
              <w:jc w:val="center"/>
              <w:rPr>
                <w:rFonts w:ascii="Times New Roman" w:hAnsi="Times New Roman" w:eastAsia="仿宋" w:cs="Times New Roman"/>
                <w:color w:val="auto"/>
                <w:w w:val="97"/>
                <w:kern w:val="0"/>
                <w:sz w:val="24"/>
                <w:szCs w:val="24"/>
              </w:rPr>
            </w:pPr>
            <w:r>
              <w:rPr>
                <w:rFonts w:ascii="Times New Roman" w:hAnsi="Times New Roman" w:eastAsia="仿宋" w:cs="Times New Roman"/>
                <w:color w:val="auto"/>
                <w:w w:val="97"/>
                <w:kern w:val="0"/>
                <w:sz w:val="24"/>
                <w:szCs w:val="24"/>
              </w:rPr>
              <w:t>3 月</w:t>
            </w:r>
          </w:p>
        </w:tc>
        <w:tc>
          <w:tcPr>
            <w:tcW w:w="395" w:type="pct"/>
            <w:shd w:val="clear" w:color="auto" w:fill="auto"/>
            <w:vAlign w:val="bottom"/>
          </w:tcPr>
          <w:p>
            <w:pPr>
              <w:spacing w:line="380" w:lineRule="exact"/>
              <w:jc w:val="center"/>
              <w:rPr>
                <w:rFonts w:ascii="Times New Roman" w:hAnsi="Times New Roman" w:eastAsia="仿宋" w:cs="Times New Roman"/>
                <w:color w:val="auto"/>
                <w:w w:val="97"/>
                <w:kern w:val="0"/>
                <w:sz w:val="24"/>
                <w:szCs w:val="24"/>
              </w:rPr>
            </w:pPr>
            <w:r>
              <w:rPr>
                <w:rFonts w:ascii="Times New Roman" w:hAnsi="Times New Roman" w:eastAsia="仿宋" w:cs="Times New Roman"/>
                <w:color w:val="auto"/>
                <w:w w:val="97"/>
                <w:kern w:val="0"/>
                <w:sz w:val="24"/>
                <w:szCs w:val="24"/>
              </w:rPr>
              <w:t>4 月</w:t>
            </w:r>
          </w:p>
        </w:tc>
        <w:tc>
          <w:tcPr>
            <w:tcW w:w="395" w:type="pct"/>
            <w:shd w:val="clear" w:color="auto" w:fill="auto"/>
            <w:vAlign w:val="bottom"/>
          </w:tcPr>
          <w:p>
            <w:pPr>
              <w:spacing w:line="380" w:lineRule="exact"/>
              <w:jc w:val="center"/>
              <w:rPr>
                <w:rFonts w:ascii="Times New Roman" w:hAnsi="Times New Roman" w:eastAsia="仿宋" w:cs="Times New Roman"/>
                <w:color w:val="auto"/>
                <w:w w:val="97"/>
                <w:kern w:val="0"/>
                <w:sz w:val="24"/>
                <w:szCs w:val="24"/>
              </w:rPr>
            </w:pPr>
            <w:r>
              <w:rPr>
                <w:rFonts w:ascii="Times New Roman" w:hAnsi="Times New Roman" w:eastAsia="仿宋" w:cs="Times New Roman"/>
                <w:color w:val="auto"/>
                <w:w w:val="97"/>
                <w:kern w:val="0"/>
                <w:sz w:val="24"/>
                <w:szCs w:val="24"/>
              </w:rPr>
              <w:t>5 月</w:t>
            </w:r>
          </w:p>
        </w:tc>
        <w:tc>
          <w:tcPr>
            <w:tcW w:w="395" w:type="pct"/>
            <w:shd w:val="clear" w:color="auto" w:fill="auto"/>
            <w:vAlign w:val="bottom"/>
          </w:tcPr>
          <w:p>
            <w:pPr>
              <w:spacing w:line="380" w:lineRule="exact"/>
              <w:jc w:val="center"/>
              <w:rPr>
                <w:rFonts w:ascii="Times New Roman" w:hAnsi="Times New Roman" w:eastAsia="仿宋" w:cs="Times New Roman"/>
                <w:color w:val="auto"/>
                <w:w w:val="97"/>
                <w:kern w:val="0"/>
                <w:sz w:val="24"/>
                <w:szCs w:val="24"/>
              </w:rPr>
            </w:pPr>
            <w:r>
              <w:rPr>
                <w:rFonts w:ascii="Times New Roman" w:hAnsi="Times New Roman" w:eastAsia="仿宋" w:cs="Times New Roman"/>
                <w:color w:val="auto"/>
                <w:w w:val="97"/>
                <w:kern w:val="0"/>
                <w:sz w:val="24"/>
                <w:szCs w:val="24"/>
              </w:rPr>
              <w:t>6 月</w:t>
            </w:r>
          </w:p>
        </w:tc>
        <w:tc>
          <w:tcPr>
            <w:tcW w:w="395" w:type="pct"/>
            <w:shd w:val="clear" w:color="auto" w:fill="auto"/>
            <w:vAlign w:val="bottom"/>
          </w:tcPr>
          <w:p>
            <w:pPr>
              <w:spacing w:line="380" w:lineRule="exact"/>
              <w:jc w:val="center"/>
              <w:rPr>
                <w:rFonts w:ascii="Times New Roman" w:hAnsi="Times New Roman" w:eastAsia="仿宋" w:cs="Times New Roman"/>
                <w:color w:val="auto"/>
                <w:w w:val="97"/>
                <w:kern w:val="0"/>
                <w:sz w:val="24"/>
                <w:szCs w:val="24"/>
              </w:rPr>
            </w:pPr>
            <w:r>
              <w:rPr>
                <w:rFonts w:ascii="Times New Roman" w:hAnsi="Times New Roman" w:eastAsia="仿宋" w:cs="Times New Roman"/>
                <w:color w:val="auto"/>
                <w:w w:val="97"/>
                <w:kern w:val="0"/>
                <w:sz w:val="24"/>
                <w:szCs w:val="24"/>
              </w:rPr>
              <w:t>7 月</w:t>
            </w:r>
          </w:p>
        </w:tc>
        <w:tc>
          <w:tcPr>
            <w:tcW w:w="395" w:type="pct"/>
            <w:shd w:val="clear" w:color="auto" w:fill="auto"/>
            <w:vAlign w:val="bottom"/>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8 月</w:t>
            </w:r>
          </w:p>
        </w:tc>
        <w:tc>
          <w:tcPr>
            <w:tcW w:w="395" w:type="pct"/>
            <w:shd w:val="clear" w:color="auto" w:fill="auto"/>
            <w:vAlign w:val="bottom"/>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9 月</w:t>
            </w:r>
          </w:p>
        </w:tc>
        <w:tc>
          <w:tcPr>
            <w:tcW w:w="347" w:type="pct"/>
            <w:shd w:val="clear" w:color="auto" w:fill="auto"/>
            <w:vAlign w:val="bottom"/>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10 月</w:t>
            </w:r>
          </w:p>
        </w:tc>
        <w:tc>
          <w:tcPr>
            <w:tcW w:w="371" w:type="pct"/>
            <w:shd w:val="clear" w:color="auto" w:fill="auto"/>
            <w:vAlign w:val="bottom"/>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11 月</w:t>
            </w:r>
          </w:p>
        </w:tc>
        <w:tc>
          <w:tcPr>
            <w:tcW w:w="371" w:type="pct"/>
            <w:shd w:val="clear" w:color="auto" w:fill="auto"/>
            <w:vAlign w:val="bottom"/>
          </w:tcPr>
          <w:p>
            <w:pPr>
              <w:spacing w:line="380" w:lineRule="exact"/>
              <w:jc w:val="center"/>
              <w:rPr>
                <w:rFonts w:ascii="Times New Roman" w:hAnsi="Times New Roman" w:eastAsia="仿宋" w:cs="Times New Roman"/>
                <w:color w:val="auto"/>
                <w:w w:val="97"/>
                <w:kern w:val="0"/>
                <w:sz w:val="24"/>
                <w:szCs w:val="24"/>
              </w:rPr>
            </w:pPr>
            <w:r>
              <w:rPr>
                <w:rFonts w:ascii="Times New Roman" w:hAnsi="Times New Roman" w:eastAsia="仿宋" w:cs="Times New Roman"/>
                <w:color w:val="auto"/>
                <w:w w:val="97"/>
                <w:kern w:val="0"/>
                <w:sz w:val="24"/>
                <w:szCs w:val="24"/>
              </w:rPr>
              <w:t>12 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5" w:hRule="atLeast"/>
        </w:trPr>
        <w:tc>
          <w:tcPr>
            <w:tcW w:w="503" w:type="pct"/>
            <w:shd w:val="clear" w:color="auto" w:fill="auto"/>
            <w:vAlign w:val="bottom"/>
          </w:tcPr>
          <w:p>
            <w:pPr>
              <w:spacing w:line="380" w:lineRule="exact"/>
              <w:jc w:val="center"/>
              <w:rPr>
                <w:rFonts w:hint="eastAsia"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平均</w:t>
            </w:r>
          </w:p>
        </w:tc>
        <w:tc>
          <w:tcPr>
            <w:tcW w:w="347"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56.8</w:t>
            </w:r>
          </w:p>
        </w:tc>
        <w:tc>
          <w:tcPr>
            <w:tcW w:w="347"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54.3</w:t>
            </w:r>
          </w:p>
        </w:tc>
        <w:tc>
          <w:tcPr>
            <w:tcW w:w="335"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75.6</w:t>
            </w:r>
          </w:p>
        </w:tc>
        <w:tc>
          <w:tcPr>
            <w:tcW w:w="395"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97.4</w:t>
            </w:r>
          </w:p>
        </w:tc>
        <w:tc>
          <w:tcPr>
            <w:tcW w:w="395"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123.5</w:t>
            </w:r>
          </w:p>
        </w:tc>
        <w:tc>
          <w:tcPr>
            <w:tcW w:w="395"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137.1</w:t>
            </w:r>
          </w:p>
        </w:tc>
        <w:tc>
          <w:tcPr>
            <w:tcW w:w="395"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192</w:t>
            </w:r>
          </w:p>
        </w:tc>
        <w:tc>
          <w:tcPr>
            <w:tcW w:w="395"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178</w:t>
            </w:r>
          </w:p>
        </w:tc>
        <w:tc>
          <w:tcPr>
            <w:tcW w:w="395"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154.2</w:t>
            </w:r>
          </w:p>
        </w:tc>
        <w:tc>
          <w:tcPr>
            <w:tcW w:w="347"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117.7</w:t>
            </w:r>
          </w:p>
        </w:tc>
        <w:tc>
          <w:tcPr>
            <w:tcW w:w="371"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77.5</w:t>
            </w:r>
          </w:p>
        </w:tc>
        <w:tc>
          <w:tcPr>
            <w:tcW w:w="371"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65.5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5" w:hRule="atLeast"/>
        </w:trPr>
        <w:tc>
          <w:tcPr>
            <w:tcW w:w="503" w:type="pct"/>
            <w:shd w:val="clear" w:color="auto" w:fill="auto"/>
            <w:vAlign w:val="bottom"/>
          </w:tcPr>
          <w:p>
            <w:pPr>
              <w:spacing w:line="380" w:lineRule="exact"/>
              <w:jc w:val="center"/>
              <w:rPr>
                <w:rFonts w:hint="eastAsia"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最大</w:t>
            </w:r>
          </w:p>
        </w:tc>
        <w:tc>
          <w:tcPr>
            <w:tcW w:w="347"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9</w:t>
            </w:r>
            <w:r>
              <w:rPr>
                <w:rFonts w:ascii="Times New Roman" w:hAnsi="Times New Roman" w:eastAsia="仿宋" w:cs="Times New Roman"/>
                <w:color w:val="auto"/>
                <w:kern w:val="0"/>
                <w:sz w:val="24"/>
                <w:szCs w:val="24"/>
              </w:rPr>
              <w:t>5.6</w:t>
            </w:r>
          </w:p>
        </w:tc>
        <w:tc>
          <w:tcPr>
            <w:tcW w:w="347"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9</w:t>
            </w:r>
            <w:r>
              <w:rPr>
                <w:rFonts w:ascii="Times New Roman" w:hAnsi="Times New Roman" w:eastAsia="仿宋" w:cs="Times New Roman"/>
                <w:color w:val="auto"/>
                <w:kern w:val="0"/>
                <w:sz w:val="24"/>
                <w:szCs w:val="24"/>
              </w:rPr>
              <w:t>1.4</w:t>
            </w:r>
          </w:p>
        </w:tc>
        <w:tc>
          <w:tcPr>
            <w:tcW w:w="335"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1</w:t>
            </w:r>
            <w:r>
              <w:rPr>
                <w:rFonts w:ascii="Times New Roman" w:hAnsi="Times New Roman" w:eastAsia="仿宋" w:cs="Times New Roman"/>
                <w:color w:val="auto"/>
                <w:kern w:val="0"/>
                <w:sz w:val="24"/>
                <w:szCs w:val="24"/>
              </w:rPr>
              <w:t>12.5</w:t>
            </w:r>
          </w:p>
        </w:tc>
        <w:tc>
          <w:tcPr>
            <w:tcW w:w="395"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1</w:t>
            </w:r>
            <w:r>
              <w:rPr>
                <w:rFonts w:ascii="Times New Roman" w:hAnsi="Times New Roman" w:eastAsia="仿宋" w:cs="Times New Roman"/>
                <w:color w:val="auto"/>
                <w:kern w:val="0"/>
                <w:sz w:val="24"/>
                <w:szCs w:val="24"/>
              </w:rPr>
              <w:t>37.5</w:t>
            </w:r>
          </w:p>
        </w:tc>
        <w:tc>
          <w:tcPr>
            <w:tcW w:w="395"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173.5</w:t>
            </w:r>
          </w:p>
        </w:tc>
        <w:tc>
          <w:tcPr>
            <w:tcW w:w="395"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168.5</w:t>
            </w:r>
          </w:p>
        </w:tc>
        <w:tc>
          <w:tcPr>
            <w:tcW w:w="395"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254.1</w:t>
            </w:r>
          </w:p>
        </w:tc>
        <w:tc>
          <w:tcPr>
            <w:tcW w:w="395"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285.5</w:t>
            </w:r>
          </w:p>
        </w:tc>
        <w:tc>
          <w:tcPr>
            <w:tcW w:w="395"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234.2</w:t>
            </w:r>
          </w:p>
        </w:tc>
        <w:tc>
          <w:tcPr>
            <w:tcW w:w="347"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193.6</w:t>
            </w:r>
          </w:p>
        </w:tc>
        <w:tc>
          <w:tcPr>
            <w:tcW w:w="371"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125.7</w:t>
            </w:r>
          </w:p>
        </w:tc>
        <w:tc>
          <w:tcPr>
            <w:tcW w:w="371"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1</w:t>
            </w:r>
            <w:r>
              <w:rPr>
                <w:rFonts w:ascii="Times New Roman" w:hAnsi="Times New Roman" w:eastAsia="仿宋" w:cs="Times New Roman"/>
                <w:color w:val="auto"/>
                <w:kern w:val="0"/>
                <w:sz w:val="24"/>
                <w:szCs w:val="24"/>
              </w:rPr>
              <w:t>10.1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5" w:hRule="atLeast"/>
        </w:trPr>
        <w:tc>
          <w:tcPr>
            <w:tcW w:w="503" w:type="pct"/>
            <w:shd w:val="clear" w:color="auto" w:fill="auto"/>
            <w:vAlign w:val="bottom"/>
          </w:tcPr>
          <w:p>
            <w:pPr>
              <w:spacing w:line="380" w:lineRule="exact"/>
              <w:jc w:val="center"/>
              <w:rPr>
                <w:rFonts w:hint="eastAsia"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最小</w:t>
            </w:r>
          </w:p>
        </w:tc>
        <w:tc>
          <w:tcPr>
            <w:tcW w:w="347"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3</w:t>
            </w:r>
            <w:r>
              <w:rPr>
                <w:rFonts w:ascii="Times New Roman" w:hAnsi="Times New Roman" w:eastAsia="仿宋" w:cs="Times New Roman"/>
                <w:color w:val="auto"/>
                <w:kern w:val="0"/>
                <w:sz w:val="24"/>
                <w:szCs w:val="24"/>
              </w:rPr>
              <w:t>4.5</w:t>
            </w:r>
          </w:p>
        </w:tc>
        <w:tc>
          <w:tcPr>
            <w:tcW w:w="347"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2</w:t>
            </w:r>
            <w:r>
              <w:rPr>
                <w:rFonts w:ascii="Times New Roman" w:hAnsi="Times New Roman" w:eastAsia="仿宋" w:cs="Times New Roman"/>
                <w:color w:val="auto"/>
                <w:kern w:val="0"/>
                <w:sz w:val="24"/>
                <w:szCs w:val="24"/>
              </w:rPr>
              <w:t>1.8</w:t>
            </w:r>
          </w:p>
        </w:tc>
        <w:tc>
          <w:tcPr>
            <w:tcW w:w="335"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4</w:t>
            </w:r>
            <w:r>
              <w:rPr>
                <w:rFonts w:ascii="Times New Roman" w:hAnsi="Times New Roman" w:eastAsia="仿宋" w:cs="Times New Roman"/>
                <w:color w:val="auto"/>
                <w:kern w:val="0"/>
                <w:sz w:val="24"/>
                <w:szCs w:val="24"/>
              </w:rPr>
              <w:t>1.8</w:t>
            </w:r>
          </w:p>
        </w:tc>
        <w:tc>
          <w:tcPr>
            <w:tcW w:w="395"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9</w:t>
            </w:r>
            <w:r>
              <w:rPr>
                <w:rFonts w:ascii="Times New Roman" w:hAnsi="Times New Roman" w:eastAsia="仿宋" w:cs="Times New Roman"/>
                <w:color w:val="auto"/>
                <w:kern w:val="0"/>
                <w:sz w:val="24"/>
                <w:szCs w:val="24"/>
              </w:rPr>
              <w:t>0.6</w:t>
            </w:r>
          </w:p>
        </w:tc>
        <w:tc>
          <w:tcPr>
            <w:tcW w:w="395"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6</w:t>
            </w:r>
            <w:r>
              <w:rPr>
                <w:rFonts w:ascii="Times New Roman" w:hAnsi="Times New Roman" w:eastAsia="仿宋" w:cs="Times New Roman"/>
                <w:color w:val="auto"/>
                <w:kern w:val="0"/>
                <w:sz w:val="24"/>
                <w:szCs w:val="24"/>
              </w:rPr>
              <w:t>4.9</w:t>
            </w:r>
          </w:p>
        </w:tc>
        <w:tc>
          <w:tcPr>
            <w:tcW w:w="395"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8</w:t>
            </w:r>
            <w:r>
              <w:rPr>
                <w:rFonts w:ascii="Times New Roman" w:hAnsi="Times New Roman" w:eastAsia="仿宋" w:cs="Times New Roman"/>
                <w:color w:val="auto"/>
                <w:kern w:val="0"/>
                <w:sz w:val="24"/>
                <w:szCs w:val="24"/>
              </w:rPr>
              <w:t>7.6</w:t>
            </w:r>
          </w:p>
        </w:tc>
        <w:tc>
          <w:tcPr>
            <w:tcW w:w="395"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1</w:t>
            </w:r>
            <w:r>
              <w:rPr>
                <w:rFonts w:ascii="Times New Roman" w:hAnsi="Times New Roman" w:eastAsia="仿宋" w:cs="Times New Roman"/>
                <w:color w:val="auto"/>
                <w:kern w:val="0"/>
                <w:sz w:val="24"/>
                <w:szCs w:val="24"/>
              </w:rPr>
              <w:t>33.9</w:t>
            </w:r>
          </w:p>
        </w:tc>
        <w:tc>
          <w:tcPr>
            <w:tcW w:w="395"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1</w:t>
            </w:r>
            <w:r>
              <w:rPr>
                <w:rFonts w:ascii="Times New Roman" w:hAnsi="Times New Roman" w:eastAsia="仿宋" w:cs="Times New Roman"/>
                <w:color w:val="auto"/>
                <w:kern w:val="0"/>
                <w:sz w:val="24"/>
                <w:szCs w:val="24"/>
              </w:rPr>
              <w:t>47.7</w:t>
            </w:r>
          </w:p>
        </w:tc>
        <w:tc>
          <w:tcPr>
            <w:tcW w:w="395"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1</w:t>
            </w:r>
            <w:r>
              <w:rPr>
                <w:rFonts w:ascii="Times New Roman" w:hAnsi="Times New Roman" w:eastAsia="仿宋" w:cs="Times New Roman"/>
                <w:color w:val="auto"/>
                <w:kern w:val="0"/>
                <w:sz w:val="24"/>
                <w:szCs w:val="24"/>
              </w:rPr>
              <w:t>09.8</w:t>
            </w:r>
          </w:p>
        </w:tc>
        <w:tc>
          <w:tcPr>
            <w:tcW w:w="347"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7</w:t>
            </w:r>
            <w:r>
              <w:rPr>
                <w:rFonts w:ascii="Times New Roman" w:hAnsi="Times New Roman" w:eastAsia="仿宋" w:cs="Times New Roman"/>
                <w:color w:val="auto"/>
                <w:kern w:val="0"/>
                <w:sz w:val="24"/>
                <w:szCs w:val="24"/>
              </w:rPr>
              <w:t>7.4</w:t>
            </w:r>
          </w:p>
        </w:tc>
        <w:tc>
          <w:tcPr>
            <w:tcW w:w="371"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4</w:t>
            </w:r>
            <w:r>
              <w:rPr>
                <w:rFonts w:ascii="Times New Roman" w:hAnsi="Times New Roman" w:eastAsia="仿宋" w:cs="Times New Roman"/>
                <w:color w:val="auto"/>
                <w:kern w:val="0"/>
                <w:sz w:val="24"/>
                <w:szCs w:val="24"/>
              </w:rPr>
              <w:t>5.8</w:t>
            </w:r>
          </w:p>
        </w:tc>
        <w:tc>
          <w:tcPr>
            <w:tcW w:w="371" w:type="pc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3</w:t>
            </w:r>
            <w:r>
              <w:rPr>
                <w:rFonts w:ascii="Times New Roman" w:hAnsi="Times New Roman" w:eastAsia="仿宋" w:cs="Times New Roman"/>
                <w:color w:val="auto"/>
                <w:kern w:val="0"/>
                <w:sz w:val="24"/>
                <w:szCs w:val="24"/>
              </w:rPr>
              <w:t>0.1</w:t>
            </w:r>
          </w:p>
        </w:tc>
      </w:tr>
    </w:tbl>
    <w:p>
      <w:pPr>
        <w:spacing w:line="360" w:lineRule="auto"/>
        <w:jc w:val="left"/>
        <w:outlineLvl w:val="2"/>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2.</w:t>
      </w:r>
      <w:r>
        <w:rPr>
          <w:rFonts w:hint="eastAsia" w:ascii="Times New Roman" w:hAnsi="Times New Roman" w:eastAsia="仿宋" w:cs="Times New Roman"/>
          <w:color w:val="auto"/>
          <w:kern w:val="0"/>
          <w:sz w:val="28"/>
          <w:szCs w:val="28"/>
        </w:rPr>
        <w:t>4</w:t>
      </w:r>
      <w:r>
        <w:rPr>
          <w:rFonts w:ascii="Times New Roman" w:hAnsi="Times New Roman" w:eastAsia="仿宋" w:cs="Times New Roman"/>
          <w:color w:val="auto"/>
          <w:kern w:val="0"/>
          <w:sz w:val="28"/>
          <w:szCs w:val="28"/>
        </w:rPr>
        <w:t>.3  径流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bCs/>
          <w:color w:val="auto"/>
          <w:sz w:val="28"/>
          <w:szCs w:val="28"/>
        </w:rPr>
      </w:pPr>
      <w:r>
        <w:rPr>
          <w:rFonts w:hint="eastAsia" w:asciiTheme="minorEastAsia" w:hAnsiTheme="minorEastAsia" w:eastAsiaTheme="minorEastAsia" w:cstheme="minorEastAsia"/>
          <w:bCs/>
          <w:color w:val="auto"/>
          <w:sz w:val="28"/>
          <w:szCs w:val="28"/>
        </w:rPr>
        <w:t>资源县河流径流主要来源于降水，径流年内变化及地区分布与降水的变化趋势一致。流域内干支流建有众多水库，对径流年内分配有明显的调节作用，特别是枯水季径流。本流域植被良好周围高山植被茂密，荒地多为荒草、灌木众生，溶岩石山终年草木茂盛，这种植被条件对径流具有一定的调蓄作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bCs/>
          <w:color w:val="auto"/>
          <w:sz w:val="28"/>
          <w:szCs w:val="28"/>
        </w:rPr>
      </w:pPr>
      <w:r>
        <w:rPr>
          <w:rFonts w:hint="eastAsia" w:asciiTheme="minorEastAsia" w:hAnsiTheme="minorEastAsia" w:eastAsiaTheme="minorEastAsia" w:cstheme="minorEastAsia"/>
          <w:bCs/>
          <w:color w:val="auto"/>
          <w:sz w:val="28"/>
          <w:szCs w:val="28"/>
        </w:rPr>
        <w:t>对于汛期与非汛期分配而言，汛期径流量约占全年径流量的75～85％左右，多年平均月分配方面，不同地区不同站点的多年平均月分配情况有所不同，但总的而言，流域最小月径流主要发生在1月、2月或12月，最大月径流主要发生在7月、8月，连续最大四个月径流约占全年总径流量的65～70％。</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bCs/>
          <w:color w:val="auto"/>
          <w:sz w:val="28"/>
          <w:szCs w:val="28"/>
        </w:rPr>
      </w:pPr>
      <w:r>
        <w:rPr>
          <w:rFonts w:hint="eastAsia" w:asciiTheme="minorEastAsia" w:hAnsiTheme="minorEastAsia" w:eastAsiaTheme="minorEastAsia" w:cstheme="minorEastAsia"/>
          <w:bCs/>
          <w:color w:val="auto"/>
          <w:sz w:val="28"/>
          <w:szCs w:val="28"/>
        </w:rPr>
        <w:t>资源县多年平均径流量26.3亿m</w:t>
      </w:r>
      <w:r>
        <w:rPr>
          <w:rFonts w:hint="eastAsia" w:asciiTheme="minorEastAsia" w:hAnsiTheme="minorEastAsia" w:eastAsiaTheme="minorEastAsia" w:cstheme="minorEastAsia"/>
          <w:bCs/>
          <w:color w:val="auto"/>
          <w:sz w:val="28"/>
          <w:szCs w:val="28"/>
          <w:vertAlign w:val="superscript"/>
        </w:rPr>
        <w:t>3</w:t>
      </w:r>
      <w:r>
        <w:rPr>
          <w:rFonts w:hint="eastAsia" w:asciiTheme="minorEastAsia" w:hAnsiTheme="minorEastAsia" w:eastAsiaTheme="minorEastAsia" w:cstheme="minorEastAsia"/>
          <w:bCs/>
          <w:color w:val="auto"/>
          <w:sz w:val="28"/>
          <w:szCs w:val="28"/>
        </w:rPr>
        <w:t>， 3 月～9月为丰水期，主要为降水补给，占全年水量的 76.2%，11 月～翌年 2月为枯水期，主要由地下水补给，占全年水量的 23.8%。</w:t>
      </w:r>
    </w:p>
    <w:p>
      <w:pPr>
        <w:pStyle w:val="5"/>
        <w:bidi w:val="0"/>
        <w:rPr>
          <w:rFonts w:cs="Times New Roman"/>
          <w:color w:val="auto"/>
        </w:rPr>
      </w:pPr>
      <w:bookmarkStart w:id="24" w:name="_Toc23086"/>
      <w:bookmarkStart w:id="25" w:name="_Toc29050"/>
      <w:r>
        <w:rPr>
          <w:rFonts w:cs="Times New Roman"/>
          <w:color w:val="auto"/>
        </w:rPr>
        <w:t>2.</w:t>
      </w:r>
      <w:r>
        <w:rPr>
          <w:rFonts w:hint="eastAsia" w:cs="Times New Roman"/>
          <w:color w:val="auto"/>
        </w:rPr>
        <w:t>5</w:t>
      </w:r>
      <w:r>
        <w:rPr>
          <w:rFonts w:cs="Times New Roman"/>
          <w:color w:val="auto"/>
        </w:rPr>
        <w:t xml:space="preserve">  水功能区划</w:t>
      </w:r>
      <w:bookmarkEnd w:id="24"/>
      <w:bookmarkEnd w:id="25"/>
    </w:p>
    <w:p>
      <w:pPr>
        <w:keepNext w:val="0"/>
        <w:keepLines w:val="0"/>
        <w:pageBreakBefore w:val="0"/>
        <w:kinsoku/>
        <w:wordWrap/>
        <w:overflowPunct/>
        <w:topLinePunct w:val="0"/>
        <w:autoSpaceDE/>
        <w:autoSpaceDN/>
        <w:bidi w:val="0"/>
        <w:adjustRightInd/>
        <w:snapToGrid/>
        <w:spacing w:line="360" w:lineRule="auto"/>
        <w:ind w:firstLine="561"/>
        <w:textAlignment w:val="auto"/>
        <w:rPr>
          <w:bCs w:val="0"/>
          <w:smallCaps w:val="0"/>
        </w:rPr>
      </w:pPr>
      <w:r>
        <w:rPr>
          <w:smallCaps w:val="0"/>
        </w:rPr>
        <w:t>（1）水功能区划</w:t>
      </w:r>
    </w:p>
    <w:p>
      <w:pPr>
        <w:keepNext w:val="0"/>
        <w:keepLines w:val="0"/>
        <w:pageBreakBefore w:val="0"/>
        <w:kinsoku/>
        <w:wordWrap/>
        <w:overflowPunct/>
        <w:topLinePunct w:val="0"/>
        <w:autoSpaceDE/>
        <w:autoSpaceDN/>
        <w:bidi w:val="0"/>
        <w:adjustRightInd/>
        <w:snapToGrid/>
        <w:spacing w:line="360" w:lineRule="auto"/>
        <w:ind w:firstLine="561"/>
        <w:textAlignment w:val="auto"/>
        <w:rPr>
          <w:rFonts w:hint="eastAsia"/>
          <w:smallCaps w:val="0"/>
        </w:rPr>
      </w:pPr>
      <w:r>
        <w:rPr>
          <w:smallCaps w:val="0"/>
        </w:rPr>
        <w:t>根据《</w:t>
      </w:r>
      <w:r>
        <w:rPr>
          <w:rFonts w:hint="eastAsia"/>
          <w:smallCaps w:val="0"/>
        </w:rPr>
        <w:t>国家重要江河湖泊水功能区划</w:t>
      </w:r>
      <w:r>
        <w:rPr>
          <w:smallCaps w:val="0"/>
        </w:rPr>
        <w:t>》</w:t>
      </w:r>
      <w:r>
        <w:rPr>
          <w:rFonts w:hint="eastAsia"/>
          <w:smallCaps w:val="0"/>
        </w:rPr>
        <w:t>，项目所在</w:t>
      </w:r>
      <w:r>
        <w:rPr>
          <w:smallCaps w:val="0"/>
        </w:rPr>
        <w:t>的水功能区为资源源头水保护区</w:t>
      </w:r>
      <w:r>
        <w:rPr>
          <w:rFonts w:hint="eastAsia"/>
          <w:smallCaps w:val="0"/>
        </w:rPr>
        <w:t>，起始断面为源头，终止断面为中峰镇车田湾村，长度35km，水质类型为</w:t>
      </w:r>
      <w:r>
        <w:rPr>
          <w:smallCaps w:val="0"/>
        </w:rPr>
        <w:t>Ⅱ</w:t>
      </w:r>
      <w:r>
        <w:rPr>
          <w:rFonts w:hint="eastAsia"/>
          <w:smallCaps w:val="0"/>
        </w:rPr>
        <w:t>类。</w:t>
      </w:r>
    </w:p>
    <w:p>
      <w:pPr>
        <w:keepNext w:val="0"/>
        <w:keepLines w:val="0"/>
        <w:pageBreakBefore w:val="0"/>
        <w:kinsoku/>
        <w:wordWrap/>
        <w:overflowPunct/>
        <w:topLinePunct w:val="0"/>
        <w:autoSpaceDE/>
        <w:autoSpaceDN/>
        <w:bidi w:val="0"/>
        <w:adjustRightInd/>
        <w:snapToGrid/>
        <w:spacing w:line="360" w:lineRule="auto"/>
        <w:ind w:firstLine="561"/>
        <w:textAlignment w:val="auto"/>
        <w:rPr>
          <w:smallCaps w:val="0"/>
        </w:rPr>
      </w:pPr>
      <w:r>
        <w:rPr>
          <w:smallCaps w:val="0"/>
        </w:rPr>
        <w:t>根据《广西地下水功能区划报告》，所在的地下水功能区一级区为保护区，二级区为洞庭湖水系桂林市资源地下水水源涵养区。该功能区面积2467km</w:t>
      </w:r>
      <w:r>
        <w:rPr>
          <w:smallCaps w:val="0"/>
          <w:vertAlign w:val="superscript"/>
        </w:rPr>
        <w:t>2</w:t>
      </w:r>
      <w:r>
        <w:rPr>
          <w:smallCaps w:val="0"/>
        </w:rPr>
        <w:t>，年均总补给量70616万m</w:t>
      </w:r>
      <w:r>
        <w:rPr>
          <w:smallCaps w:val="0"/>
          <w:vertAlign w:val="superscript"/>
        </w:rPr>
        <w:t>3</w:t>
      </w:r>
      <w:r>
        <w:rPr>
          <w:smallCaps w:val="0"/>
        </w:rPr>
        <w:t>，地下水资源量70616万m</w:t>
      </w:r>
      <w:r>
        <w:rPr>
          <w:smallCaps w:val="0"/>
          <w:vertAlign w:val="superscript"/>
        </w:rPr>
        <w:t>3</w:t>
      </w:r>
      <w:r>
        <w:rPr>
          <w:smallCaps w:val="0"/>
        </w:rPr>
        <w:t>，年均可开采量24695万m</w:t>
      </w:r>
      <w:r>
        <w:rPr>
          <w:smallCaps w:val="0"/>
          <w:vertAlign w:val="superscript"/>
        </w:rPr>
        <w:t>3</w:t>
      </w:r>
      <w:r>
        <w:rPr>
          <w:smallCaps w:val="0"/>
        </w:rPr>
        <w:t>，开采控制量247万m</w:t>
      </w:r>
      <w:r>
        <w:rPr>
          <w:smallCaps w:val="0"/>
          <w:vertAlign w:val="superscript"/>
        </w:rPr>
        <w:t>3</w:t>
      </w:r>
      <w:r>
        <w:rPr>
          <w:smallCaps w:val="0"/>
        </w:rPr>
        <w:t>，水质保护目标为Ⅱ类，控制水位埋深5~15m。资源县境内水功能区划分情况详见表2.2.2-1～2.2.2-2。水功能区划图见附图</w:t>
      </w:r>
      <w:r>
        <w:rPr>
          <w:rFonts w:hint="eastAsia"/>
          <w:smallCaps w:val="0"/>
          <w:lang w:val="en-US" w:eastAsia="zh-CN"/>
        </w:rPr>
        <w:t>3</w:t>
      </w:r>
      <w:r>
        <w:rPr>
          <w:smallCaps w:val="0"/>
        </w:rPr>
        <w:t>。</w:t>
      </w:r>
    </w:p>
    <w:p>
      <w:pPr>
        <w:keepNext w:val="0"/>
        <w:keepLines w:val="0"/>
        <w:pageBreakBefore w:val="0"/>
        <w:widowControl/>
        <w:kinsoku/>
        <w:wordWrap/>
        <w:overflowPunct/>
        <w:topLinePunct w:val="0"/>
        <w:autoSpaceDE/>
        <w:autoSpaceDN/>
        <w:bidi w:val="0"/>
        <w:adjustRightInd/>
        <w:snapToGrid/>
        <w:spacing w:line="360" w:lineRule="auto"/>
        <w:ind w:firstLine="561"/>
        <w:textAlignment w:val="auto"/>
        <w:rPr>
          <w:b/>
          <w:bCs w:val="0"/>
          <w:smallCaps w:val="0"/>
        </w:rPr>
        <w:sectPr>
          <w:pgSz w:w="11907" w:h="16840"/>
          <w:pgMar w:top="1440" w:right="1800" w:bottom="1440" w:left="1800" w:header="720" w:footer="720" w:gutter="0"/>
          <w:cols w:space="720" w:num="1"/>
          <w:docGrid w:type="lines" w:linePitch="500" w:charSpace="0"/>
        </w:sectPr>
      </w:pPr>
    </w:p>
    <w:p>
      <w:pPr>
        <w:spacing w:line="500" w:lineRule="exact"/>
        <w:jc w:val="center"/>
        <w:rPr>
          <w:b/>
          <w:smallCaps w:val="0"/>
          <w:sz w:val="28"/>
          <w:szCs w:val="28"/>
        </w:rPr>
      </w:pPr>
      <w:r>
        <w:rPr>
          <w:b/>
          <w:bCs w:val="0"/>
          <w:smallCaps w:val="0"/>
          <w:sz w:val="28"/>
          <w:szCs w:val="28"/>
        </w:rPr>
        <w:t>表2.2.2-1    资源县内地表水水功能区划分情况表</w:t>
      </w:r>
    </w:p>
    <w:tbl>
      <w:tblPr>
        <w:tblStyle w:val="15"/>
        <w:tblW w:w="9215"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1230"/>
        <w:gridCol w:w="959"/>
        <w:gridCol w:w="992"/>
        <w:gridCol w:w="1276"/>
        <w:gridCol w:w="1275"/>
        <w:gridCol w:w="851"/>
        <w:gridCol w:w="709"/>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1"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color w:val="000000"/>
                <w:kern w:val="2"/>
                <w:sz w:val="21"/>
                <w:szCs w:val="21"/>
              </w:rPr>
            </w:pPr>
            <w:r>
              <w:rPr>
                <w:rFonts w:hint="eastAsia" w:ascii="宋体" w:hAnsi="宋体" w:eastAsia="宋体" w:cs="宋体"/>
                <w:smallCaps w:val="0"/>
                <w:color w:val="000000"/>
                <w:sz w:val="21"/>
                <w:szCs w:val="21"/>
              </w:rPr>
              <w:t>功能区名称</w:t>
            </w:r>
          </w:p>
        </w:tc>
        <w:tc>
          <w:tcPr>
            <w:tcW w:w="959" w:type="dxa"/>
            <w:vMerge w:val="restart"/>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color w:val="000000"/>
                <w:kern w:val="2"/>
                <w:sz w:val="21"/>
                <w:szCs w:val="21"/>
              </w:rPr>
            </w:pPr>
            <w:r>
              <w:rPr>
                <w:rFonts w:hint="eastAsia" w:ascii="宋体" w:hAnsi="宋体" w:eastAsia="宋体" w:cs="宋体"/>
                <w:smallCaps w:val="0"/>
                <w:color w:val="000000"/>
                <w:sz w:val="21"/>
                <w:szCs w:val="21"/>
              </w:rPr>
              <w:t>河流</w:t>
            </w:r>
          </w:p>
        </w:tc>
        <w:tc>
          <w:tcPr>
            <w:tcW w:w="992" w:type="dxa"/>
            <w:vMerge w:val="restart"/>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color w:val="000000"/>
                <w:kern w:val="2"/>
                <w:sz w:val="21"/>
                <w:szCs w:val="21"/>
              </w:rPr>
            </w:pPr>
            <w:r>
              <w:rPr>
                <w:rFonts w:hint="eastAsia" w:ascii="宋体" w:hAnsi="宋体" w:eastAsia="宋体" w:cs="宋体"/>
                <w:smallCaps w:val="0"/>
                <w:color w:val="000000"/>
                <w:sz w:val="21"/>
                <w:szCs w:val="21"/>
              </w:rPr>
              <w:t>河段</w:t>
            </w:r>
          </w:p>
        </w:tc>
        <w:tc>
          <w:tcPr>
            <w:tcW w:w="2551"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color w:val="000000"/>
                <w:kern w:val="2"/>
                <w:sz w:val="21"/>
                <w:szCs w:val="21"/>
              </w:rPr>
            </w:pPr>
            <w:r>
              <w:rPr>
                <w:rFonts w:hint="eastAsia" w:ascii="宋体" w:hAnsi="宋体" w:eastAsia="宋体" w:cs="宋体"/>
                <w:smallCaps w:val="0"/>
                <w:color w:val="000000"/>
                <w:sz w:val="21"/>
                <w:szCs w:val="21"/>
              </w:rPr>
              <w:t>范围</w:t>
            </w:r>
          </w:p>
        </w:tc>
        <w:tc>
          <w:tcPr>
            <w:tcW w:w="851" w:type="dxa"/>
            <w:vMerge w:val="restart"/>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eastAsia="宋体" w:cs="宋体"/>
                <w:smallCaps w:val="0"/>
                <w:color w:val="000000"/>
                <w:kern w:val="2"/>
                <w:sz w:val="21"/>
                <w:szCs w:val="21"/>
              </w:rPr>
            </w:pPr>
            <w:r>
              <w:rPr>
                <w:rFonts w:hint="eastAsia" w:ascii="宋体" w:hAnsi="宋体" w:eastAsia="宋体" w:cs="宋体"/>
                <w:smallCaps w:val="0"/>
                <w:color w:val="000000"/>
                <w:sz w:val="21"/>
                <w:szCs w:val="21"/>
              </w:rPr>
              <w:t>长度</w:t>
            </w:r>
          </w:p>
          <w:p>
            <w:pPr>
              <w:adjustRightInd w:val="0"/>
              <w:snapToGrid w:val="0"/>
              <w:spacing w:line="360" w:lineRule="exact"/>
              <w:jc w:val="center"/>
              <w:rPr>
                <w:rFonts w:hint="eastAsia" w:ascii="宋体" w:hAnsi="宋体" w:eastAsia="宋体" w:cs="宋体"/>
                <w:smallCaps w:val="0"/>
                <w:color w:val="000000"/>
                <w:kern w:val="2"/>
                <w:sz w:val="21"/>
                <w:szCs w:val="21"/>
              </w:rPr>
            </w:pPr>
            <w:r>
              <w:rPr>
                <w:rFonts w:hint="eastAsia" w:ascii="宋体" w:hAnsi="宋体" w:eastAsia="宋体" w:cs="宋体"/>
                <w:smallCaps w:val="0"/>
                <w:color w:val="000000"/>
                <w:sz w:val="21"/>
                <w:szCs w:val="21"/>
              </w:rPr>
              <w:t>（km）</w:t>
            </w:r>
          </w:p>
        </w:tc>
        <w:tc>
          <w:tcPr>
            <w:tcW w:w="709" w:type="dxa"/>
            <w:vMerge w:val="restart"/>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eastAsia="宋体" w:cs="宋体"/>
                <w:smallCaps w:val="0"/>
                <w:color w:val="000000"/>
                <w:kern w:val="2"/>
                <w:sz w:val="21"/>
                <w:szCs w:val="21"/>
              </w:rPr>
            </w:pPr>
            <w:r>
              <w:rPr>
                <w:rFonts w:hint="eastAsia" w:ascii="宋体" w:hAnsi="宋体" w:eastAsia="宋体" w:cs="宋体"/>
                <w:smallCaps w:val="0"/>
                <w:color w:val="000000"/>
                <w:sz w:val="21"/>
                <w:szCs w:val="21"/>
              </w:rPr>
              <w:t>水质</w:t>
            </w:r>
          </w:p>
          <w:p>
            <w:pPr>
              <w:adjustRightInd w:val="0"/>
              <w:snapToGrid w:val="0"/>
              <w:spacing w:line="360" w:lineRule="exact"/>
              <w:jc w:val="center"/>
              <w:rPr>
                <w:rFonts w:hint="eastAsia" w:ascii="宋体" w:hAnsi="宋体" w:eastAsia="宋体" w:cs="宋体"/>
                <w:smallCaps w:val="0"/>
                <w:color w:val="000000"/>
                <w:kern w:val="2"/>
                <w:sz w:val="21"/>
                <w:szCs w:val="21"/>
              </w:rPr>
            </w:pPr>
            <w:r>
              <w:rPr>
                <w:rFonts w:hint="eastAsia" w:ascii="宋体" w:hAnsi="宋体" w:eastAsia="宋体" w:cs="宋体"/>
                <w:smallCaps w:val="0"/>
                <w:color w:val="000000"/>
                <w:sz w:val="21"/>
                <w:szCs w:val="21"/>
              </w:rPr>
              <w:t>现状</w:t>
            </w:r>
          </w:p>
        </w:tc>
        <w:tc>
          <w:tcPr>
            <w:tcW w:w="992" w:type="dxa"/>
            <w:vMerge w:val="restart"/>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color w:val="000000"/>
                <w:kern w:val="2"/>
                <w:sz w:val="21"/>
                <w:szCs w:val="21"/>
              </w:rPr>
            </w:pPr>
            <w:r>
              <w:rPr>
                <w:rFonts w:hint="eastAsia" w:ascii="宋体" w:hAnsi="宋体" w:eastAsia="宋体" w:cs="宋体"/>
                <w:smallCaps w:val="0"/>
                <w:color w:val="000000"/>
                <w:sz w:val="21"/>
                <w:szCs w:val="21"/>
              </w:rPr>
              <w:t>水质控制目标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16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smallCaps w:val="0"/>
                <w:color w:val="000000"/>
                <w:kern w:val="2"/>
                <w:sz w:val="21"/>
                <w:szCs w:val="21"/>
              </w:rPr>
            </w:pPr>
          </w:p>
        </w:tc>
        <w:tc>
          <w:tcPr>
            <w:tcW w:w="959" w:type="dxa"/>
            <w:vMerge w:val="continue"/>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smallCaps w:val="0"/>
                <w:color w:val="000000"/>
                <w:kern w:val="2"/>
                <w:sz w:val="21"/>
                <w:szCs w:val="21"/>
              </w:rPr>
            </w:pPr>
          </w:p>
        </w:tc>
        <w:tc>
          <w:tcPr>
            <w:tcW w:w="992" w:type="dxa"/>
            <w:vMerge w:val="continue"/>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smallCaps w:val="0"/>
                <w:color w:val="000000"/>
                <w:kern w:val="2"/>
                <w:sz w:val="21"/>
                <w:szCs w:val="21"/>
              </w:rPr>
            </w:pPr>
          </w:p>
        </w:tc>
        <w:tc>
          <w:tcPr>
            <w:tcW w:w="1276"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color w:val="000000"/>
                <w:kern w:val="2"/>
                <w:sz w:val="21"/>
                <w:szCs w:val="21"/>
              </w:rPr>
            </w:pPr>
            <w:r>
              <w:rPr>
                <w:rFonts w:hint="eastAsia" w:ascii="宋体" w:hAnsi="宋体" w:eastAsia="宋体" w:cs="宋体"/>
                <w:smallCaps w:val="0"/>
                <w:color w:val="000000"/>
                <w:sz w:val="21"/>
                <w:szCs w:val="21"/>
              </w:rPr>
              <w:t>起始断面</w:t>
            </w:r>
          </w:p>
        </w:tc>
        <w:tc>
          <w:tcPr>
            <w:tcW w:w="1275"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color w:val="000000"/>
                <w:kern w:val="2"/>
                <w:sz w:val="21"/>
                <w:szCs w:val="21"/>
              </w:rPr>
            </w:pPr>
            <w:r>
              <w:rPr>
                <w:rFonts w:hint="eastAsia" w:ascii="宋体" w:hAnsi="宋体" w:eastAsia="宋体" w:cs="宋体"/>
                <w:smallCaps w:val="0"/>
                <w:color w:val="000000"/>
                <w:sz w:val="21"/>
                <w:szCs w:val="21"/>
              </w:rPr>
              <w:t>终止断面</w:t>
            </w:r>
          </w:p>
        </w:tc>
        <w:tc>
          <w:tcPr>
            <w:tcW w:w="851" w:type="dxa"/>
            <w:vMerge w:val="continue"/>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smallCaps w:val="0"/>
                <w:color w:val="000000"/>
                <w:kern w:val="2"/>
                <w:sz w:val="21"/>
                <w:szCs w:val="21"/>
              </w:rPr>
            </w:pPr>
          </w:p>
        </w:tc>
        <w:tc>
          <w:tcPr>
            <w:tcW w:w="709" w:type="dxa"/>
            <w:vMerge w:val="continue"/>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smallCaps w:val="0"/>
                <w:color w:val="000000"/>
                <w:kern w:val="2"/>
                <w:sz w:val="21"/>
                <w:szCs w:val="21"/>
              </w:rPr>
            </w:pPr>
          </w:p>
        </w:tc>
        <w:tc>
          <w:tcPr>
            <w:tcW w:w="992" w:type="dxa"/>
            <w:vMerge w:val="continue"/>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smallCaps w:val="0"/>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3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1</w:t>
            </w:r>
          </w:p>
        </w:tc>
        <w:tc>
          <w:tcPr>
            <w:tcW w:w="1230"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资源源头水保护区</w:t>
            </w:r>
          </w:p>
        </w:tc>
        <w:tc>
          <w:tcPr>
            <w:tcW w:w="9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资水</w:t>
            </w:r>
          </w:p>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(夫夷水)</w:t>
            </w:r>
          </w:p>
        </w:tc>
        <w:tc>
          <w:tcPr>
            <w:tcW w:w="992"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源头～</w:t>
            </w:r>
          </w:p>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车田湾</w:t>
            </w:r>
          </w:p>
        </w:tc>
        <w:tc>
          <w:tcPr>
            <w:tcW w:w="1276"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源头</w:t>
            </w:r>
          </w:p>
        </w:tc>
        <w:tc>
          <w:tcPr>
            <w:tcW w:w="1275"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中峰镇</w:t>
            </w:r>
          </w:p>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车田湾村</w:t>
            </w:r>
          </w:p>
        </w:tc>
        <w:tc>
          <w:tcPr>
            <w:tcW w:w="851"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35</w:t>
            </w:r>
          </w:p>
        </w:tc>
        <w:tc>
          <w:tcPr>
            <w:tcW w:w="709"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Ⅱ</w:t>
            </w:r>
          </w:p>
        </w:tc>
        <w:tc>
          <w:tcPr>
            <w:tcW w:w="992"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3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2</w:t>
            </w:r>
          </w:p>
        </w:tc>
        <w:tc>
          <w:tcPr>
            <w:tcW w:w="1230"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资水(夫夷水)资源开发利用区</w:t>
            </w:r>
          </w:p>
        </w:tc>
        <w:tc>
          <w:tcPr>
            <w:tcW w:w="9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资水</w:t>
            </w:r>
          </w:p>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(夫夷水)</w:t>
            </w:r>
          </w:p>
        </w:tc>
        <w:tc>
          <w:tcPr>
            <w:tcW w:w="992"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车田湾～沈滩</w:t>
            </w:r>
          </w:p>
        </w:tc>
        <w:tc>
          <w:tcPr>
            <w:tcW w:w="1276"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资源县中峰镇车田湾村</w:t>
            </w:r>
          </w:p>
        </w:tc>
        <w:tc>
          <w:tcPr>
            <w:tcW w:w="1275"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资源县大合镇沈滩</w:t>
            </w:r>
          </w:p>
        </w:tc>
        <w:tc>
          <w:tcPr>
            <w:tcW w:w="851"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14</w:t>
            </w:r>
          </w:p>
        </w:tc>
        <w:tc>
          <w:tcPr>
            <w:tcW w:w="709"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Ⅱ</w:t>
            </w:r>
          </w:p>
        </w:tc>
        <w:tc>
          <w:tcPr>
            <w:tcW w:w="992"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按二级区划执行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3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（1）</w:t>
            </w:r>
          </w:p>
        </w:tc>
        <w:tc>
          <w:tcPr>
            <w:tcW w:w="1230"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资水资源工业用水区</w:t>
            </w:r>
          </w:p>
        </w:tc>
        <w:tc>
          <w:tcPr>
            <w:tcW w:w="9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资水</w:t>
            </w:r>
          </w:p>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(夫夷水)</w:t>
            </w:r>
          </w:p>
        </w:tc>
        <w:tc>
          <w:tcPr>
            <w:tcW w:w="992"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车田湾～城关电站</w:t>
            </w:r>
          </w:p>
        </w:tc>
        <w:tc>
          <w:tcPr>
            <w:tcW w:w="1276"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资源县中峰镇车田湾村</w:t>
            </w:r>
          </w:p>
        </w:tc>
        <w:tc>
          <w:tcPr>
            <w:tcW w:w="1275"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城关电站</w:t>
            </w:r>
          </w:p>
        </w:tc>
        <w:tc>
          <w:tcPr>
            <w:tcW w:w="851"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10</w:t>
            </w:r>
          </w:p>
        </w:tc>
        <w:tc>
          <w:tcPr>
            <w:tcW w:w="709"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Ⅱ</w:t>
            </w:r>
          </w:p>
        </w:tc>
        <w:tc>
          <w:tcPr>
            <w:tcW w:w="992"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3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（2）</w:t>
            </w:r>
          </w:p>
        </w:tc>
        <w:tc>
          <w:tcPr>
            <w:tcW w:w="1230"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资水资源饮用水源区</w:t>
            </w:r>
          </w:p>
        </w:tc>
        <w:tc>
          <w:tcPr>
            <w:tcW w:w="9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资水</w:t>
            </w:r>
          </w:p>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(夫夷水)</w:t>
            </w:r>
          </w:p>
        </w:tc>
        <w:tc>
          <w:tcPr>
            <w:tcW w:w="992"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城关电站～沈滩</w:t>
            </w:r>
          </w:p>
        </w:tc>
        <w:tc>
          <w:tcPr>
            <w:tcW w:w="1276"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城关电站</w:t>
            </w:r>
          </w:p>
        </w:tc>
        <w:tc>
          <w:tcPr>
            <w:tcW w:w="1275"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资源县大合镇沈滩</w:t>
            </w:r>
          </w:p>
        </w:tc>
        <w:tc>
          <w:tcPr>
            <w:tcW w:w="851"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4</w:t>
            </w:r>
          </w:p>
        </w:tc>
        <w:tc>
          <w:tcPr>
            <w:tcW w:w="709"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Ⅱ</w:t>
            </w:r>
          </w:p>
        </w:tc>
        <w:tc>
          <w:tcPr>
            <w:tcW w:w="992"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3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3</w:t>
            </w:r>
          </w:p>
        </w:tc>
        <w:tc>
          <w:tcPr>
            <w:tcW w:w="1230"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资水(夫夷水)资源保留区</w:t>
            </w:r>
          </w:p>
        </w:tc>
        <w:tc>
          <w:tcPr>
            <w:tcW w:w="9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资水</w:t>
            </w:r>
          </w:p>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(夫夷水)</w:t>
            </w:r>
          </w:p>
        </w:tc>
        <w:tc>
          <w:tcPr>
            <w:tcW w:w="992"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沈滩～</w:t>
            </w:r>
          </w:p>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梅溪</w:t>
            </w:r>
          </w:p>
        </w:tc>
        <w:tc>
          <w:tcPr>
            <w:tcW w:w="1276"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资源县大合镇沈滩</w:t>
            </w:r>
          </w:p>
        </w:tc>
        <w:tc>
          <w:tcPr>
            <w:tcW w:w="1275"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资源县</w:t>
            </w:r>
          </w:p>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梅溪镇</w:t>
            </w:r>
          </w:p>
        </w:tc>
        <w:tc>
          <w:tcPr>
            <w:tcW w:w="851"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30</w:t>
            </w:r>
          </w:p>
        </w:tc>
        <w:tc>
          <w:tcPr>
            <w:tcW w:w="709"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Ⅱ</w:t>
            </w:r>
          </w:p>
        </w:tc>
        <w:tc>
          <w:tcPr>
            <w:tcW w:w="992"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3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4</w:t>
            </w:r>
          </w:p>
        </w:tc>
        <w:tc>
          <w:tcPr>
            <w:tcW w:w="1230"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资水(夫夷水)桂湘缓冲区</w:t>
            </w:r>
          </w:p>
        </w:tc>
        <w:tc>
          <w:tcPr>
            <w:tcW w:w="9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资水</w:t>
            </w:r>
          </w:p>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(夫夷水)</w:t>
            </w:r>
          </w:p>
        </w:tc>
        <w:tc>
          <w:tcPr>
            <w:tcW w:w="992"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梅溪～新宁县杉杜塘</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资源县</w:t>
            </w:r>
          </w:p>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梅溪镇</w:t>
            </w:r>
          </w:p>
        </w:tc>
        <w:tc>
          <w:tcPr>
            <w:tcW w:w="1275"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邵阳市新宁县杉杜塘</w:t>
            </w:r>
          </w:p>
        </w:tc>
        <w:tc>
          <w:tcPr>
            <w:tcW w:w="851"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22</w:t>
            </w:r>
          </w:p>
        </w:tc>
        <w:tc>
          <w:tcPr>
            <w:tcW w:w="709"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Ⅱ</w:t>
            </w:r>
          </w:p>
        </w:tc>
        <w:tc>
          <w:tcPr>
            <w:tcW w:w="992"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rFonts w:hint="eastAsia" w:ascii="宋体" w:hAnsi="宋体" w:eastAsia="宋体" w:cs="宋体"/>
                <w:smallCaps w:val="0"/>
                <w:kern w:val="2"/>
                <w:sz w:val="21"/>
                <w:szCs w:val="21"/>
              </w:rPr>
            </w:pPr>
            <w:r>
              <w:rPr>
                <w:rFonts w:hint="eastAsia" w:ascii="宋体" w:hAnsi="宋体" w:eastAsia="宋体" w:cs="宋体"/>
                <w:smallCaps w:val="0"/>
                <w:sz w:val="21"/>
                <w:szCs w:val="21"/>
              </w:rPr>
              <w:t>Ⅲ</w:t>
            </w:r>
          </w:p>
        </w:tc>
      </w:tr>
    </w:tbl>
    <w:p>
      <w:pPr>
        <w:ind w:firstLine="420" w:firstLineChars="150"/>
        <w:rPr>
          <w:bCs w:val="0"/>
          <w:smallCaps w:val="0"/>
          <w:kern w:val="2"/>
          <w:sz w:val="28"/>
          <w:szCs w:val="28"/>
        </w:rPr>
      </w:pPr>
      <w:r>
        <w:rPr>
          <w:smallCaps w:val="0"/>
          <w:sz w:val="28"/>
          <w:szCs w:val="28"/>
        </w:rPr>
        <w:t xml:space="preserve"> </w:t>
      </w:r>
    </w:p>
    <w:p>
      <w:pPr>
        <w:spacing w:line="500" w:lineRule="exact"/>
        <w:jc w:val="center"/>
        <w:rPr>
          <w:b/>
          <w:smallCaps w:val="0"/>
          <w:sz w:val="28"/>
          <w:szCs w:val="28"/>
        </w:rPr>
      </w:pPr>
      <w:r>
        <w:rPr>
          <w:b/>
          <w:bCs w:val="0"/>
          <w:smallCaps w:val="0"/>
          <w:sz w:val="28"/>
          <w:szCs w:val="28"/>
        </w:rPr>
        <w:t>表2.2.2-2   资源县内地下水水功能区划分情况表</w:t>
      </w:r>
    </w:p>
    <w:tbl>
      <w:tblPr>
        <w:tblStyle w:val="15"/>
        <w:tblW w:w="9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701"/>
        <w:gridCol w:w="1473"/>
        <w:gridCol w:w="1362"/>
        <w:gridCol w:w="1134"/>
        <w:gridCol w:w="127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地下水一级功能区名称</w:t>
            </w:r>
          </w:p>
        </w:tc>
        <w:tc>
          <w:tcPr>
            <w:tcW w:w="1701"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地下水二级功能区名称</w:t>
            </w:r>
          </w:p>
        </w:tc>
        <w:tc>
          <w:tcPr>
            <w:tcW w:w="1473"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地下水二级功能区代码</w:t>
            </w:r>
          </w:p>
        </w:tc>
        <w:tc>
          <w:tcPr>
            <w:tcW w:w="1362"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地下水资源评价类型区</w:t>
            </w:r>
          </w:p>
        </w:tc>
        <w:tc>
          <w:tcPr>
            <w:tcW w:w="1134"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水资源一级区</w:t>
            </w:r>
          </w:p>
        </w:tc>
        <w:tc>
          <w:tcPr>
            <w:tcW w:w="1276"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水资源二级区</w:t>
            </w:r>
          </w:p>
        </w:tc>
        <w:tc>
          <w:tcPr>
            <w:tcW w:w="992"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地级行政区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保护区</w:t>
            </w:r>
          </w:p>
        </w:tc>
        <w:tc>
          <w:tcPr>
            <w:tcW w:w="1701"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洞庭湖水系桂林市资源地下水水源涵养区</w:t>
            </w:r>
          </w:p>
        </w:tc>
        <w:tc>
          <w:tcPr>
            <w:tcW w:w="1473"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F074503002H01</w:t>
            </w:r>
          </w:p>
        </w:tc>
        <w:tc>
          <w:tcPr>
            <w:tcW w:w="1362"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山丘区</w:t>
            </w:r>
          </w:p>
        </w:tc>
        <w:tc>
          <w:tcPr>
            <w:tcW w:w="1134"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长江</w:t>
            </w:r>
          </w:p>
        </w:tc>
        <w:tc>
          <w:tcPr>
            <w:tcW w:w="1276"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洞庭湖水系</w:t>
            </w:r>
          </w:p>
        </w:tc>
        <w:tc>
          <w:tcPr>
            <w:tcW w:w="992"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桂林市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面积（km</w:t>
            </w:r>
            <w:r>
              <w:rPr>
                <w:smallCaps w:val="0"/>
                <w:sz w:val="21"/>
                <w:szCs w:val="21"/>
                <w:vertAlign w:val="superscript"/>
              </w:rPr>
              <w:t>2</w:t>
            </w:r>
            <w:r>
              <w:rPr>
                <w:smallCaps w:val="0"/>
                <w:sz w:val="21"/>
                <w:szCs w:val="21"/>
              </w:rPr>
              <w:t>）</w:t>
            </w:r>
          </w:p>
        </w:tc>
        <w:tc>
          <w:tcPr>
            <w:tcW w:w="1701"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年均总补给量（万m</w:t>
            </w:r>
            <w:r>
              <w:rPr>
                <w:smallCaps w:val="0"/>
                <w:sz w:val="21"/>
                <w:szCs w:val="21"/>
                <w:vertAlign w:val="superscript"/>
              </w:rPr>
              <w:t>3</w:t>
            </w:r>
            <w:r>
              <w:rPr>
                <w:smallCaps w:val="0"/>
                <w:sz w:val="21"/>
                <w:szCs w:val="21"/>
              </w:rPr>
              <w:t>）</w:t>
            </w:r>
          </w:p>
        </w:tc>
        <w:tc>
          <w:tcPr>
            <w:tcW w:w="1473"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地下水资源量（万m</w:t>
            </w:r>
            <w:r>
              <w:rPr>
                <w:smallCaps w:val="0"/>
                <w:sz w:val="21"/>
                <w:szCs w:val="21"/>
                <w:vertAlign w:val="superscript"/>
              </w:rPr>
              <w:t>3</w:t>
            </w:r>
            <w:r>
              <w:rPr>
                <w:smallCaps w:val="0"/>
                <w:sz w:val="21"/>
                <w:szCs w:val="21"/>
              </w:rPr>
              <w:t>）</w:t>
            </w:r>
          </w:p>
        </w:tc>
        <w:tc>
          <w:tcPr>
            <w:tcW w:w="1362"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年均可开采量（万m</w:t>
            </w:r>
            <w:r>
              <w:rPr>
                <w:smallCaps w:val="0"/>
                <w:sz w:val="21"/>
                <w:szCs w:val="21"/>
                <w:vertAlign w:val="superscript"/>
              </w:rPr>
              <w:t>3</w:t>
            </w:r>
            <w:r>
              <w:rPr>
                <w:smallCaps w:val="0"/>
                <w:sz w:val="21"/>
                <w:szCs w:val="21"/>
              </w:rPr>
              <w:t>）</w:t>
            </w:r>
          </w:p>
        </w:tc>
        <w:tc>
          <w:tcPr>
            <w:tcW w:w="1134"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开采控制量（万m</w:t>
            </w:r>
            <w:r>
              <w:rPr>
                <w:smallCaps w:val="0"/>
                <w:sz w:val="21"/>
                <w:szCs w:val="21"/>
                <w:vertAlign w:val="superscript"/>
              </w:rPr>
              <w:t>3</w:t>
            </w:r>
            <w:r>
              <w:rPr>
                <w:smallCaps w:val="0"/>
                <w:sz w:val="21"/>
                <w:szCs w:val="21"/>
              </w:rPr>
              <w:t>）</w:t>
            </w:r>
          </w:p>
        </w:tc>
        <w:tc>
          <w:tcPr>
            <w:tcW w:w="1276"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水质保护目标（水质类别）</w:t>
            </w:r>
          </w:p>
        </w:tc>
        <w:tc>
          <w:tcPr>
            <w:tcW w:w="992"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控制水位埋深（m）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2467</w:t>
            </w:r>
          </w:p>
        </w:tc>
        <w:tc>
          <w:tcPr>
            <w:tcW w:w="1701"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70616</w:t>
            </w:r>
          </w:p>
        </w:tc>
        <w:tc>
          <w:tcPr>
            <w:tcW w:w="1473"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70616</w:t>
            </w:r>
          </w:p>
        </w:tc>
        <w:tc>
          <w:tcPr>
            <w:tcW w:w="1362"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24695</w:t>
            </w:r>
          </w:p>
        </w:tc>
        <w:tc>
          <w:tcPr>
            <w:tcW w:w="1134"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347</w:t>
            </w:r>
          </w:p>
        </w:tc>
        <w:tc>
          <w:tcPr>
            <w:tcW w:w="1276"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Ⅱ</w:t>
            </w:r>
          </w:p>
        </w:tc>
        <w:tc>
          <w:tcPr>
            <w:tcW w:w="992"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jc w:val="center"/>
              <w:rPr>
                <w:smallCaps w:val="0"/>
                <w:kern w:val="2"/>
                <w:sz w:val="21"/>
                <w:szCs w:val="21"/>
              </w:rPr>
            </w:pPr>
            <w:r>
              <w:rPr>
                <w:smallCaps w:val="0"/>
                <w:sz w:val="21"/>
                <w:szCs w:val="21"/>
              </w:rPr>
              <w:t>5~15</w:t>
            </w:r>
          </w:p>
        </w:tc>
      </w:tr>
    </w:tbl>
    <w:p>
      <w:pPr>
        <w:ind w:firstLine="420" w:firstLineChars="150"/>
        <w:rPr>
          <w:bCs w:val="0"/>
          <w:smallCaps w:val="0"/>
          <w:kern w:val="2"/>
          <w:sz w:val="28"/>
          <w:szCs w:val="28"/>
        </w:rPr>
      </w:pPr>
      <w:r>
        <w:rPr>
          <w:smallCaps w:val="0"/>
          <w:sz w:val="28"/>
          <w:szCs w:val="28"/>
        </w:rPr>
        <w:t xml:space="preserve"> </w:t>
      </w:r>
    </w:p>
    <w:p>
      <w:pPr>
        <w:pStyle w:val="5"/>
        <w:bidi w:val="0"/>
        <w:rPr>
          <w:rFonts w:cs="Times New Roman"/>
          <w:color w:val="auto"/>
        </w:rPr>
      </w:pPr>
      <w:bookmarkStart w:id="26" w:name="_Toc9075"/>
      <w:bookmarkStart w:id="27" w:name="_Toc10220"/>
      <w:r>
        <w:rPr>
          <w:rFonts w:cs="Times New Roman"/>
          <w:color w:val="auto"/>
        </w:rPr>
        <w:t>2.</w:t>
      </w:r>
      <w:r>
        <w:rPr>
          <w:rFonts w:hint="eastAsia" w:cs="Times New Roman"/>
          <w:color w:val="auto"/>
        </w:rPr>
        <w:t>6</w:t>
      </w:r>
      <w:r>
        <w:rPr>
          <w:rFonts w:cs="Times New Roman"/>
          <w:color w:val="auto"/>
        </w:rPr>
        <w:t xml:space="preserve">  水质状况</w:t>
      </w:r>
      <w:bookmarkEnd w:id="26"/>
      <w:bookmarkEnd w:id="27"/>
    </w:p>
    <w:p>
      <w:pPr>
        <w:keepNext w:val="0"/>
        <w:keepLines w:val="0"/>
        <w:pageBreakBefore w:val="0"/>
        <w:widowControl w:val="0"/>
        <w:kinsoku/>
        <w:wordWrap/>
        <w:overflowPunct/>
        <w:topLinePunct w:val="0"/>
        <w:autoSpaceDE/>
        <w:autoSpaceDN/>
        <w:bidi w:val="0"/>
        <w:adjustRightInd/>
        <w:snapToGrid/>
        <w:spacing w:line="360" w:lineRule="auto"/>
        <w:ind w:firstLine="420" w:firstLineChars="150"/>
        <w:textAlignment w:val="auto"/>
        <w:rPr>
          <w:smallCaps w:val="0"/>
          <w:color w:val="000000"/>
        </w:rPr>
      </w:pPr>
      <w:r>
        <w:rPr>
          <w:smallCaps w:val="0"/>
          <w:color w:val="000000"/>
        </w:rPr>
        <w:t>根据2018年7月第二次全国污染源普查，资源县境内现状规模以上入河排污口有3个，均为生活污水排污口，此外，还有梅溪镇梅溪街上街生活入河排污口等1个规模以下生活污水排污口；拟建的中峰工业集中区</w:t>
      </w:r>
      <w:r>
        <w:rPr>
          <w:smallCaps w:val="0"/>
          <w:color w:val="000000"/>
          <w:spacing w:val="-2"/>
        </w:rPr>
        <w:t>污水处理厂分三期建设，一期</w:t>
      </w:r>
      <w:r>
        <w:rPr>
          <w:smallCaps w:val="0"/>
          <w:color w:val="000000"/>
        </w:rPr>
        <w:t>建设规模4000m</w:t>
      </w:r>
      <w:r>
        <w:rPr>
          <w:smallCaps w:val="0"/>
          <w:color w:val="000000"/>
          <w:vertAlign w:val="superscript"/>
        </w:rPr>
        <w:t>3</w:t>
      </w:r>
      <w:r>
        <w:rPr>
          <w:smallCaps w:val="0"/>
          <w:color w:val="000000"/>
        </w:rPr>
        <w:t>/d，</w:t>
      </w:r>
      <w:r>
        <w:rPr>
          <w:smallCaps w:val="0"/>
          <w:color w:val="000000"/>
          <w:spacing w:val="-2"/>
        </w:rPr>
        <w:t>二期</w:t>
      </w:r>
      <w:r>
        <w:rPr>
          <w:smallCaps w:val="0"/>
          <w:color w:val="000000"/>
        </w:rPr>
        <w:t>建设规模4000m</w:t>
      </w:r>
      <w:r>
        <w:rPr>
          <w:smallCaps w:val="0"/>
          <w:color w:val="000000"/>
          <w:vertAlign w:val="superscript"/>
        </w:rPr>
        <w:t>3</w:t>
      </w:r>
      <w:r>
        <w:rPr>
          <w:smallCaps w:val="0"/>
          <w:color w:val="000000"/>
        </w:rPr>
        <w:t>/d，</w:t>
      </w:r>
      <w:r>
        <w:rPr>
          <w:smallCaps w:val="0"/>
          <w:color w:val="000000"/>
          <w:spacing w:val="-2"/>
        </w:rPr>
        <w:t>三期</w:t>
      </w:r>
      <w:r>
        <w:rPr>
          <w:smallCaps w:val="0"/>
          <w:color w:val="000000"/>
        </w:rPr>
        <w:t>建设规模5000m</w:t>
      </w:r>
      <w:r>
        <w:rPr>
          <w:smallCaps w:val="0"/>
          <w:color w:val="000000"/>
          <w:vertAlign w:val="superscript"/>
        </w:rPr>
        <w:t>3</w:t>
      </w:r>
      <w:r>
        <w:rPr>
          <w:smallCaps w:val="0"/>
          <w:color w:val="000000"/>
        </w:rPr>
        <w:t>/d，目前</w:t>
      </w:r>
      <w:r>
        <w:rPr>
          <w:smallCaps w:val="0"/>
          <w:color w:val="000000"/>
          <w:spacing w:val="-2"/>
        </w:rPr>
        <w:t>一期工程正在进行基础开挖，排污口</w:t>
      </w:r>
      <w:r>
        <w:rPr>
          <w:smallCaps w:val="0"/>
          <w:color w:val="000000"/>
        </w:rPr>
        <w:t>污水排放执行《污水综合排放标准》（GB8978－2002）一级A标准，位于中峰镇车田湾对岸稍下，属</w:t>
      </w:r>
      <w:r>
        <w:rPr>
          <w:smallCaps w:val="0"/>
        </w:rPr>
        <w:t>资水(夫夷水)资源开发利用区</w:t>
      </w:r>
      <w:r>
        <w:rPr>
          <w:smallCaps w:val="0"/>
          <w:color w:val="000000"/>
        </w:rPr>
        <w:t>；故在资江漂流码头下游约2.0km处的江口村修建县城污水处理二期工程，建设规模6000m</w:t>
      </w:r>
      <w:r>
        <w:rPr>
          <w:smallCaps w:val="0"/>
          <w:color w:val="000000"/>
          <w:vertAlign w:val="superscript"/>
        </w:rPr>
        <w:t>3</w:t>
      </w:r>
      <w:r>
        <w:rPr>
          <w:smallCaps w:val="0"/>
          <w:color w:val="000000"/>
        </w:rPr>
        <w:t>/d，目前工程一期污水处理项目已完建，二期污水处理项目2019年2月完建，工程2019年3月竣工。排污口在厂址处，</w:t>
      </w:r>
      <w:r>
        <w:rPr>
          <w:smallCaps w:val="0"/>
          <w:color w:val="000000"/>
          <w:spacing w:val="-2"/>
        </w:rPr>
        <w:t>处于</w:t>
      </w:r>
      <w:r>
        <w:rPr>
          <w:smallCaps w:val="0"/>
        </w:rPr>
        <w:t>资水(夫夷水)资源保留区，</w:t>
      </w:r>
      <w:r>
        <w:rPr>
          <w:smallCaps w:val="0"/>
          <w:color w:val="000000"/>
        </w:rPr>
        <w:t>排放执行《污水综合排放标准》（GB8978－2002）一级A标准。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150"/>
        <w:textAlignment w:val="auto"/>
        <w:rPr>
          <w:smallCaps w:val="0"/>
          <w:kern w:val="2"/>
        </w:rPr>
      </w:pPr>
      <w:r>
        <w:rPr>
          <w:smallCaps w:val="0"/>
        </w:rPr>
        <w:t>根据</w:t>
      </w:r>
      <w:r>
        <w:rPr>
          <w:smallCaps w:val="0"/>
          <w:color w:val="000000"/>
        </w:rPr>
        <w:t>《201</w:t>
      </w:r>
      <w:r>
        <w:rPr>
          <w:rFonts w:hint="eastAsia"/>
          <w:smallCaps w:val="0"/>
          <w:color w:val="000000"/>
        </w:rPr>
        <w:t>9</w:t>
      </w:r>
      <w:r>
        <w:rPr>
          <w:smallCaps w:val="0"/>
          <w:color w:val="000000"/>
        </w:rPr>
        <w:t>年桂林市水资源公报》，桂林市水环境监测中心于201</w:t>
      </w:r>
      <w:r>
        <w:rPr>
          <w:rFonts w:hint="eastAsia"/>
          <w:smallCaps w:val="0"/>
          <w:color w:val="000000"/>
        </w:rPr>
        <w:t>9</w:t>
      </w:r>
      <w:r>
        <w:rPr>
          <w:smallCaps w:val="0"/>
          <w:color w:val="000000"/>
        </w:rPr>
        <w:t>年1月～12月分别对资源县境内的一级区资水(夫夷水)资源源头水保护区、资水(夫夷水)资源开发利用区（含二级区资水资源工业用水区、资水资源饮用水源区）、资水(夫夷水)资源保留区、资水(夫夷水)桂湘缓冲区</w:t>
      </w:r>
      <w:r>
        <w:rPr>
          <w:smallCaps w:val="0"/>
        </w:rPr>
        <w:t>水功能区断面进行采样监测，监测项目包括pH、溶解氧、化学需氧量、五日生化需氧量、氨氮、总磷、石油类、阴离子表面活性剂、硫化物等项，采用《地表水环境质量标准》（GB3838-2002）进行评价，监测结果各断面均达到Ⅱ、Ⅲ类水质标准，达到水功能区水质目标要求，详见表</w:t>
      </w:r>
      <w:r>
        <w:rPr>
          <w:rFonts w:hint="eastAsia"/>
          <w:smallCaps w:val="0"/>
        </w:rPr>
        <w:t>2</w:t>
      </w:r>
      <w:r>
        <w:rPr>
          <w:smallCaps w:val="0"/>
        </w:rPr>
        <w:t>.2.2-3。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val="0"/>
          <w:smallCaps w:val="0"/>
          <w:sz w:val="28"/>
          <w:szCs w:val="28"/>
        </w:rPr>
      </w:pPr>
      <w:r>
        <w:rPr>
          <w:b/>
          <w:bCs w:val="0"/>
          <w:smallCaps w:val="0"/>
          <w:sz w:val="28"/>
          <w:szCs w:val="28"/>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val="0"/>
          <w:smallCaps w:val="0"/>
          <w:sz w:val="28"/>
          <w:szCs w:val="28"/>
        </w:rPr>
      </w:pPr>
      <w:r>
        <w:rPr>
          <w:b/>
          <w:bCs w:val="0"/>
          <w:smallCaps w:val="0"/>
          <w:sz w:val="28"/>
          <w:szCs w:val="28"/>
        </w:rPr>
        <w:br w:type="page"/>
      </w:r>
      <w:r>
        <w:rPr>
          <w:b/>
          <w:bCs w:val="0"/>
          <w:smallCaps w:val="0"/>
          <w:sz w:val="28"/>
          <w:szCs w:val="28"/>
        </w:rPr>
        <w:t>表</w:t>
      </w:r>
      <w:r>
        <w:rPr>
          <w:rFonts w:hint="eastAsia"/>
          <w:b/>
          <w:bCs w:val="0"/>
          <w:smallCaps w:val="0"/>
          <w:sz w:val="28"/>
          <w:szCs w:val="28"/>
        </w:rPr>
        <w:t>2</w:t>
      </w:r>
      <w:r>
        <w:rPr>
          <w:b/>
          <w:bCs w:val="0"/>
          <w:smallCaps w:val="0"/>
          <w:sz w:val="28"/>
          <w:szCs w:val="28"/>
        </w:rPr>
        <w:t>.</w:t>
      </w:r>
      <w:r>
        <w:rPr>
          <w:rFonts w:hint="eastAsia"/>
          <w:b/>
          <w:bCs w:val="0"/>
          <w:smallCaps w:val="0"/>
          <w:sz w:val="28"/>
          <w:szCs w:val="28"/>
        </w:rPr>
        <w:t>2</w:t>
      </w:r>
      <w:r>
        <w:rPr>
          <w:b/>
          <w:bCs w:val="0"/>
          <w:smallCaps w:val="0"/>
          <w:sz w:val="28"/>
          <w:szCs w:val="28"/>
        </w:rPr>
        <w:t>.2-3</w:t>
      </w:r>
      <w:r>
        <w:rPr>
          <w:rFonts w:hint="eastAsia"/>
          <w:b/>
          <w:bCs w:val="0"/>
          <w:smallCaps w:val="0"/>
          <w:sz w:val="28"/>
          <w:szCs w:val="28"/>
        </w:rPr>
        <w:t xml:space="preserve">  </w:t>
      </w:r>
      <w:r>
        <w:rPr>
          <w:b/>
          <w:bCs w:val="0"/>
          <w:smallCaps w:val="0"/>
          <w:sz w:val="28"/>
          <w:szCs w:val="28"/>
        </w:rPr>
        <w:t>201</w:t>
      </w:r>
      <w:r>
        <w:rPr>
          <w:rFonts w:hint="eastAsia"/>
          <w:b/>
          <w:bCs w:val="0"/>
          <w:smallCaps w:val="0"/>
          <w:sz w:val="28"/>
          <w:szCs w:val="28"/>
        </w:rPr>
        <w:t>9</w:t>
      </w:r>
      <w:r>
        <w:rPr>
          <w:b/>
          <w:bCs w:val="0"/>
          <w:smallCaps w:val="0"/>
          <w:sz w:val="28"/>
          <w:szCs w:val="28"/>
        </w:rPr>
        <w:t>年度资源县重点水功能区水资源质量状况评价表</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984"/>
        <w:gridCol w:w="1843"/>
        <w:gridCol w:w="850"/>
        <w:gridCol w:w="709"/>
        <w:gridCol w:w="832"/>
        <w:gridCol w:w="885"/>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34"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rPr>
                <w:smallCaps w:val="0"/>
                <w:kern w:val="2"/>
                <w:sz w:val="21"/>
                <w:szCs w:val="21"/>
              </w:rPr>
            </w:pPr>
            <w:r>
              <w:rPr>
                <w:smallCaps w:val="0"/>
                <w:sz w:val="21"/>
                <w:szCs w:val="21"/>
              </w:rPr>
              <w:t>序号</w:t>
            </w:r>
          </w:p>
        </w:tc>
        <w:tc>
          <w:tcPr>
            <w:tcW w:w="1984" w:type="dxa"/>
            <w:vMerge w:val="restart"/>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rPr>
                <w:smallCaps w:val="0"/>
                <w:kern w:val="2"/>
                <w:sz w:val="21"/>
                <w:szCs w:val="21"/>
              </w:rPr>
            </w:pPr>
            <w:r>
              <w:rPr>
                <w:smallCaps w:val="0"/>
                <w:sz w:val="21"/>
                <w:szCs w:val="21"/>
              </w:rPr>
              <w:t>一级水功能区名称</w:t>
            </w:r>
          </w:p>
        </w:tc>
        <w:tc>
          <w:tcPr>
            <w:tcW w:w="1843" w:type="dxa"/>
            <w:vMerge w:val="restart"/>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rPr>
                <w:smallCaps w:val="0"/>
                <w:kern w:val="2"/>
                <w:sz w:val="21"/>
                <w:szCs w:val="21"/>
              </w:rPr>
            </w:pPr>
            <w:r>
              <w:rPr>
                <w:smallCaps w:val="0"/>
                <w:sz w:val="21"/>
                <w:szCs w:val="21"/>
              </w:rPr>
              <w:t>二级级水功能区名称</w:t>
            </w:r>
          </w:p>
        </w:tc>
        <w:tc>
          <w:tcPr>
            <w:tcW w:w="850" w:type="dxa"/>
            <w:vMerge w:val="restart"/>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rPr>
                <w:smallCaps w:val="0"/>
                <w:kern w:val="2"/>
                <w:sz w:val="21"/>
                <w:szCs w:val="21"/>
              </w:rPr>
            </w:pPr>
            <w:r>
              <w:rPr>
                <w:smallCaps w:val="0"/>
                <w:sz w:val="21"/>
                <w:szCs w:val="21"/>
              </w:rPr>
              <w:t>河名</w:t>
            </w:r>
          </w:p>
        </w:tc>
        <w:tc>
          <w:tcPr>
            <w:tcW w:w="709" w:type="dxa"/>
            <w:vMerge w:val="restart"/>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rPr>
                <w:smallCaps w:val="0"/>
                <w:kern w:val="2"/>
                <w:sz w:val="21"/>
                <w:szCs w:val="21"/>
              </w:rPr>
            </w:pPr>
            <w:r>
              <w:rPr>
                <w:smallCaps w:val="0"/>
                <w:sz w:val="21"/>
                <w:szCs w:val="21"/>
              </w:rPr>
              <w:t>长度   (km)</w:t>
            </w:r>
          </w:p>
        </w:tc>
        <w:tc>
          <w:tcPr>
            <w:tcW w:w="832" w:type="dxa"/>
            <w:vMerge w:val="restart"/>
            <w:tcBorders>
              <w:top w:val="single" w:color="auto" w:sz="4" w:space="0"/>
              <w:left w:val="nil"/>
              <w:bottom w:val="single" w:color="auto" w:sz="4" w:space="0"/>
              <w:right w:val="single" w:color="auto" w:sz="4" w:space="0"/>
            </w:tcBorders>
            <w:noWrap w:val="0"/>
            <w:vAlign w:val="center"/>
          </w:tcPr>
          <w:p>
            <w:pPr>
              <w:adjustRightInd w:val="0"/>
              <w:snapToGrid w:val="0"/>
              <w:spacing w:line="360" w:lineRule="exact"/>
              <w:rPr>
                <w:smallCaps w:val="0"/>
                <w:kern w:val="2"/>
                <w:sz w:val="21"/>
                <w:szCs w:val="21"/>
              </w:rPr>
            </w:pPr>
            <w:r>
              <w:rPr>
                <w:smallCaps w:val="0"/>
                <w:sz w:val="21"/>
                <w:szCs w:val="21"/>
              </w:rPr>
              <w:t>水质目标</w:t>
            </w:r>
          </w:p>
        </w:tc>
        <w:tc>
          <w:tcPr>
            <w:tcW w:w="885" w:type="dxa"/>
            <w:vMerge w:val="restart"/>
            <w:tcBorders>
              <w:top w:val="single" w:color="auto" w:sz="4" w:space="0"/>
              <w:left w:val="nil"/>
              <w:bottom w:val="single" w:color="auto" w:sz="4" w:space="0"/>
              <w:right w:val="single" w:color="auto" w:sz="4" w:space="0"/>
            </w:tcBorders>
            <w:noWrap/>
            <w:vAlign w:val="center"/>
          </w:tcPr>
          <w:p>
            <w:pPr>
              <w:adjustRightInd w:val="0"/>
              <w:snapToGrid w:val="0"/>
              <w:spacing w:line="360" w:lineRule="exact"/>
              <w:rPr>
                <w:smallCaps w:val="0"/>
                <w:kern w:val="2"/>
                <w:sz w:val="21"/>
                <w:szCs w:val="21"/>
              </w:rPr>
            </w:pPr>
            <w:r>
              <w:rPr>
                <w:smallCaps w:val="0"/>
                <w:sz w:val="21"/>
                <w:szCs w:val="21"/>
              </w:rPr>
              <w:t>达标评价</w:t>
            </w:r>
          </w:p>
        </w:tc>
        <w:tc>
          <w:tcPr>
            <w:tcW w:w="885" w:type="dxa"/>
            <w:vMerge w:val="restart"/>
            <w:tcBorders>
              <w:top w:val="single" w:color="auto" w:sz="4" w:space="0"/>
              <w:left w:val="nil"/>
              <w:bottom w:val="single" w:color="auto" w:sz="4" w:space="0"/>
              <w:right w:val="single" w:color="auto" w:sz="4" w:space="0"/>
            </w:tcBorders>
            <w:noWrap/>
            <w:vAlign w:val="center"/>
          </w:tcPr>
          <w:p>
            <w:pPr>
              <w:adjustRightInd w:val="0"/>
              <w:snapToGrid w:val="0"/>
              <w:spacing w:line="360" w:lineRule="exact"/>
              <w:rPr>
                <w:smallCaps w:val="0"/>
                <w:kern w:val="2"/>
                <w:sz w:val="21"/>
                <w:szCs w:val="21"/>
              </w:rPr>
            </w:pPr>
            <w:r>
              <w:rPr>
                <w:smallCaps w:val="0"/>
                <w:sz w:val="21"/>
                <w:szCs w:val="21"/>
              </w:rPr>
              <w:t>超标项目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rPr>
                <w:smallCaps w:val="0"/>
                <w:kern w:val="2"/>
                <w:sz w:val="21"/>
                <w:szCs w:val="21"/>
              </w:rPr>
            </w:pPr>
          </w:p>
        </w:tc>
        <w:tc>
          <w:tcPr>
            <w:tcW w:w="1984" w:type="dxa"/>
            <w:vMerge w:val="continue"/>
            <w:tcBorders>
              <w:top w:val="single" w:color="auto" w:sz="4" w:space="0"/>
              <w:left w:val="nil"/>
              <w:bottom w:val="single" w:color="auto" w:sz="4" w:space="0"/>
              <w:right w:val="single" w:color="auto" w:sz="4" w:space="0"/>
            </w:tcBorders>
            <w:noWrap w:val="0"/>
            <w:vAlign w:val="center"/>
          </w:tcPr>
          <w:p>
            <w:pPr>
              <w:widowControl/>
              <w:rPr>
                <w:smallCaps w:val="0"/>
                <w:kern w:val="2"/>
                <w:sz w:val="21"/>
                <w:szCs w:val="21"/>
              </w:rPr>
            </w:pPr>
          </w:p>
        </w:tc>
        <w:tc>
          <w:tcPr>
            <w:tcW w:w="1843" w:type="dxa"/>
            <w:vMerge w:val="continue"/>
            <w:tcBorders>
              <w:top w:val="single" w:color="auto" w:sz="4" w:space="0"/>
              <w:left w:val="nil"/>
              <w:bottom w:val="single" w:color="auto" w:sz="4" w:space="0"/>
              <w:right w:val="single" w:color="auto" w:sz="4" w:space="0"/>
            </w:tcBorders>
            <w:noWrap w:val="0"/>
            <w:vAlign w:val="center"/>
          </w:tcPr>
          <w:p>
            <w:pPr>
              <w:widowControl/>
              <w:rPr>
                <w:smallCaps w:val="0"/>
                <w:kern w:val="2"/>
                <w:sz w:val="21"/>
                <w:szCs w:val="21"/>
              </w:rPr>
            </w:pPr>
          </w:p>
        </w:tc>
        <w:tc>
          <w:tcPr>
            <w:tcW w:w="850" w:type="dxa"/>
            <w:vMerge w:val="continue"/>
            <w:tcBorders>
              <w:top w:val="single" w:color="auto" w:sz="4" w:space="0"/>
              <w:left w:val="nil"/>
              <w:bottom w:val="single" w:color="auto" w:sz="4" w:space="0"/>
              <w:right w:val="single" w:color="auto" w:sz="4" w:space="0"/>
            </w:tcBorders>
            <w:noWrap w:val="0"/>
            <w:vAlign w:val="center"/>
          </w:tcPr>
          <w:p>
            <w:pPr>
              <w:widowControl/>
              <w:rPr>
                <w:smallCaps w:val="0"/>
                <w:kern w:val="2"/>
                <w:sz w:val="21"/>
                <w:szCs w:val="21"/>
              </w:rPr>
            </w:pPr>
          </w:p>
        </w:tc>
        <w:tc>
          <w:tcPr>
            <w:tcW w:w="709" w:type="dxa"/>
            <w:vMerge w:val="continue"/>
            <w:tcBorders>
              <w:top w:val="single" w:color="auto" w:sz="4" w:space="0"/>
              <w:left w:val="nil"/>
              <w:bottom w:val="single" w:color="auto" w:sz="4" w:space="0"/>
              <w:right w:val="single" w:color="auto" w:sz="4" w:space="0"/>
            </w:tcBorders>
            <w:noWrap w:val="0"/>
            <w:vAlign w:val="center"/>
          </w:tcPr>
          <w:p>
            <w:pPr>
              <w:widowControl/>
              <w:rPr>
                <w:smallCaps w:val="0"/>
                <w:kern w:val="2"/>
                <w:sz w:val="21"/>
                <w:szCs w:val="21"/>
              </w:rPr>
            </w:pPr>
          </w:p>
        </w:tc>
        <w:tc>
          <w:tcPr>
            <w:tcW w:w="832" w:type="dxa"/>
            <w:vMerge w:val="continue"/>
            <w:tcBorders>
              <w:top w:val="single" w:color="auto" w:sz="4" w:space="0"/>
              <w:left w:val="nil"/>
              <w:bottom w:val="single" w:color="auto" w:sz="4" w:space="0"/>
              <w:right w:val="single" w:color="auto" w:sz="4" w:space="0"/>
            </w:tcBorders>
            <w:noWrap w:val="0"/>
            <w:vAlign w:val="center"/>
          </w:tcPr>
          <w:p>
            <w:pPr>
              <w:widowControl/>
              <w:rPr>
                <w:smallCaps w:val="0"/>
                <w:kern w:val="2"/>
                <w:sz w:val="21"/>
                <w:szCs w:val="21"/>
              </w:rPr>
            </w:pPr>
          </w:p>
        </w:tc>
        <w:tc>
          <w:tcPr>
            <w:tcW w:w="885" w:type="dxa"/>
            <w:vMerge w:val="continue"/>
            <w:tcBorders>
              <w:top w:val="single" w:color="auto" w:sz="4" w:space="0"/>
              <w:left w:val="nil"/>
              <w:bottom w:val="single" w:color="auto" w:sz="4" w:space="0"/>
              <w:right w:val="single" w:color="auto" w:sz="4" w:space="0"/>
            </w:tcBorders>
            <w:noWrap w:val="0"/>
            <w:vAlign w:val="center"/>
          </w:tcPr>
          <w:p>
            <w:pPr>
              <w:widowControl/>
              <w:rPr>
                <w:smallCaps w:val="0"/>
                <w:kern w:val="2"/>
                <w:sz w:val="21"/>
                <w:szCs w:val="21"/>
              </w:rPr>
            </w:pPr>
          </w:p>
        </w:tc>
        <w:tc>
          <w:tcPr>
            <w:tcW w:w="885" w:type="dxa"/>
            <w:vMerge w:val="continue"/>
            <w:tcBorders>
              <w:top w:val="single" w:color="auto" w:sz="4" w:space="0"/>
              <w:left w:val="nil"/>
              <w:bottom w:val="single" w:color="auto" w:sz="4" w:space="0"/>
              <w:right w:val="single" w:color="auto" w:sz="4" w:space="0"/>
            </w:tcBorders>
            <w:noWrap w:val="0"/>
            <w:vAlign w:val="center"/>
          </w:tcPr>
          <w:p>
            <w:pPr>
              <w:widowControl/>
              <w:rPr>
                <w:smallCaps w:val="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rPr>
                <w:smallCaps w:val="0"/>
                <w:kern w:val="2"/>
                <w:sz w:val="21"/>
                <w:szCs w:val="21"/>
              </w:rPr>
            </w:pPr>
            <w:r>
              <w:rPr>
                <w:smallCaps w:val="0"/>
                <w:sz w:val="21"/>
                <w:szCs w:val="21"/>
              </w:rPr>
              <w:t>1</w:t>
            </w:r>
          </w:p>
        </w:tc>
        <w:tc>
          <w:tcPr>
            <w:tcW w:w="1984" w:type="dxa"/>
            <w:tcBorders>
              <w:top w:val="single" w:color="auto" w:sz="4" w:space="0"/>
              <w:left w:val="nil"/>
              <w:bottom w:val="single" w:color="auto" w:sz="4" w:space="0"/>
              <w:right w:val="single" w:color="auto" w:sz="4" w:space="0"/>
            </w:tcBorders>
            <w:noWrap/>
            <w:vAlign w:val="center"/>
          </w:tcPr>
          <w:p>
            <w:pPr>
              <w:adjustRightInd w:val="0"/>
              <w:snapToGrid w:val="0"/>
              <w:spacing w:line="360" w:lineRule="exact"/>
              <w:rPr>
                <w:smallCaps w:val="0"/>
                <w:kern w:val="2"/>
                <w:sz w:val="21"/>
                <w:szCs w:val="21"/>
              </w:rPr>
            </w:pPr>
            <w:r>
              <w:rPr>
                <w:smallCaps w:val="0"/>
                <w:sz w:val="21"/>
                <w:szCs w:val="21"/>
              </w:rPr>
              <w:t>资水(夫夷水)资源源头水保护区</w:t>
            </w:r>
          </w:p>
        </w:tc>
        <w:tc>
          <w:tcPr>
            <w:tcW w:w="1843" w:type="dxa"/>
            <w:tcBorders>
              <w:top w:val="single" w:color="auto" w:sz="4" w:space="0"/>
              <w:left w:val="nil"/>
              <w:bottom w:val="single" w:color="auto" w:sz="4" w:space="0"/>
              <w:right w:val="single" w:color="auto" w:sz="4" w:space="0"/>
            </w:tcBorders>
            <w:noWrap/>
            <w:vAlign w:val="center"/>
          </w:tcPr>
          <w:p>
            <w:pPr>
              <w:adjustRightInd w:val="0"/>
              <w:snapToGrid w:val="0"/>
              <w:spacing w:line="360" w:lineRule="exact"/>
              <w:rPr>
                <w:smallCaps w:val="0"/>
                <w:kern w:val="2"/>
                <w:sz w:val="21"/>
                <w:szCs w:val="21"/>
              </w:rPr>
            </w:pPr>
          </w:p>
        </w:tc>
        <w:tc>
          <w:tcPr>
            <w:tcW w:w="850" w:type="dxa"/>
            <w:tcBorders>
              <w:top w:val="single" w:color="auto" w:sz="4" w:space="0"/>
              <w:left w:val="nil"/>
              <w:bottom w:val="single" w:color="auto" w:sz="4" w:space="0"/>
              <w:right w:val="single" w:color="auto" w:sz="4" w:space="0"/>
            </w:tcBorders>
            <w:noWrap/>
            <w:vAlign w:val="center"/>
          </w:tcPr>
          <w:p>
            <w:pPr>
              <w:adjustRightInd w:val="0"/>
              <w:snapToGrid w:val="0"/>
              <w:spacing w:line="360" w:lineRule="exact"/>
              <w:rPr>
                <w:smallCaps w:val="0"/>
                <w:kern w:val="2"/>
                <w:sz w:val="21"/>
                <w:szCs w:val="21"/>
              </w:rPr>
            </w:pPr>
            <w:r>
              <w:rPr>
                <w:smallCaps w:val="0"/>
                <w:sz w:val="21"/>
                <w:szCs w:val="21"/>
              </w:rPr>
              <w:t>资水</w:t>
            </w:r>
          </w:p>
        </w:tc>
        <w:tc>
          <w:tcPr>
            <w:tcW w:w="709" w:type="dxa"/>
            <w:tcBorders>
              <w:top w:val="single" w:color="auto" w:sz="4" w:space="0"/>
              <w:left w:val="nil"/>
              <w:bottom w:val="single" w:color="auto" w:sz="4" w:space="0"/>
              <w:right w:val="single" w:color="auto" w:sz="4" w:space="0"/>
            </w:tcBorders>
            <w:noWrap/>
            <w:vAlign w:val="center"/>
          </w:tcPr>
          <w:p>
            <w:pPr>
              <w:adjustRightInd w:val="0"/>
              <w:snapToGrid w:val="0"/>
              <w:spacing w:line="340" w:lineRule="exact"/>
              <w:jc w:val="center"/>
              <w:rPr>
                <w:smallCaps w:val="0"/>
                <w:kern w:val="0"/>
                <w:sz w:val="21"/>
                <w:szCs w:val="21"/>
              </w:rPr>
            </w:pPr>
            <w:r>
              <w:rPr>
                <w:smallCaps w:val="0"/>
                <w:kern w:val="0"/>
                <w:sz w:val="21"/>
                <w:szCs w:val="21"/>
              </w:rPr>
              <w:t>35</w:t>
            </w:r>
          </w:p>
        </w:tc>
        <w:tc>
          <w:tcPr>
            <w:tcW w:w="832" w:type="dxa"/>
            <w:tcBorders>
              <w:top w:val="single" w:color="auto" w:sz="4" w:space="0"/>
              <w:left w:val="nil"/>
              <w:bottom w:val="single" w:color="auto" w:sz="4" w:space="0"/>
              <w:right w:val="single" w:color="auto" w:sz="4" w:space="0"/>
            </w:tcBorders>
            <w:noWrap/>
            <w:vAlign w:val="center"/>
          </w:tcPr>
          <w:p>
            <w:pPr>
              <w:adjustRightInd w:val="0"/>
              <w:snapToGrid w:val="0"/>
              <w:spacing w:line="340" w:lineRule="exact"/>
              <w:ind w:firstLine="174" w:firstLineChars="83"/>
              <w:rPr>
                <w:smallCaps w:val="0"/>
                <w:kern w:val="0"/>
                <w:sz w:val="21"/>
                <w:szCs w:val="21"/>
              </w:rPr>
            </w:pPr>
            <w:r>
              <w:rPr>
                <w:smallCaps w:val="0"/>
                <w:kern w:val="0"/>
                <w:sz w:val="21"/>
                <w:szCs w:val="21"/>
              </w:rPr>
              <w:t>Ⅱ</w:t>
            </w:r>
          </w:p>
        </w:tc>
        <w:tc>
          <w:tcPr>
            <w:tcW w:w="885" w:type="dxa"/>
            <w:tcBorders>
              <w:top w:val="single" w:color="auto" w:sz="4" w:space="0"/>
              <w:left w:val="nil"/>
              <w:bottom w:val="single" w:color="auto" w:sz="4" w:space="0"/>
              <w:right w:val="single" w:color="auto" w:sz="4" w:space="0"/>
            </w:tcBorders>
            <w:noWrap/>
            <w:vAlign w:val="center"/>
          </w:tcPr>
          <w:p>
            <w:pPr>
              <w:adjustRightInd w:val="0"/>
              <w:snapToGrid w:val="0"/>
              <w:spacing w:line="340" w:lineRule="exact"/>
              <w:jc w:val="center"/>
              <w:rPr>
                <w:smallCaps w:val="0"/>
                <w:kern w:val="0"/>
                <w:sz w:val="21"/>
                <w:szCs w:val="21"/>
              </w:rPr>
            </w:pPr>
            <w:r>
              <w:rPr>
                <w:smallCaps w:val="0"/>
                <w:kern w:val="0"/>
                <w:sz w:val="21"/>
                <w:szCs w:val="21"/>
              </w:rPr>
              <w:t>达标</w:t>
            </w:r>
          </w:p>
        </w:tc>
        <w:tc>
          <w:tcPr>
            <w:tcW w:w="885" w:type="dxa"/>
            <w:tcBorders>
              <w:top w:val="single" w:color="auto" w:sz="4" w:space="0"/>
              <w:left w:val="nil"/>
              <w:bottom w:val="single" w:color="auto" w:sz="4" w:space="0"/>
              <w:right w:val="single" w:color="auto" w:sz="4" w:space="0"/>
            </w:tcBorders>
            <w:noWrap/>
            <w:vAlign w:val="center"/>
          </w:tcPr>
          <w:p>
            <w:pPr>
              <w:adjustRightInd w:val="0"/>
              <w:snapToGrid w:val="0"/>
              <w:spacing w:line="360" w:lineRule="exact"/>
              <w:rPr>
                <w:smallCaps w:val="0"/>
                <w:kern w:val="2"/>
                <w:sz w:val="21"/>
                <w:szCs w:val="21"/>
              </w:rPr>
            </w:pPr>
            <w:r>
              <w:rPr>
                <w:smallCaps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rPr>
                <w:smallCaps w:val="0"/>
                <w:kern w:val="2"/>
                <w:sz w:val="21"/>
                <w:szCs w:val="21"/>
              </w:rPr>
            </w:pPr>
            <w:r>
              <w:rPr>
                <w:smallCaps w:val="0"/>
                <w:sz w:val="21"/>
                <w:szCs w:val="21"/>
              </w:rPr>
              <w:t>2</w:t>
            </w:r>
          </w:p>
        </w:tc>
        <w:tc>
          <w:tcPr>
            <w:tcW w:w="1984" w:type="dxa"/>
            <w:vMerge w:val="restart"/>
            <w:tcBorders>
              <w:top w:val="nil"/>
              <w:left w:val="nil"/>
              <w:bottom w:val="single" w:color="auto" w:sz="4" w:space="0"/>
              <w:right w:val="single" w:color="auto" w:sz="4" w:space="0"/>
            </w:tcBorders>
            <w:noWrap/>
            <w:vAlign w:val="center"/>
          </w:tcPr>
          <w:p>
            <w:pPr>
              <w:adjustRightInd w:val="0"/>
              <w:snapToGrid w:val="0"/>
              <w:spacing w:line="360" w:lineRule="exact"/>
              <w:rPr>
                <w:smallCaps w:val="0"/>
                <w:kern w:val="2"/>
                <w:sz w:val="21"/>
                <w:szCs w:val="21"/>
              </w:rPr>
            </w:pPr>
            <w:r>
              <w:rPr>
                <w:smallCaps w:val="0"/>
                <w:sz w:val="21"/>
                <w:szCs w:val="21"/>
              </w:rPr>
              <w:t>资水(夫夷水)资源开发利用区</w:t>
            </w:r>
          </w:p>
        </w:tc>
        <w:tc>
          <w:tcPr>
            <w:tcW w:w="1843" w:type="dxa"/>
            <w:tcBorders>
              <w:top w:val="single" w:color="auto" w:sz="4" w:space="0"/>
              <w:left w:val="nil"/>
              <w:bottom w:val="single" w:color="auto" w:sz="4" w:space="0"/>
              <w:right w:val="single" w:color="auto" w:sz="4" w:space="0"/>
            </w:tcBorders>
            <w:noWrap/>
            <w:vAlign w:val="center"/>
          </w:tcPr>
          <w:p>
            <w:pPr>
              <w:adjustRightInd w:val="0"/>
              <w:snapToGrid w:val="0"/>
              <w:spacing w:line="360" w:lineRule="exact"/>
              <w:rPr>
                <w:smallCaps w:val="0"/>
                <w:kern w:val="2"/>
                <w:sz w:val="21"/>
                <w:szCs w:val="21"/>
              </w:rPr>
            </w:pPr>
            <w:r>
              <w:rPr>
                <w:smallCaps w:val="0"/>
                <w:sz w:val="21"/>
                <w:szCs w:val="21"/>
              </w:rPr>
              <w:t>资水资源工业用水区</w:t>
            </w:r>
          </w:p>
        </w:tc>
        <w:tc>
          <w:tcPr>
            <w:tcW w:w="850" w:type="dxa"/>
            <w:tcBorders>
              <w:top w:val="single" w:color="auto" w:sz="4" w:space="0"/>
              <w:left w:val="nil"/>
              <w:bottom w:val="single" w:color="auto" w:sz="4" w:space="0"/>
              <w:right w:val="single" w:color="auto" w:sz="4" w:space="0"/>
            </w:tcBorders>
            <w:noWrap/>
            <w:vAlign w:val="center"/>
          </w:tcPr>
          <w:p>
            <w:pPr>
              <w:adjustRightInd w:val="0"/>
              <w:snapToGrid w:val="0"/>
              <w:spacing w:line="360" w:lineRule="exact"/>
              <w:rPr>
                <w:smallCaps w:val="0"/>
                <w:kern w:val="2"/>
                <w:sz w:val="21"/>
                <w:szCs w:val="21"/>
              </w:rPr>
            </w:pPr>
            <w:r>
              <w:rPr>
                <w:smallCaps w:val="0"/>
                <w:sz w:val="21"/>
                <w:szCs w:val="21"/>
              </w:rPr>
              <w:t>资水</w:t>
            </w:r>
          </w:p>
        </w:tc>
        <w:tc>
          <w:tcPr>
            <w:tcW w:w="709" w:type="dxa"/>
            <w:tcBorders>
              <w:top w:val="single" w:color="auto" w:sz="4" w:space="0"/>
              <w:left w:val="nil"/>
              <w:bottom w:val="single" w:color="auto" w:sz="4" w:space="0"/>
              <w:right w:val="single" w:color="auto" w:sz="4" w:space="0"/>
            </w:tcBorders>
            <w:noWrap/>
            <w:vAlign w:val="center"/>
          </w:tcPr>
          <w:p>
            <w:pPr>
              <w:adjustRightInd w:val="0"/>
              <w:snapToGrid w:val="0"/>
              <w:spacing w:line="340" w:lineRule="exact"/>
              <w:jc w:val="center"/>
              <w:rPr>
                <w:smallCaps w:val="0"/>
                <w:kern w:val="0"/>
                <w:sz w:val="21"/>
                <w:szCs w:val="21"/>
              </w:rPr>
            </w:pPr>
            <w:r>
              <w:rPr>
                <w:smallCaps w:val="0"/>
                <w:kern w:val="0"/>
                <w:sz w:val="21"/>
                <w:szCs w:val="21"/>
              </w:rPr>
              <w:t>10</w:t>
            </w:r>
          </w:p>
        </w:tc>
        <w:tc>
          <w:tcPr>
            <w:tcW w:w="832" w:type="dxa"/>
            <w:tcBorders>
              <w:top w:val="single" w:color="auto" w:sz="4" w:space="0"/>
              <w:left w:val="nil"/>
              <w:bottom w:val="single" w:color="auto" w:sz="4" w:space="0"/>
              <w:right w:val="single" w:color="auto" w:sz="4" w:space="0"/>
            </w:tcBorders>
            <w:noWrap w:val="0"/>
            <w:vAlign w:val="center"/>
          </w:tcPr>
          <w:p>
            <w:pPr>
              <w:adjustRightInd w:val="0"/>
              <w:snapToGrid w:val="0"/>
              <w:spacing w:line="340" w:lineRule="exact"/>
              <w:ind w:firstLine="174" w:firstLineChars="83"/>
              <w:rPr>
                <w:smallCaps w:val="0"/>
                <w:kern w:val="0"/>
                <w:sz w:val="21"/>
                <w:szCs w:val="21"/>
              </w:rPr>
            </w:pPr>
            <w:r>
              <w:rPr>
                <w:smallCaps w:val="0"/>
                <w:kern w:val="0"/>
                <w:sz w:val="21"/>
                <w:szCs w:val="21"/>
              </w:rPr>
              <w:t>Ⅲ</w:t>
            </w:r>
          </w:p>
        </w:tc>
        <w:tc>
          <w:tcPr>
            <w:tcW w:w="885" w:type="dxa"/>
            <w:tcBorders>
              <w:top w:val="single" w:color="auto" w:sz="4" w:space="0"/>
              <w:left w:val="nil"/>
              <w:bottom w:val="single" w:color="auto" w:sz="4" w:space="0"/>
              <w:right w:val="single" w:color="auto" w:sz="4" w:space="0"/>
            </w:tcBorders>
            <w:noWrap/>
            <w:vAlign w:val="center"/>
          </w:tcPr>
          <w:p>
            <w:pPr>
              <w:adjustRightInd w:val="0"/>
              <w:snapToGrid w:val="0"/>
              <w:spacing w:line="340" w:lineRule="exact"/>
              <w:jc w:val="center"/>
              <w:rPr>
                <w:smallCaps w:val="0"/>
                <w:kern w:val="0"/>
                <w:sz w:val="21"/>
                <w:szCs w:val="21"/>
              </w:rPr>
            </w:pPr>
            <w:r>
              <w:rPr>
                <w:smallCaps w:val="0"/>
                <w:kern w:val="0"/>
                <w:sz w:val="21"/>
                <w:szCs w:val="21"/>
              </w:rPr>
              <w:t>达标</w:t>
            </w:r>
          </w:p>
        </w:tc>
        <w:tc>
          <w:tcPr>
            <w:tcW w:w="885" w:type="dxa"/>
            <w:tcBorders>
              <w:top w:val="single" w:color="auto" w:sz="4" w:space="0"/>
              <w:left w:val="nil"/>
              <w:bottom w:val="single" w:color="auto" w:sz="4" w:space="0"/>
              <w:right w:val="single" w:color="auto" w:sz="4" w:space="0"/>
            </w:tcBorders>
            <w:noWrap/>
            <w:vAlign w:val="center"/>
          </w:tcPr>
          <w:p>
            <w:pPr>
              <w:adjustRightInd w:val="0"/>
              <w:snapToGrid w:val="0"/>
              <w:spacing w:line="360" w:lineRule="exact"/>
              <w:rPr>
                <w:smallCaps w:val="0"/>
                <w:kern w:val="2"/>
                <w:sz w:val="21"/>
                <w:szCs w:val="21"/>
              </w:rPr>
            </w:pPr>
            <w:r>
              <w:rPr>
                <w:smallCaps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rPr>
                <w:smallCaps w:val="0"/>
                <w:kern w:val="2"/>
                <w:sz w:val="21"/>
                <w:szCs w:val="21"/>
              </w:rPr>
            </w:pPr>
            <w:r>
              <w:rPr>
                <w:smallCaps w:val="0"/>
                <w:sz w:val="21"/>
                <w:szCs w:val="21"/>
              </w:rPr>
              <w:t>3</w:t>
            </w:r>
          </w:p>
        </w:tc>
        <w:tc>
          <w:tcPr>
            <w:tcW w:w="1984" w:type="dxa"/>
            <w:vMerge w:val="continue"/>
            <w:tcBorders>
              <w:top w:val="nil"/>
              <w:left w:val="nil"/>
              <w:bottom w:val="single" w:color="auto" w:sz="4" w:space="0"/>
              <w:right w:val="single" w:color="auto" w:sz="4" w:space="0"/>
            </w:tcBorders>
            <w:noWrap w:val="0"/>
            <w:vAlign w:val="center"/>
          </w:tcPr>
          <w:p>
            <w:pPr>
              <w:widowControl/>
              <w:rPr>
                <w:smallCaps w:val="0"/>
                <w:kern w:val="2"/>
                <w:sz w:val="21"/>
                <w:szCs w:val="21"/>
              </w:rPr>
            </w:pPr>
          </w:p>
        </w:tc>
        <w:tc>
          <w:tcPr>
            <w:tcW w:w="1843" w:type="dxa"/>
            <w:tcBorders>
              <w:top w:val="single" w:color="auto" w:sz="4" w:space="0"/>
              <w:left w:val="nil"/>
              <w:bottom w:val="single" w:color="auto" w:sz="4" w:space="0"/>
              <w:right w:val="single" w:color="auto" w:sz="4" w:space="0"/>
            </w:tcBorders>
            <w:noWrap/>
            <w:vAlign w:val="center"/>
          </w:tcPr>
          <w:p>
            <w:pPr>
              <w:adjustRightInd w:val="0"/>
              <w:snapToGrid w:val="0"/>
              <w:spacing w:line="360" w:lineRule="exact"/>
              <w:rPr>
                <w:smallCaps w:val="0"/>
                <w:kern w:val="2"/>
                <w:sz w:val="21"/>
                <w:szCs w:val="21"/>
              </w:rPr>
            </w:pPr>
            <w:r>
              <w:rPr>
                <w:smallCaps w:val="0"/>
                <w:sz w:val="21"/>
                <w:szCs w:val="21"/>
              </w:rPr>
              <w:t>资水资源饮用水源区</w:t>
            </w:r>
          </w:p>
        </w:tc>
        <w:tc>
          <w:tcPr>
            <w:tcW w:w="850" w:type="dxa"/>
            <w:tcBorders>
              <w:top w:val="single" w:color="auto" w:sz="4" w:space="0"/>
              <w:left w:val="nil"/>
              <w:bottom w:val="single" w:color="auto" w:sz="4" w:space="0"/>
              <w:right w:val="single" w:color="auto" w:sz="4" w:space="0"/>
            </w:tcBorders>
            <w:noWrap/>
            <w:vAlign w:val="center"/>
          </w:tcPr>
          <w:p>
            <w:pPr>
              <w:adjustRightInd w:val="0"/>
              <w:snapToGrid w:val="0"/>
              <w:spacing w:line="360" w:lineRule="exact"/>
              <w:rPr>
                <w:smallCaps w:val="0"/>
                <w:kern w:val="2"/>
                <w:sz w:val="21"/>
                <w:szCs w:val="21"/>
              </w:rPr>
            </w:pPr>
            <w:r>
              <w:rPr>
                <w:smallCaps w:val="0"/>
                <w:sz w:val="21"/>
                <w:szCs w:val="21"/>
              </w:rPr>
              <w:t>资水</w:t>
            </w:r>
          </w:p>
        </w:tc>
        <w:tc>
          <w:tcPr>
            <w:tcW w:w="709" w:type="dxa"/>
            <w:tcBorders>
              <w:top w:val="single" w:color="auto" w:sz="4" w:space="0"/>
              <w:left w:val="nil"/>
              <w:bottom w:val="single" w:color="auto" w:sz="4" w:space="0"/>
              <w:right w:val="single" w:color="auto" w:sz="4" w:space="0"/>
            </w:tcBorders>
            <w:noWrap/>
            <w:vAlign w:val="center"/>
          </w:tcPr>
          <w:p>
            <w:pPr>
              <w:adjustRightInd w:val="0"/>
              <w:snapToGrid w:val="0"/>
              <w:spacing w:line="340" w:lineRule="exact"/>
              <w:ind w:firstLine="174" w:firstLineChars="83"/>
              <w:jc w:val="center"/>
              <w:rPr>
                <w:smallCaps w:val="0"/>
                <w:kern w:val="0"/>
                <w:sz w:val="21"/>
                <w:szCs w:val="21"/>
              </w:rPr>
            </w:pPr>
            <w:r>
              <w:rPr>
                <w:smallCaps w:val="0"/>
                <w:kern w:val="0"/>
                <w:sz w:val="21"/>
                <w:szCs w:val="21"/>
              </w:rPr>
              <w:t>4</w:t>
            </w:r>
          </w:p>
        </w:tc>
        <w:tc>
          <w:tcPr>
            <w:tcW w:w="832" w:type="dxa"/>
            <w:tcBorders>
              <w:top w:val="single" w:color="auto" w:sz="4" w:space="0"/>
              <w:left w:val="nil"/>
              <w:bottom w:val="single" w:color="auto" w:sz="4" w:space="0"/>
              <w:right w:val="single" w:color="auto" w:sz="4" w:space="0"/>
            </w:tcBorders>
            <w:noWrap w:val="0"/>
            <w:vAlign w:val="center"/>
          </w:tcPr>
          <w:p>
            <w:pPr>
              <w:adjustRightInd w:val="0"/>
              <w:snapToGrid w:val="0"/>
              <w:spacing w:line="340" w:lineRule="exact"/>
              <w:ind w:firstLine="174" w:firstLineChars="83"/>
              <w:rPr>
                <w:smallCaps w:val="0"/>
                <w:kern w:val="0"/>
                <w:sz w:val="21"/>
                <w:szCs w:val="21"/>
              </w:rPr>
            </w:pPr>
            <w:r>
              <w:rPr>
                <w:smallCaps w:val="0"/>
                <w:kern w:val="0"/>
                <w:sz w:val="21"/>
                <w:szCs w:val="21"/>
              </w:rPr>
              <w:t>Ⅲ</w:t>
            </w:r>
          </w:p>
        </w:tc>
        <w:tc>
          <w:tcPr>
            <w:tcW w:w="885" w:type="dxa"/>
            <w:tcBorders>
              <w:top w:val="single" w:color="auto" w:sz="4" w:space="0"/>
              <w:left w:val="nil"/>
              <w:bottom w:val="single" w:color="auto" w:sz="4" w:space="0"/>
              <w:right w:val="single" w:color="auto" w:sz="4" w:space="0"/>
            </w:tcBorders>
            <w:noWrap/>
            <w:vAlign w:val="center"/>
          </w:tcPr>
          <w:p>
            <w:pPr>
              <w:adjustRightInd w:val="0"/>
              <w:snapToGrid w:val="0"/>
              <w:spacing w:line="340" w:lineRule="exact"/>
              <w:jc w:val="center"/>
              <w:rPr>
                <w:smallCaps w:val="0"/>
                <w:kern w:val="0"/>
                <w:sz w:val="21"/>
                <w:szCs w:val="21"/>
              </w:rPr>
            </w:pPr>
            <w:r>
              <w:rPr>
                <w:smallCaps w:val="0"/>
                <w:kern w:val="0"/>
                <w:sz w:val="21"/>
                <w:szCs w:val="21"/>
              </w:rPr>
              <w:t>达标</w:t>
            </w:r>
          </w:p>
        </w:tc>
        <w:tc>
          <w:tcPr>
            <w:tcW w:w="885" w:type="dxa"/>
            <w:tcBorders>
              <w:top w:val="single" w:color="auto" w:sz="4" w:space="0"/>
              <w:left w:val="nil"/>
              <w:bottom w:val="single" w:color="auto" w:sz="4" w:space="0"/>
              <w:right w:val="single" w:color="auto" w:sz="4" w:space="0"/>
            </w:tcBorders>
            <w:noWrap/>
            <w:vAlign w:val="center"/>
          </w:tcPr>
          <w:p>
            <w:pPr>
              <w:adjustRightInd w:val="0"/>
              <w:snapToGrid w:val="0"/>
              <w:spacing w:line="360" w:lineRule="exact"/>
              <w:rPr>
                <w:smallCaps w:val="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rPr>
                <w:smallCaps w:val="0"/>
                <w:kern w:val="2"/>
                <w:sz w:val="21"/>
                <w:szCs w:val="21"/>
              </w:rPr>
            </w:pPr>
            <w:r>
              <w:rPr>
                <w:smallCaps w:val="0"/>
                <w:sz w:val="21"/>
                <w:szCs w:val="21"/>
              </w:rPr>
              <w:t>4</w:t>
            </w:r>
          </w:p>
        </w:tc>
        <w:tc>
          <w:tcPr>
            <w:tcW w:w="1984" w:type="dxa"/>
            <w:tcBorders>
              <w:top w:val="single" w:color="auto" w:sz="4" w:space="0"/>
              <w:left w:val="nil"/>
              <w:bottom w:val="single" w:color="auto" w:sz="4" w:space="0"/>
              <w:right w:val="single" w:color="auto" w:sz="4" w:space="0"/>
            </w:tcBorders>
            <w:noWrap/>
            <w:vAlign w:val="center"/>
          </w:tcPr>
          <w:p>
            <w:pPr>
              <w:adjustRightInd w:val="0"/>
              <w:snapToGrid w:val="0"/>
              <w:spacing w:line="360" w:lineRule="exact"/>
              <w:rPr>
                <w:smallCaps w:val="0"/>
                <w:kern w:val="2"/>
                <w:sz w:val="21"/>
                <w:szCs w:val="21"/>
              </w:rPr>
            </w:pPr>
            <w:r>
              <w:rPr>
                <w:smallCaps w:val="0"/>
                <w:sz w:val="21"/>
                <w:szCs w:val="21"/>
              </w:rPr>
              <w:t>资水(夫夷水)资源保留区</w:t>
            </w:r>
          </w:p>
        </w:tc>
        <w:tc>
          <w:tcPr>
            <w:tcW w:w="1843" w:type="dxa"/>
            <w:tcBorders>
              <w:top w:val="single" w:color="auto" w:sz="4" w:space="0"/>
              <w:left w:val="nil"/>
              <w:bottom w:val="single" w:color="auto" w:sz="4" w:space="0"/>
              <w:right w:val="single" w:color="auto" w:sz="4" w:space="0"/>
            </w:tcBorders>
            <w:noWrap/>
            <w:vAlign w:val="center"/>
          </w:tcPr>
          <w:p>
            <w:pPr>
              <w:adjustRightInd w:val="0"/>
              <w:snapToGrid w:val="0"/>
              <w:spacing w:line="360" w:lineRule="exact"/>
              <w:rPr>
                <w:smallCaps w:val="0"/>
                <w:kern w:val="2"/>
                <w:sz w:val="21"/>
                <w:szCs w:val="21"/>
              </w:rPr>
            </w:pPr>
          </w:p>
        </w:tc>
        <w:tc>
          <w:tcPr>
            <w:tcW w:w="850" w:type="dxa"/>
            <w:tcBorders>
              <w:top w:val="single" w:color="auto" w:sz="4" w:space="0"/>
              <w:left w:val="nil"/>
              <w:bottom w:val="single" w:color="auto" w:sz="4" w:space="0"/>
              <w:right w:val="single" w:color="auto" w:sz="4" w:space="0"/>
            </w:tcBorders>
            <w:noWrap/>
            <w:vAlign w:val="center"/>
          </w:tcPr>
          <w:p>
            <w:pPr>
              <w:adjustRightInd w:val="0"/>
              <w:snapToGrid w:val="0"/>
              <w:spacing w:line="360" w:lineRule="exact"/>
              <w:rPr>
                <w:smallCaps w:val="0"/>
                <w:kern w:val="2"/>
                <w:sz w:val="21"/>
                <w:szCs w:val="21"/>
              </w:rPr>
            </w:pPr>
            <w:r>
              <w:rPr>
                <w:smallCaps w:val="0"/>
                <w:sz w:val="21"/>
                <w:szCs w:val="21"/>
              </w:rPr>
              <w:t>资水</w:t>
            </w:r>
          </w:p>
        </w:tc>
        <w:tc>
          <w:tcPr>
            <w:tcW w:w="709" w:type="dxa"/>
            <w:tcBorders>
              <w:top w:val="single" w:color="auto" w:sz="4" w:space="0"/>
              <w:left w:val="nil"/>
              <w:bottom w:val="single" w:color="auto" w:sz="4" w:space="0"/>
              <w:right w:val="single" w:color="auto" w:sz="4" w:space="0"/>
            </w:tcBorders>
            <w:noWrap/>
            <w:vAlign w:val="center"/>
          </w:tcPr>
          <w:p>
            <w:pPr>
              <w:adjustRightInd w:val="0"/>
              <w:snapToGrid w:val="0"/>
              <w:spacing w:line="340" w:lineRule="exact"/>
              <w:jc w:val="center"/>
              <w:rPr>
                <w:smallCaps w:val="0"/>
                <w:kern w:val="0"/>
                <w:sz w:val="21"/>
                <w:szCs w:val="21"/>
              </w:rPr>
            </w:pPr>
            <w:r>
              <w:rPr>
                <w:smallCaps w:val="0"/>
                <w:kern w:val="0"/>
                <w:sz w:val="21"/>
                <w:szCs w:val="21"/>
              </w:rPr>
              <w:t>30</w:t>
            </w:r>
          </w:p>
        </w:tc>
        <w:tc>
          <w:tcPr>
            <w:tcW w:w="832" w:type="dxa"/>
            <w:tcBorders>
              <w:top w:val="single" w:color="auto" w:sz="4" w:space="0"/>
              <w:left w:val="nil"/>
              <w:bottom w:val="single" w:color="auto" w:sz="4" w:space="0"/>
              <w:right w:val="single" w:color="auto" w:sz="4" w:space="0"/>
            </w:tcBorders>
            <w:noWrap w:val="0"/>
            <w:vAlign w:val="center"/>
          </w:tcPr>
          <w:p>
            <w:pPr>
              <w:adjustRightInd w:val="0"/>
              <w:snapToGrid w:val="0"/>
              <w:spacing w:line="340" w:lineRule="exact"/>
              <w:ind w:firstLine="174" w:firstLineChars="83"/>
              <w:rPr>
                <w:smallCaps w:val="0"/>
                <w:kern w:val="0"/>
                <w:sz w:val="21"/>
                <w:szCs w:val="21"/>
              </w:rPr>
            </w:pPr>
            <w:r>
              <w:rPr>
                <w:smallCaps w:val="0"/>
                <w:kern w:val="0"/>
                <w:sz w:val="21"/>
                <w:szCs w:val="21"/>
              </w:rPr>
              <w:t>Ⅲ</w:t>
            </w:r>
          </w:p>
        </w:tc>
        <w:tc>
          <w:tcPr>
            <w:tcW w:w="885" w:type="dxa"/>
            <w:tcBorders>
              <w:top w:val="single" w:color="auto" w:sz="4" w:space="0"/>
              <w:left w:val="nil"/>
              <w:bottom w:val="single" w:color="auto" w:sz="4" w:space="0"/>
              <w:right w:val="single" w:color="auto" w:sz="4" w:space="0"/>
            </w:tcBorders>
            <w:noWrap/>
            <w:vAlign w:val="center"/>
          </w:tcPr>
          <w:p>
            <w:pPr>
              <w:adjustRightInd w:val="0"/>
              <w:snapToGrid w:val="0"/>
              <w:spacing w:line="340" w:lineRule="exact"/>
              <w:jc w:val="center"/>
              <w:rPr>
                <w:smallCaps w:val="0"/>
                <w:kern w:val="0"/>
                <w:sz w:val="21"/>
                <w:szCs w:val="21"/>
              </w:rPr>
            </w:pPr>
            <w:r>
              <w:rPr>
                <w:smallCaps w:val="0"/>
                <w:kern w:val="0"/>
                <w:sz w:val="21"/>
                <w:szCs w:val="21"/>
              </w:rPr>
              <w:t>达标</w:t>
            </w:r>
          </w:p>
        </w:tc>
        <w:tc>
          <w:tcPr>
            <w:tcW w:w="885" w:type="dxa"/>
            <w:tcBorders>
              <w:top w:val="single" w:color="auto" w:sz="4" w:space="0"/>
              <w:left w:val="nil"/>
              <w:bottom w:val="single" w:color="auto" w:sz="4" w:space="0"/>
              <w:right w:val="single" w:color="auto" w:sz="4" w:space="0"/>
            </w:tcBorders>
            <w:noWrap/>
            <w:vAlign w:val="center"/>
          </w:tcPr>
          <w:p>
            <w:pPr>
              <w:adjustRightInd w:val="0"/>
              <w:snapToGrid w:val="0"/>
              <w:spacing w:line="360" w:lineRule="exact"/>
              <w:rPr>
                <w:smallCaps w:val="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rPr>
                <w:smallCaps w:val="0"/>
                <w:kern w:val="2"/>
                <w:sz w:val="21"/>
                <w:szCs w:val="21"/>
              </w:rPr>
            </w:pPr>
            <w:r>
              <w:rPr>
                <w:smallCaps w:val="0"/>
                <w:sz w:val="21"/>
                <w:szCs w:val="21"/>
              </w:rPr>
              <w:t>5</w:t>
            </w:r>
          </w:p>
        </w:tc>
        <w:tc>
          <w:tcPr>
            <w:tcW w:w="1984" w:type="dxa"/>
            <w:tcBorders>
              <w:top w:val="single" w:color="auto" w:sz="4" w:space="0"/>
              <w:left w:val="nil"/>
              <w:bottom w:val="single" w:color="auto" w:sz="4" w:space="0"/>
              <w:right w:val="single" w:color="auto" w:sz="4" w:space="0"/>
            </w:tcBorders>
            <w:noWrap/>
            <w:vAlign w:val="center"/>
          </w:tcPr>
          <w:p>
            <w:pPr>
              <w:adjustRightInd w:val="0"/>
              <w:snapToGrid w:val="0"/>
              <w:spacing w:line="360" w:lineRule="exact"/>
              <w:rPr>
                <w:smallCaps w:val="0"/>
                <w:kern w:val="2"/>
                <w:sz w:val="21"/>
                <w:szCs w:val="21"/>
              </w:rPr>
            </w:pPr>
            <w:r>
              <w:rPr>
                <w:smallCaps w:val="0"/>
                <w:sz w:val="21"/>
                <w:szCs w:val="21"/>
              </w:rPr>
              <w:t>资水(夫夷水)桂湘缓冲区</w:t>
            </w:r>
          </w:p>
        </w:tc>
        <w:tc>
          <w:tcPr>
            <w:tcW w:w="1843" w:type="dxa"/>
            <w:tcBorders>
              <w:top w:val="single" w:color="auto" w:sz="4" w:space="0"/>
              <w:left w:val="nil"/>
              <w:bottom w:val="single" w:color="auto" w:sz="4" w:space="0"/>
              <w:right w:val="single" w:color="auto" w:sz="4" w:space="0"/>
            </w:tcBorders>
            <w:noWrap/>
            <w:vAlign w:val="center"/>
          </w:tcPr>
          <w:p>
            <w:pPr>
              <w:adjustRightInd w:val="0"/>
              <w:snapToGrid w:val="0"/>
              <w:spacing w:line="360" w:lineRule="exact"/>
              <w:rPr>
                <w:smallCaps w:val="0"/>
                <w:kern w:val="2"/>
                <w:sz w:val="21"/>
                <w:szCs w:val="21"/>
              </w:rPr>
            </w:pPr>
          </w:p>
        </w:tc>
        <w:tc>
          <w:tcPr>
            <w:tcW w:w="850" w:type="dxa"/>
            <w:tcBorders>
              <w:top w:val="single" w:color="auto" w:sz="4" w:space="0"/>
              <w:left w:val="nil"/>
              <w:bottom w:val="single" w:color="auto" w:sz="4" w:space="0"/>
              <w:right w:val="single" w:color="auto" w:sz="4" w:space="0"/>
            </w:tcBorders>
            <w:noWrap/>
            <w:vAlign w:val="center"/>
          </w:tcPr>
          <w:p>
            <w:pPr>
              <w:adjustRightInd w:val="0"/>
              <w:snapToGrid w:val="0"/>
              <w:spacing w:line="360" w:lineRule="exact"/>
              <w:rPr>
                <w:smallCaps w:val="0"/>
                <w:kern w:val="2"/>
                <w:sz w:val="21"/>
                <w:szCs w:val="21"/>
              </w:rPr>
            </w:pPr>
            <w:r>
              <w:rPr>
                <w:smallCaps w:val="0"/>
                <w:sz w:val="21"/>
                <w:szCs w:val="21"/>
              </w:rPr>
              <w:t>资水</w:t>
            </w:r>
          </w:p>
        </w:tc>
        <w:tc>
          <w:tcPr>
            <w:tcW w:w="709" w:type="dxa"/>
            <w:tcBorders>
              <w:top w:val="single" w:color="auto" w:sz="4" w:space="0"/>
              <w:left w:val="nil"/>
              <w:bottom w:val="single" w:color="auto" w:sz="4" w:space="0"/>
              <w:right w:val="single" w:color="auto" w:sz="4" w:space="0"/>
            </w:tcBorders>
            <w:noWrap/>
            <w:vAlign w:val="center"/>
          </w:tcPr>
          <w:p>
            <w:pPr>
              <w:adjustRightInd w:val="0"/>
              <w:snapToGrid w:val="0"/>
              <w:spacing w:line="340" w:lineRule="exact"/>
              <w:jc w:val="center"/>
              <w:rPr>
                <w:smallCaps w:val="0"/>
                <w:kern w:val="0"/>
                <w:sz w:val="21"/>
                <w:szCs w:val="21"/>
              </w:rPr>
            </w:pPr>
            <w:r>
              <w:rPr>
                <w:smallCaps w:val="0"/>
                <w:kern w:val="0"/>
                <w:sz w:val="21"/>
                <w:szCs w:val="21"/>
              </w:rPr>
              <w:t>22</w:t>
            </w:r>
          </w:p>
        </w:tc>
        <w:tc>
          <w:tcPr>
            <w:tcW w:w="832" w:type="dxa"/>
            <w:tcBorders>
              <w:top w:val="single" w:color="auto" w:sz="4" w:space="0"/>
              <w:left w:val="nil"/>
              <w:bottom w:val="single" w:color="auto" w:sz="4" w:space="0"/>
              <w:right w:val="single" w:color="auto" w:sz="4" w:space="0"/>
            </w:tcBorders>
            <w:noWrap w:val="0"/>
            <w:vAlign w:val="center"/>
          </w:tcPr>
          <w:p>
            <w:pPr>
              <w:adjustRightInd w:val="0"/>
              <w:snapToGrid w:val="0"/>
              <w:spacing w:line="340" w:lineRule="exact"/>
              <w:ind w:firstLine="174" w:firstLineChars="83"/>
              <w:rPr>
                <w:smallCaps w:val="0"/>
                <w:kern w:val="0"/>
                <w:sz w:val="21"/>
                <w:szCs w:val="21"/>
              </w:rPr>
            </w:pPr>
            <w:r>
              <w:rPr>
                <w:smallCaps w:val="0"/>
                <w:kern w:val="0"/>
                <w:sz w:val="21"/>
                <w:szCs w:val="21"/>
              </w:rPr>
              <w:t>Ⅲ</w:t>
            </w:r>
          </w:p>
        </w:tc>
        <w:tc>
          <w:tcPr>
            <w:tcW w:w="885" w:type="dxa"/>
            <w:tcBorders>
              <w:top w:val="single" w:color="auto" w:sz="4" w:space="0"/>
              <w:left w:val="nil"/>
              <w:bottom w:val="single" w:color="auto" w:sz="4" w:space="0"/>
              <w:right w:val="single" w:color="auto" w:sz="4" w:space="0"/>
            </w:tcBorders>
            <w:noWrap/>
            <w:vAlign w:val="center"/>
          </w:tcPr>
          <w:p>
            <w:pPr>
              <w:adjustRightInd w:val="0"/>
              <w:snapToGrid w:val="0"/>
              <w:spacing w:line="340" w:lineRule="exact"/>
              <w:jc w:val="center"/>
              <w:rPr>
                <w:smallCaps w:val="0"/>
                <w:kern w:val="0"/>
                <w:sz w:val="21"/>
                <w:szCs w:val="21"/>
              </w:rPr>
            </w:pPr>
            <w:r>
              <w:rPr>
                <w:smallCaps w:val="0"/>
                <w:kern w:val="0"/>
                <w:sz w:val="21"/>
                <w:szCs w:val="21"/>
              </w:rPr>
              <w:t>达标</w:t>
            </w:r>
          </w:p>
        </w:tc>
        <w:tc>
          <w:tcPr>
            <w:tcW w:w="885" w:type="dxa"/>
            <w:tcBorders>
              <w:top w:val="single" w:color="auto" w:sz="4" w:space="0"/>
              <w:left w:val="nil"/>
              <w:bottom w:val="single" w:color="auto" w:sz="4" w:space="0"/>
              <w:right w:val="single" w:color="auto" w:sz="4" w:space="0"/>
            </w:tcBorders>
            <w:noWrap/>
            <w:vAlign w:val="center"/>
          </w:tcPr>
          <w:p>
            <w:pPr>
              <w:adjustRightInd w:val="0"/>
              <w:snapToGrid w:val="0"/>
              <w:spacing w:line="360" w:lineRule="exact"/>
              <w:rPr>
                <w:smallCaps w:val="0"/>
                <w:kern w:val="2"/>
                <w:sz w:val="21"/>
                <w:szCs w:val="21"/>
              </w:rPr>
            </w:pPr>
          </w:p>
        </w:tc>
      </w:tr>
    </w:tbl>
    <w:p>
      <w:pPr>
        <w:rPr>
          <w:bCs w:val="0"/>
          <w:smallCaps w:val="0"/>
          <w:kern w:val="2"/>
          <w:sz w:val="21"/>
          <w:szCs w:val="21"/>
        </w:rPr>
      </w:pPr>
      <w:r>
        <w:rPr>
          <w:smallCaps w:val="0"/>
          <w:sz w:val="21"/>
          <w:szCs w:val="21"/>
        </w:rPr>
        <w:t>注：1、粪大肠菌群和总氮两个项目不参与评价。</w:t>
      </w:r>
    </w:p>
    <w:p>
      <w:pPr>
        <w:pStyle w:val="5"/>
        <w:bidi w:val="0"/>
        <w:rPr>
          <w:rFonts w:cs="Times New Roman"/>
          <w:color w:val="auto"/>
        </w:rPr>
      </w:pPr>
      <w:bookmarkStart w:id="28" w:name="_Toc23106"/>
      <w:bookmarkStart w:id="29" w:name="_Toc13328"/>
      <w:r>
        <w:rPr>
          <w:rFonts w:cs="Times New Roman"/>
          <w:color w:val="auto"/>
        </w:rPr>
        <w:t>2.</w:t>
      </w:r>
      <w:r>
        <w:rPr>
          <w:rFonts w:hint="eastAsia" w:cs="Times New Roman"/>
          <w:color w:val="auto"/>
        </w:rPr>
        <w:t xml:space="preserve">7 </w:t>
      </w:r>
      <w:r>
        <w:rPr>
          <w:rFonts w:cs="Times New Roman"/>
          <w:color w:val="auto"/>
        </w:rPr>
        <w:t>水生生物状况</w:t>
      </w:r>
      <w:bookmarkEnd w:id="28"/>
      <w:bookmarkEnd w:id="29"/>
    </w:p>
    <w:p>
      <w:pPr>
        <w:spacing w:line="360" w:lineRule="auto"/>
        <w:ind w:firstLine="560" w:firstLineChars="200"/>
        <w:rPr>
          <w:rFonts w:ascii="Times New Roman" w:hAnsi="Times New Roman" w:eastAsia="仿宋" w:cs="Times New Roman"/>
          <w:bCs/>
          <w:color w:val="auto"/>
          <w:sz w:val="28"/>
          <w:szCs w:val="28"/>
        </w:rPr>
      </w:pPr>
      <w:r>
        <w:rPr>
          <w:rFonts w:hint="eastAsia" w:ascii="Times New Roman" w:hAnsi="Times New Roman" w:eastAsia="仿宋" w:cs="Times New Roman"/>
          <w:bCs/>
          <w:color w:val="auto"/>
          <w:sz w:val="28"/>
          <w:szCs w:val="28"/>
        </w:rPr>
        <w:t>资源县境内水产资源丰富，有</w:t>
      </w:r>
      <w:r>
        <w:rPr>
          <w:rFonts w:ascii="Times New Roman" w:hAnsi="Times New Roman" w:eastAsia="仿宋" w:cs="Times New Roman"/>
          <w:bCs/>
          <w:color w:val="auto"/>
          <w:sz w:val="28"/>
          <w:szCs w:val="28"/>
        </w:rPr>
        <w:t>鲤鱼、鲢鱼、鳜鱼、鲫鱼、黄尾鱼、赶鱼、堑鱼、塘鱼、油风鱼、刺鱼、马尾鱼、 白鱼、师公鱼、黄鳝、白鳝、杉木鱼(观赏鱼)、泥鳅、沙鳅、刀鳅、黄沙古、草鞋扒、哈吧 鱼等数十种</w:t>
      </w:r>
      <w:r>
        <w:rPr>
          <w:rFonts w:hint="eastAsia" w:ascii="Times New Roman" w:hAnsi="Times New Roman" w:eastAsia="仿宋" w:cs="Times New Roman"/>
          <w:bCs/>
          <w:color w:val="auto"/>
          <w:sz w:val="28"/>
          <w:szCs w:val="28"/>
        </w:rPr>
        <w:t>鱼。</w:t>
      </w:r>
    </w:p>
    <w:p>
      <w:pPr>
        <w:pStyle w:val="5"/>
        <w:bidi w:val="0"/>
        <w:rPr>
          <w:rFonts w:cs="Times New Roman"/>
          <w:color w:val="auto"/>
        </w:rPr>
      </w:pPr>
      <w:bookmarkStart w:id="30" w:name="_Toc14828"/>
      <w:bookmarkStart w:id="31" w:name="_Toc25579"/>
      <w:r>
        <w:rPr>
          <w:rFonts w:cs="Times New Roman"/>
          <w:color w:val="auto"/>
        </w:rPr>
        <w:t>2.</w:t>
      </w:r>
      <w:r>
        <w:rPr>
          <w:rFonts w:hint="eastAsia" w:cs="Times New Roman"/>
          <w:color w:val="auto"/>
        </w:rPr>
        <w:t xml:space="preserve">8  </w:t>
      </w:r>
      <w:r>
        <w:rPr>
          <w:rFonts w:cs="Times New Roman"/>
          <w:color w:val="auto"/>
        </w:rPr>
        <w:t>梯级开发概况</w:t>
      </w:r>
      <w:bookmarkEnd w:id="30"/>
      <w:bookmarkEnd w:id="31"/>
    </w:p>
    <w:p>
      <w:pPr>
        <w:tabs>
          <w:tab w:val="left" w:pos="2072"/>
        </w:tabs>
        <w:spacing w:line="360" w:lineRule="auto"/>
        <w:ind w:firstLine="560" w:firstLineChars="200"/>
        <w:rPr>
          <w:rFonts w:ascii="Times New Roman" w:hAnsi="Times New Roman" w:eastAsia="仿宋" w:cs="Times New Roman"/>
          <w:bCs/>
          <w:color w:val="auto"/>
          <w:sz w:val="28"/>
          <w:szCs w:val="28"/>
        </w:rPr>
      </w:pPr>
      <w:r>
        <w:rPr>
          <w:rFonts w:hint="eastAsia" w:ascii="Times New Roman" w:hAnsi="Times New Roman" w:eastAsia="仿宋" w:cs="Times New Roman"/>
          <w:bCs/>
          <w:color w:val="auto"/>
          <w:sz w:val="28"/>
          <w:szCs w:val="28"/>
          <w:lang w:eastAsia="zh-CN"/>
        </w:rPr>
        <w:t>资江流域</w:t>
      </w:r>
      <w:r>
        <w:rPr>
          <w:rFonts w:ascii="Times New Roman" w:hAnsi="Times New Roman" w:eastAsia="仿宋" w:cs="Times New Roman"/>
          <w:bCs/>
          <w:color w:val="auto"/>
          <w:sz w:val="28"/>
          <w:szCs w:val="28"/>
        </w:rPr>
        <w:t>对流域防洪、灌溉、</w:t>
      </w:r>
      <w:r>
        <w:rPr>
          <w:rFonts w:hint="eastAsia" w:ascii="Times New Roman" w:hAnsi="Times New Roman" w:eastAsia="仿宋" w:cs="Times New Roman"/>
          <w:bCs/>
          <w:color w:val="auto"/>
          <w:sz w:val="28"/>
          <w:szCs w:val="28"/>
          <w:lang w:eastAsia="zh-CN"/>
        </w:rPr>
        <w:t>资江</w:t>
      </w:r>
      <w:r>
        <w:rPr>
          <w:rFonts w:ascii="Times New Roman" w:hAnsi="Times New Roman" w:eastAsia="仿宋" w:cs="Times New Roman"/>
          <w:bCs/>
          <w:color w:val="auto"/>
          <w:sz w:val="28"/>
          <w:szCs w:val="28"/>
        </w:rPr>
        <w:t>补水、发电等起较大作用的水利工程主要有：</w:t>
      </w:r>
    </w:p>
    <w:p>
      <w:pPr>
        <w:tabs>
          <w:tab w:val="left" w:pos="2072"/>
        </w:tabs>
        <w:spacing w:line="360" w:lineRule="auto"/>
        <w:ind w:firstLine="560" w:firstLineChars="200"/>
        <w:rPr>
          <w:rFonts w:ascii="Times New Roman" w:hAnsi="Times New Roman" w:eastAsia="仿宋" w:cs="Times New Roman"/>
          <w:bCs/>
          <w:color w:val="auto"/>
          <w:sz w:val="28"/>
          <w:szCs w:val="28"/>
        </w:rPr>
      </w:pPr>
      <w:r>
        <w:rPr>
          <w:rFonts w:hint="eastAsia" w:ascii="Times New Roman" w:hAnsi="Times New Roman" w:eastAsia="仿宋" w:cs="Times New Roman"/>
          <w:bCs/>
          <w:color w:val="auto"/>
          <w:sz w:val="28"/>
          <w:szCs w:val="28"/>
          <w:lang w:eastAsia="zh-CN"/>
        </w:rPr>
        <w:t>青背水库</w:t>
      </w:r>
      <w:r>
        <w:rPr>
          <w:rFonts w:ascii="Times New Roman" w:hAnsi="Times New Roman" w:eastAsia="仿宋" w:cs="Times New Roman"/>
          <w:bCs/>
          <w:color w:val="auto"/>
          <w:sz w:val="28"/>
          <w:szCs w:val="28"/>
        </w:rPr>
        <w:t>，位于</w:t>
      </w:r>
      <w:r>
        <w:rPr>
          <w:rFonts w:hint="eastAsia" w:ascii="Times New Roman" w:hAnsi="Times New Roman" w:eastAsia="仿宋" w:cs="Times New Roman"/>
          <w:bCs/>
          <w:color w:val="auto"/>
          <w:sz w:val="28"/>
          <w:szCs w:val="28"/>
          <w:lang w:eastAsia="zh-CN"/>
        </w:rPr>
        <w:t>资江</w:t>
      </w:r>
      <w:r>
        <w:rPr>
          <w:rFonts w:ascii="Times New Roman" w:hAnsi="Times New Roman" w:eastAsia="仿宋" w:cs="Times New Roman"/>
          <w:bCs/>
          <w:color w:val="auto"/>
          <w:sz w:val="28"/>
          <w:szCs w:val="28"/>
        </w:rPr>
        <w:t>一级支流</w:t>
      </w:r>
      <w:r>
        <w:rPr>
          <w:rFonts w:hint="eastAsia" w:ascii="Times New Roman" w:hAnsi="Times New Roman" w:eastAsia="仿宋" w:cs="Times New Roman"/>
          <w:bCs/>
          <w:color w:val="auto"/>
          <w:sz w:val="28"/>
          <w:szCs w:val="28"/>
          <w:lang w:eastAsia="zh-CN"/>
        </w:rPr>
        <w:t>青背河</w:t>
      </w:r>
      <w:r>
        <w:rPr>
          <w:rFonts w:ascii="Times New Roman" w:hAnsi="Times New Roman" w:eastAsia="仿宋" w:cs="Times New Roman"/>
          <w:bCs/>
          <w:color w:val="auto"/>
          <w:sz w:val="28"/>
          <w:szCs w:val="28"/>
        </w:rPr>
        <w:t>上，于19</w:t>
      </w:r>
      <w:r>
        <w:rPr>
          <w:rFonts w:hint="eastAsia" w:ascii="Times New Roman" w:hAnsi="Times New Roman" w:eastAsia="仿宋" w:cs="Times New Roman"/>
          <w:bCs/>
          <w:color w:val="auto"/>
          <w:sz w:val="28"/>
          <w:szCs w:val="28"/>
          <w:lang w:val="en-US" w:eastAsia="zh-CN"/>
        </w:rPr>
        <w:t>85</w:t>
      </w:r>
      <w:r>
        <w:rPr>
          <w:rFonts w:ascii="Times New Roman" w:hAnsi="Times New Roman" w:eastAsia="仿宋" w:cs="Times New Roman"/>
          <w:bCs/>
          <w:color w:val="auto"/>
          <w:sz w:val="28"/>
          <w:szCs w:val="28"/>
        </w:rPr>
        <w:t>年建成。该枢纽具有灌溉、城市供水、防洪、发电等综合利用效益。</w:t>
      </w:r>
      <w:r>
        <w:rPr>
          <w:rFonts w:hint="eastAsia" w:ascii="Times New Roman" w:hAnsi="Times New Roman" w:eastAsia="仿宋" w:cs="Times New Roman"/>
          <w:bCs/>
          <w:color w:val="auto"/>
          <w:sz w:val="28"/>
          <w:szCs w:val="28"/>
          <w:lang w:eastAsia="zh-CN"/>
        </w:rPr>
        <w:t>青背水库</w:t>
      </w:r>
      <w:r>
        <w:rPr>
          <w:rFonts w:ascii="Times New Roman" w:hAnsi="Times New Roman" w:eastAsia="仿宋" w:cs="Times New Roman"/>
          <w:bCs/>
          <w:color w:val="auto"/>
          <w:sz w:val="28"/>
          <w:szCs w:val="28"/>
        </w:rPr>
        <w:t>正常蓄水位</w:t>
      </w:r>
      <w:r>
        <w:rPr>
          <w:rFonts w:hint="eastAsia" w:ascii="Times New Roman" w:hAnsi="Times New Roman" w:eastAsia="仿宋" w:cs="Times New Roman"/>
          <w:bCs/>
          <w:color w:val="auto"/>
          <w:sz w:val="28"/>
          <w:szCs w:val="28"/>
          <w:lang w:val="en-US" w:eastAsia="zh-CN"/>
        </w:rPr>
        <w:t>385</w:t>
      </w:r>
      <w:r>
        <w:rPr>
          <w:rFonts w:ascii="Times New Roman" w:hAnsi="Times New Roman" w:eastAsia="仿宋" w:cs="Times New Roman"/>
          <w:bCs/>
          <w:color w:val="auto"/>
          <w:sz w:val="28"/>
          <w:szCs w:val="28"/>
        </w:rPr>
        <w:t>m，死水位</w:t>
      </w:r>
      <w:r>
        <w:rPr>
          <w:rFonts w:hint="eastAsia" w:ascii="Times New Roman" w:hAnsi="Times New Roman" w:eastAsia="仿宋" w:cs="Times New Roman"/>
          <w:bCs/>
          <w:color w:val="auto"/>
          <w:sz w:val="28"/>
          <w:szCs w:val="28"/>
          <w:lang w:val="en-US" w:eastAsia="zh-CN"/>
        </w:rPr>
        <w:t>366</w:t>
      </w:r>
      <w:r>
        <w:rPr>
          <w:rFonts w:ascii="Times New Roman" w:hAnsi="Times New Roman" w:eastAsia="仿宋" w:cs="Times New Roman"/>
          <w:bCs/>
          <w:color w:val="auto"/>
          <w:sz w:val="28"/>
          <w:szCs w:val="28"/>
        </w:rPr>
        <w:t>m，水库总库容</w:t>
      </w:r>
      <w:r>
        <w:rPr>
          <w:rFonts w:hint="eastAsia" w:ascii="Times New Roman" w:hAnsi="Times New Roman" w:eastAsia="仿宋" w:cs="Times New Roman"/>
          <w:bCs/>
          <w:color w:val="auto"/>
          <w:sz w:val="28"/>
          <w:szCs w:val="28"/>
          <w:lang w:val="en-US" w:eastAsia="zh-CN"/>
        </w:rPr>
        <w:t>0.56</w:t>
      </w:r>
      <w:r>
        <w:rPr>
          <w:rFonts w:ascii="Times New Roman" w:hAnsi="Times New Roman" w:eastAsia="仿宋" w:cs="Times New Roman"/>
          <w:bCs/>
          <w:color w:val="auto"/>
          <w:sz w:val="28"/>
          <w:szCs w:val="28"/>
        </w:rPr>
        <w:t>亿m</w:t>
      </w:r>
      <w:r>
        <w:rPr>
          <w:rFonts w:ascii="Times New Roman" w:hAnsi="Times New Roman" w:eastAsia="仿宋" w:cs="Times New Roman"/>
          <w:bCs/>
          <w:color w:val="auto"/>
          <w:sz w:val="28"/>
          <w:szCs w:val="28"/>
          <w:vertAlign w:val="superscript"/>
        </w:rPr>
        <w:t>3</w:t>
      </w:r>
      <w:r>
        <w:rPr>
          <w:rFonts w:ascii="Times New Roman" w:hAnsi="Times New Roman" w:eastAsia="仿宋" w:cs="Times New Roman"/>
          <w:bCs/>
          <w:color w:val="auto"/>
          <w:sz w:val="28"/>
          <w:szCs w:val="28"/>
        </w:rPr>
        <w:t>，属年调节水库。</w:t>
      </w:r>
    </w:p>
    <w:p>
      <w:pPr>
        <w:tabs>
          <w:tab w:val="left" w:pos="2072"/>
        </w:tabs>
        <w:spacing w:line="360" w:lineRule="auto"/>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bCs/>
          <w:color w:val="auto"/>
          <w:sz w:val="28"/>
          <w:szCs w:val="28"/>
          <w:lang w:val="en-US" w:eastAsia="zh-CN"/>
        </w:rPr>
        <w:t>资江干流</w:t>
      </w:r>
      <w:r>
        <w:rPr>
          <w:rFonts w:ascii="Times New Roman" w:hAnsi="Times New Roman" w:eastAsia="仿宋" w:cs="Times New Roman"/>
          <w:bCs/>
          <w:color w:val="auto"/>
          <w:sz w:val="28"/>
          <w:szCs w:val="28"/>
        </w:rPr>
        <w:t>上已建的有</w:t>
      </w:r>
      <w:r>
        <w:rPr>
          <w:rFonts w:hint="eastAsia" w:ascii="Times New Roman" w:hAnsi="Times New Roman" w:eastAsia="仿宋" w:cs="Times New Roman"/>
          <w:bCs/>
          <w:color w:val="auto"/>
          <w:sz w:val="28"/>
          <w:szCs w:val="28"/>
          <w:lang w:val="en-US" w:eastAsia="zh-CN"/>
        </w:rPr>
        <w:t>胡家田电站、资江电站</w:t>
      </w:r>
      <w:r>
        <w:rPr>
          <w:rFonts w:ascii="Times New Roman" w:hAnsi="Times New Roman" w:eastAsia="仿宋" w:cs="Times New Roman"/>
          <w:bCs/>
          <w:color w:val="auto"/>
          <w:sz w:val="28"/>
          <w:szCs w:val="28"/>
        </w:rPr>
        <w:t>、</w:t>
      </w:r>
      <w:r>
        <w:rPr>
          <w:rFonts w:hint="eastAsia" w:ascii="Times New Roman" w:hAnsi="Times New Roman" w:eastAsia="仿宋" w:cs="Times New Roman"/>
          <w:bCs/>
          <w:color w:val="auto"/>
          <w:sz w:val="28"/>
          <w:szCs w:val="28"/>
          <w:lang w:val="en-US" w:eastAsia="zh-CN"/>
        </w:rPr>
        <w:t>丰源电站，均属于径流式水电站，对自然来水不具有调节作用</w:t>
      </w:r>
      <w:r>
        <w:rPr>
          <w:rFonts w:ascii="Times New Roman" w:hAnsi="Times New Roman" w:eastAsia="仿宋" w:cs="Times New Roman"/>
          <w:color w:val="auto"/>
          <w:sz w:val="28"/>
          <w:szCs w:val="28"/>
        </w:rPr>
        <w:t>。</w:t>
      </w:r>
    </w:p>
    <w:p>
      <w:pPr>
        <w:pStyle w:val="5"/>
        <w:bidi w:val="0"/>
        <w:rPr>
          <w:rFonts w:cs="Times New Roman"/>
          <w:color w:val="auto"/>
        </w:rPr>
      </w:pPr>
      <w:bookmarkStart w:id="32" w:name="_Toc6879"/>
      <w:bookmarkStart w:id="33" w:name="_Toc28538"/>
      <w:r>
        <w:rPr>
          <w:rFonts w:cs="Times New Roman"/>
          <w:color w:val="auto"/>
        </w:rPr>
        <w:t>2.</w:t>
      </w:r>
      <w:r>
        <w:rPr>
          <w:rFonts w:hint="eastAsia" w:cs="Times New Roman"/>
          <w:color w:val="auto"/>
        </w:rPr>
        <w:t>9</w:t>
      </w:r>
      <w:r>
        <w:rPr>
          <w:rFonts w:cs="Times New Roman"/>
          <w:color w:val="auto"/>
        </w:rPr>
        <w:t xml:space="preserve"> 环境敏感区概况</w:t>
      </w:r>
      <w:bookmarkEnd w:id="32"/>
      <w:bookmarkEnd w:id="33"/>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环境敏感区是指依法设立的各级各类自然、文化保护地，包括自然保护区、风景名胜区、世界文化和自然遗产地、饮用水水源保护区、森林公园、地质公园、重要湿地等。</w:t>
      </w:r>
    </w:p>
    <w:p>
      <w:pPr>
        <w:spacing w:line="360" w:lineRule="auto"/>
        <w:ind w:firstLine="560" w:firstLineChars="200"/>
        <w:rPr>
          <w:rFonts w:ascii="Times New Roman" w:hAnsi="Times New Roman" w:eastAsia="仿宋" w:cs="Times New Roman"/>
          <w:color w:val="auto"/>
          <w:kern w:val="0"/>
          <w:sz w:val="27"/>
          <w:szCs w:val="20"/>
        </w:rPr>
      </w:pPr>
      <w:r>
        <w:rPr>
          <w:rFonts w:ascii="Times New Roman" w:hAnsi="Times New Roman" w:eastAsia="仿宋" w:cs="Times New Roman"/>
          <w:color w:val="auto"/>
          <w:kern w:val="0"/>
          <w:sz w:val="28"/>
          <w:szCs w:val="20"/>
        </w:rPr>
        <w:t>根据统计，</w:t>
      </w:r>
      <w:r>
        <w:rPr>
          <w:rFonts w:hint="eastAsia" w:ascii="Times New Roman" w:hAnsi="Times New Roman" w:eastAsia="仿宋" w:cs="Times New Roman"/>
          <w:color w:val="auto"/>
          <w:kern w:val="0"/>
          <w:sz w:val="28"/>
          <w:szCs w:val="20"/>
        </w:rPr>
        <w:t>资源县主要有1个银竹老山自然保护区，</w:t>
      </w:r>
      <w:r>
        <w:rPr>
          <w:rFonts w:ascii="Times New Roman" w:hAnsi="Times New Roman" w:eastAsia="仿宋" w:cs="Times New Roman"/>
          <w:color w:val="auto"/>
          <w:kern w:val="0"/>
          <w:sz w:val="27"/>
          <w:szCs w:val="20"/>
        </w:rPr>
        <w:t>主要保护对象</w:t>
      </w:r>
      <w:r>
        <w:rPr>
          <w:rFonts w:hint="eastAsia" w:ascii="Times New Roman" w:hAnsi="Times New Roman" w:eastAsia="仿宋" w:cs="Times New Roman"/>
          <w:color w:val="auto"/>
          <w:kern w:val="0"/>
          <w:sz w:val="27"/>
          <w:szCs w:val="20"/>
        </w:rPr>
        <w:t>为珍贵树种资源冷杉。</w:t>
      </w:r>
    </w:p>
    <w:p>
      <w:pPr>
        <w:spacing w:line="360" w:lineRule="auto"/>
        <w:ind w:firstLine="540" w:firstLineChars="200"/>
        <w:rPr>
          <w:rFonts w:ascii="Times New Roman" w:hAnsi="Times New Roman" w:eastAsia="仿宋" w:cs="Times New Roman"/>
          <w:color w:val="auto"/>
          <w:kern w:val="0"/>
          <w:sz w:val="27"/>
          <w:szCs w:val="20"/>
        </w:rPr>
      </w:pPr>
      <w:r>
        <w:rPr>
          <w:rFonts w:hint="eastAsia" w:ascii="Times New Roman" w:hAnsi="Times New Roman" w:eastAsia="仿宋" w:cs="Times New Roman"/>
          <w:color w:val="auto"/>
          <w:kern w:val="0"/>
          <w:sz w:val="27"/>
          <w:szCs w:val="20"/>
          <w:lang w:eastAsia="zh-CN"/>
        </w:rPr>
        <w:t>资江流域</w:t>
      </w:r>
      <w:r>
        <w:rPr>
          <w:rFonts w:ascii="Times New Roman" w:hAnsi="Times New Roman" w:eastAsia="仿宋" w:cs="Times New Roman"/>
          <w:color w:val="auto"/>
          <w:kern w:val="0"/>
          <w:sz w:val="27"/>
          <w:szCs w:val="20"/>
        </w:rPr>
        <w:t>森林公园有</w:t>
      </w:r>
      <w:r>
        <w:rPr>
          <w:rFonts w:hint="eastAsia" w:ascii="Times New Roman" w:hAnsi="Times New Roman" w:eastAsia="仿宋" w:cs="Times New Roman"/>
          <w:color w:val="auto"/>
          <w:kern w:val="0"/>
          <w:sz w:val="27"/>
          <w:szCs w:val="20"/>
          <w:lang w:val="en-US" w:eastAsia="zh-CN"/>
        </w:rPr>
        <w:t>资源</w:t>
      </w:r>
      <w:r>
        <w:rPr>
          <w:rFonts w:ascii="Times New Roman" w:hAnsi="Times New Roman" w:eastAsia="仿宋" w:cs="Times New Roman"/>
          <w:color w:val="auto"/>
          <w:kern w:val="0"/>
          <w:sz w:val="27"/>
          <w:szCs w:val="20"/>
        </w:rPr>
        <w:t>国家森林公园等；风景名胜区有</w:t>
      </w:r>
      <w:r>
        <w:rPr>
          <w:rFonts w:hint="eastAsia" w:ascii="Times New Roman" w:hAnsi="Times New Roman" w:eastAsia="仿宋" w:cs="Times New Roman"/>
          <w:color w:val="auto"/>
          <w:kern w:val="0"/>
          <w:sz w:val="27"/>
          <w:szCs w:val="20"/>
          <w:lang w:eastAsia="zh-CN"/>
        </w:rPr>
        <w:t>资江</w:t>
      </w:r>
      <w:r>
        <w:rPr>
          <w:rFonts w:ascii="Times New Roman" w:hAnsi="Times New Roman" w:eastAsia="仿宋" w:cs="Times New Roman"/>
          <w:color w:val="auto"/>
          <w:kern w:val="0"/>
          <w:sz w:val="27"/>
          <w:szCs w:val="20"/>
        </w:rPr>
        <w:t>风景名胜区、</w:t>
      </w:r>
      <w:r>
        <w:rPr>
          <w:rFonts w:hint="eastAsia" w:ascii="Times New Roman" w:hAnsi="Times New Roman" w:eastAsia="仿宋" w:cs="Times New Roman"/>
          <w:color w:val="auto"/>
          <w:kern w:val="0"/>
          <w:sz w:val="27"/>
          <w:szCs w:val="20"/>
          <w:lang w:val="en-US" w:eastAsia="zh-CN"/>
        </w:rPr>
        <w:t>八角寨</w:t>
      </w:r>
      <w:r>
        <w:rPr>
          <w:rFonts w:ascii="Times New Roman" w:hAnsi="Times New Roman" w:eastAsia="仿宋" w:cs="Times New Roman"/>
          <w:color w:val="auto"/>
          <w:kern w:val="0"/>
          <w:sz w:val="27"/>
          <w:szCs w:val="20"/>
        </w:rPr>
        <w:t>风景名胜区、</w:t>
      </w:r>
      <w:r>
        <w:rPr>
          <w:rFonts w:hint="eastAsia" w:ascii="Times New Roman" w:hAnsi="Times New Roman" w:eastAsia="仿宋" w:cs="Times New Roman"/>
          <w:color w:val="auto"/>
          <w:kern w:val="0"/>
          <w:sz w:val="27"/>
          <w:szCs w:val="20"/>
          <w:lang w:eastAsia="zh-CN"/>
        </w:rPr>
        <w:t>五排河风景名胜区</w:t>
      </w:r>
      <w:r>
        <w:rPr>
          <w:rFonts w:ascii="Times New Roman" w:hAnsi="Times New Roman" w:eastAsia="仿宋" w:cs="Times New Roman"/>
          <w:color w:val="auto"/>
          <w:kern w:val="0"/>
          <w:sz w:val="27"/>
          <w:szCs w:val="20"/>
        </w:rPr>
        <w:t>等；饮用水水源地有</w:t>
      </w:r>
      <w:r>
        <w:rPr>
          <w:rFonts w:hint="eastAsia" w:ascii="Times New Roman" w:hAnsi="Times New Roman" w:eastAsia="仿宋" w:cs="Times New Roman"/>
          <w:color w:val="auto"/>
          <w:kern w:val="0"/>
          <w:sz w:val="27"/>
          <w:szCs w:val="20"/>
          <w:lang w:eastAsia="zh-CN"/>
        </w:rPr>
        <w:t>资江</w:t>
      </w:r>
      <w:r>
        <w:rPr>
          <w:rFonts w:hint="eastAsia" w:ascii="Times New Roman" w:hAnsi="Times New Roman" w:eastAsia="仿宋" w:cs="Times New Roman"/>
          <w:color w:val="auto"/>
          <w:kern w:val="0"/>
          <w:sz w:val="27"/>
          <w:szCs w:val="20"/>
          <w:lang w:val="en-US" w:eastAsia="zh-CN"/>
        </w:rPr>
        <w:t>资源</w:t>
      </w:r>
      <w:r>
        <w:rPr>
          <w:rFonts w:ascii="Times New Roman" w:hAnsi="Times New Roman" w:eastAsia="仿宋" w:cs="Times New Roman"/>
          <w:color w:val="auto"/>
          <w:kern w:val="0"/>
          <w:sz w:val="27"/>
          <w:szCs w:val="20"/>
        </w:rPr>
        <w:t>饮用水源区、</w:t>
      </w:r>
      <w:r>
        <w:rPr>
          <w:rFonts w:hint="eastAsia" w:ascii="Times New Roman" w:hAnsi="Times New Roman" w:eastAsia="仿宋" w:cs="Times New Roman"/>
          <w:color w:val="auto"/>
          <w:kern w:val="0"/>
          <w:sz w:val="27"/>
          <w:szCs w:val="20"/>
          <w:lang w:eastAsia="zh-CN"/>
        </w:rPr>
        <w:t>资江梅溪</w:t>
      </w:r>
      <w:r>
        <w:rPr>
          <w:rFonts w:ascii="Times New Roman" w:hAnsi="Times New Roman" w:eastAsia="仿宋" w:cs="Times New Roman"/>
          <w:color w:val="auto"/>
          <w:kern w:val="0"/>
          <w:sz w:val="27"/>
          <w:szCs w:val="20"/>
        </w:rPr>
        <w:t>饮用水源区、</w:t>
      </w:r>
      <w:r>
        <w:rPr>
          <w:rFonts w:hint="eastAsia" w:ascii="Times New Roman" w:hAnsi="Times New Roman" w:eastAsia="仿宋" w:cs="Times New Roman"/>
          <w:color w:val="auto"/>
          <w:kern w:val="0"/>
          <w:sz w:val="27"/>
          <w:szCs w:val="20"/>
          <w:lang w:eastAsia="zh-CN"/>
        </w:rPr>
        <w:t>资江</w:t>
      </w:r>
      <w:r>
        <w:rPr>
          <w:rFonts w:hint="eastAsia" w:ascii="Times New Roman" w:hAnsi="Times New Roman" w:eastAsia="仿宋" w:cs="Times New Roman"/>
          <w:color w:val="auto"/>
          <w:kern w:val="0"/>
          <w:sz w:val="27"/>
          <w:szCs w:val="20"/>
          <w:lang w:val="en-US" w:eastAsia="zh-CN"/>
        </w:rPr>
        <w:t>中锋</w:t>
      </w:r>
      <w:bookmarkStart w:id="34" w:name="page31"/>
      <w:bookmarkEnd w:id="34"/>
      <w:r>
        <w:rPr>
          <w:rFonts w:ascii="Times New Roman" w:hAnsi="Times New Roman" w:eastAsia="仿宋" w:cs="Times New Roman"/>
          <w:color w:val="auto"/>
          <w:kern w:val="0"/>
          <w:sz w:val="27"/>
          <w:szCs w:val="20"/>
        </w:rPr>
        <w:t>饮用水源区等</w:t>
      </w:r>
      <w:r>
        <w:rPr>
          <w:rFonts w:hint="eastAsia" w:ascii="Times New Roman" w:hAnsi="Times New Roman" w:eastAsia="仿宋" w:cs="Times New Roman"/>
          <w:color w:val="auto"/>
          <w:kern w:val="0"/>
          <w:sz w:val="27"/>
          <w:szCs w:val="20"/>
          <w:lang w:val="en-US" w:eastAsia="zh-CN"/>
        </w:rPr>
        <w:t>3</w:t>
      </w:r>
      <w:r>
        <w:rPr>
          <w:rFonts w:hint="eastAsia" w:ascii="Times New Roman" w:hAnsi="Times New Roman" w:eastAsia="仿宋" w:cs="Times New Roman"/>
          <w:color w:val="auto"/>
          <w:kern w:val="0"/>
          <w:sz w:val="27"/>
          <w:szCs w:val="20"/>
        </w:rPr>
        <w:t>处，现状监测水质均在Ⅰ～Ⅱ类之间，</w:t>
      </w:r>
      <w:r>
        <w:rPr>
          <w:rFonts w:hint="eastAsia" w:ascii="Times New Roman" w:hAnsi="Times New Roman" w:eastAsia="仿宋" w:cs="Times New Roman"/>
          <w:color w:val="auto"/>
          <w:kern w:val="0"/>
          <w:sz w:val="27"/>
          <w:szCs w:val="20"/>
          <w:lang w:eastAsia="zh-CN"/>
        </w:rPr>
        <w:t>资江流域</w:t>
      </w:r>
      <w:r>
        <w:rPr>
          <w:rFonts w:hint="eastAsia" w:ascii="Times New Roman" w:hAnsi="Times New Roman" w:eastAsia="仿宋" w:cs="Times New Roman"/>
          <w:color w:val="auto"/>
          <w:kern w:val="0"/>
          <w:sz w:val="27"/>
          <w:szCs w:val="20"/>
        </w:rPr>
        <w:t>饮用水水源地情况见表2</w:t>
      </w:r>
      <w:r>
        <w:rPr>
          <w:rFonts w:hint="eastAsia" w:ascii="Times New Roman" w:hAnsi="Times New Roman" w:eastAsia="仿宋" w:cs="Times New Roman"/>
          <w:color w:val="auto"/>
          <w:kern w:val="0"/>
          <w:sz w:val="27"/>
          <w:szCs w:val="20"/>
          <w:lang w:val="en-US" w:eastAsia="zh-CN"/>
        </w:rPr>
        <w:t>.8</w:t>
      </w:r>
      <w:r>
        <w:rPr>
          <w:rFonts w:ascii="Times New Roman" w:hAnsi="Times New Roman" w:eastAsia="仿宋" w:cs="Times New Roman"/>
          <w:color w:val="auto"/>
          <w:kern w:val="0"/>
          <w:sz w:val="27"/>
          <w:szCs w:val="20"/>
        </w:rPr>
        <w:t>。</w:t>
      </w:r>
    </w:p>
    <w:p>
      <w:pPr>
        <w:spacing w:line="360" w:lineRule="auto"/>
        <w:ind w:firstLine="1124" w:firstLineChars="400"/>
        <w:rPr>
          <w:rFonts w:ascii="Times New Roman" w:hAnsi="Times New Roman" w:eastAsia="仿宋" w:cs="Times New Roman"/>
          <w:color w:val="auto"/>
          <w:kern w:val="0"/>
          <w:sz w:val="27"/>
          <w:szCs w:val="20"/>
        </w:rPr>
      </w:pPr>
      <w:r>
        <w:rPr>
          <w:rFonts w:ascii="Times New Roman" w:hAnsi="Times New Roman" w:eastAsia="仿宋" w:cs="Times New Roman"/>
          <w:b/>
          <w:bCs/>
          <w:color w:val="auto"/>
          <w:sz w:val="28"/>
          <w:szCs w:val="28"/>
        </w:rPr>
        <w:t>表2.</w:t>
      </w:r>
      <w:r>
        <w:rPr>
          <w:rFonts w:hint="eastAsia" w:ascii="Times New Roman" w:hAnsi="Times New Roman" w:eastAsia="仿宋" w:cs="Times New Roman"/>
          <w:b/>
          <w:bCs/>
          <w:color w:val="auto"/>
          <w:sz w:val="28"/>
          <w:szCs w:val="28"/>
          <w:lang w:val="en-US" w:eastAsia="zh-CN"/>
        </w:rPr>
        <w:t>8</w:t>
      </w:r>
      <w:r>
        <w:rPr>
          <w:rFonts w:ascii="Times New Roman" w:hAnsi="Times New Roman" w:eastAsia="仿宋" w:cs="Times New Roman"/>
          <w:b/>
          <w:bCs/>
          <w:color w:val="auto"/>
          <w:sz w:val="28"/>
          <w:szCs w:val="28"/>
        </w:rPr>
        <w:t xml:space="preserve">            </w:t>
      </w:r>
      <w:r>
        <w:rPr>
          <w:rFonts w:hint="eastAsia" w:ascii="Times New Roman" w:hAnsi="Times New Roman" w:eastAsia="仿宋" w:cs="Times New Roman"/>
          <w:b/>
          <w:bCs/>
          <w:color w:val="auto"/>
          <w:sz w:val="28"/>
          <w:szCs w:val="28"/>
          <w:lang w:val="en-US" w:eastAsia="zh-CN"/>
        </w:rPr>
        <w:t xml:space="preserve">   </w:t>
      </w:r>
      <w:r>
        <w:rPr>
          <w:rFonts w:ascii="Times New Roman" w:hAnsi="Times New Roman" w:eastAsia="仿宋" w:cs="Times New Roman"/>
          <w:b/>
          <w:bCs/>
          <w:color w:val="auto"/>
          <w:sz w:val="28"/>
          <w:szCs w:val="28"/>
        </w:rPr>
        <w:t xml:space="preserve"> </w:t>
      </w:r>
      <w:r>
        <w:rPr>
          <w:rFonts w:hint="eastAsia" w:ascii="Times New Roman" w:hAnsi="Times New Roman" w:eastAsia="仿宋" w:cs="Times New Roman"/>
          <w:b/>
          <w:bCs/>
          <w:color w:val="auto"/>
          <w:sz w:val="28"/>
          <w:szCs w:val="28"/>
          <w:lang w:val="en-US" w:eastAsia="zh-CN"/>
        </w:rPr>
        <w:t xml:space="preserve">   </w:t>
      </w:r>
      <w:r>
        <w:rPr>
          <w:rFonts w:hint="eastAsia" w:ascii="Times New Roman" w:hAnsi="Times New Roman" w:eastAsia="仿宋" w:cs="Times New Roman"/>
          <w:b/>
          <w:bCs/>
          <w:color w:val="auto"/>
          <w:sz w:val="28"/>
          <w:szCs w:val="28"/>
        </w:rPr>
        <w:t xml:space="preserve"> </w:t>
      </w:r>
      <w:r>
        <w:rPr>
          <w:rFonts w:ascii="Times New Roman" w:hAnsi="Times New Roman" w:eastAsia="仿宋" w:cs="Times New Roman"/>
          <w:b/>
          <w:bCs/>
          <w:color w:val="auto"/>
          <w:sz w:val="28"/>
          <w:szCs w:val="28"/>
        </w:rPr>
        <w:t xml:space="preserve"> </w:t>
      </w:r>
      <w:r>
        <w:rPr>
          <w:rFonts w:hint="eastAsia" w:ascii="Times New Roman" w:hAnsi="Times New Roman" w:eastAsia="仿宋" w:cs="Times New Roman"/>
          <w:b/>
          <w:bCs/>
          <w:color w:val="auto"/>
          <w:sz w:val="28"/>
          <w:szCs w:val="28"/>
          <w:lang w:eastAsia="zh-CN"/>
        </w:rPr>
        <w:t>资江流域</w:t>
      </w:r>
      <w:r>
        <w:rPr>
          <w:rFonts w:hint="eastAsia" w:ascii="Times New Roman" w:hAnsi="Times New Roman" w:eastAsia="仿宋" w:cs="Times New Roman"/>
          <w:b/>
          <w:bCs/>
          <w:color w:val="auto"/>
          <w:sz w:val="28"/>
          <w:szCs w:val="28"/>
        </w:rPr>
        <w:t>饮用水源地</w:t>
      </w:r>
      <w:r>
        <w:rPr>
          <w:rFonts w:ascii="Times New Roman" w:hAnsi="Times New Roman" w:eastAsia="仿宋" w:cs="Times New Roman"/>
          <w:b/>
          <w:bCs/>
          <w:color w:val="auto"/>
          <w:sz w:val="28"/>
          <w:szCs w:val="28"/>
        </w:rPr>
        <w:t>情况表</w:t>
      </w:r>
    </w:p>
    <w:tbl>
      <w:tblPr>
        <w:tblStyle w:val="15"/>
        <w:tblW w:w="9309" w:type="dxa"/>
        <w:tblInd w:w="0" w:type="dxa"/>
        <w:tblLayout w:type="fixed"/>
        <w:tblCellMar>
          <w:top w:w="15" w:type="dxa"/>
          <w:left w:w="15" w:type="dxa"/>
          <w:bottom w:w="15" w:type="dxa"/>
          <w:right w:w="15" w:type="dxa"/>
        </w:tblCellMar>
      </w:tblPr>
      <w:tblGrid>
        <w:gridCol w:w="1079"/>
        <w:gridCol w:w="3176"/>
        <w:gridCol w:w="2145"/>
        <w:gridCol w:w="1680"/>
        <w:gridCol w:w="1229"/>
      </w:tblGrid>
      <w:tr>
        <w:tblPrEx>
          <w:tblCellMar>
            <w:top w:w="15" w:type="dxa"/>
            <w:left w:w="15" w:type="dxa"/>
            <w:bottom w:w="15" w:type="dxa"/>
            <w:right w:w="15" w:type="dxa"/>
          </w:tblCellMar>
        </w:tblPrEx>
        <w:trPr>
          <w:trHeight w:val="279"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color w:val="auto"/>
                <w:sz w:val="20"/>
                <w:szCs w:val="20"/>
              </w:rPr>
            </w:pPr>
            <w:r>
              <w:rPr>
                <w:rFonts w:ascii="仿宋" w:hAnsi="仿宋" w:eastAsia="仿宋" w:cs="仿宋"/>
                <w:b/>
                <w:color w:val="auto"/>
                <w:kern w:val="0"/>
                <w:sz w:val="20"/>
                <w:szCs w:val="20"/>
                <w:lang w:bidi="ar"/>
              </w:rPr>
              <w:t>序号</w:t>
            </w: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color w:val="auto"/>
                <w:sz w:val="20"/>
                <w:szCs w:val="20"/>
              </w:rPr>
            </w:pPr>
            <w:r>
              <w:rPr>
                <w:rFonts w:ascii="仿宋" w:hAnsi="仿宋" w:eastAsia="仿宋" w:cs="仿宋"/>
                <w:b/>
                <w:color w:val="auto"/>
                <w:kern w:val="0"/>
                <w:sz w:val="20"/>
                <w:szCs w:val="20"/>
                <w:lang w:bidi="ar"/>
              </w:rPr>
              <w:t>饮用水水源地名称</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color w:val="auto"/>
                <w:sz w:val="20"/>
                <w:szCs w:val="20"/>
              </w:rPr>
            </w:pPr>
            <w:r>
              <w:rPr>
                <w:rFonts w:ascii="仿宋" w:hAnsi="仿宋" w:eastAsia="仿宋" w:cs="仿宋"/>
                <w:b/>
                <w:color w:val="auto"/>
                <w:kern w:val="0"/>
                <w:sz w:val="20"/>
                <w:szCs w:val="20"/>
                <w:lang w:bidi="ar"/>
              </w:rPr>
              <w:t>水源地所在河流或流域</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color w:val="auto"/>
                <w:sz w:val="20"/>
                <w:szCs w:val="20"/>
              </w:rPr>
            </w:pPr>
            <w:r>
              <w:rPr>
                <w:rFonts w:ascii="仿宋" w:hAnsi="仿宋" w:eastAsia="仿宋" w:cs="仿宋"/>
                <w:b/>
                <w:color w:val="auto"/>
                <w:kern w:val="0"/>
                <w:sz w:val="20"/>
                <w:szCs w:val="20"/>
                <w:lang w:bidi="ar"/>
              </w:rPr>
              <w:t>水源地类型</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color w:val="auto"/>
                <w:sz w:val="20"/>
                <w:szCs w:val="20"/>
              </w:rPr>
            </w:pPr>
            <w:r>
              <w:rPr>
                <w:rFonts w:ascii="仿宋" w:hAnsi="仿宋" w:eastAsia="仿宋" w:cs="仿宋"/>
                <w:b/>
                <w:color w:val="auto"/>
                <w:kern w:val="0"/>
                <w:sz w:val="20"/>
                <w:szCs w:val="20"/>
                <w:lang w:bidi="ar"/>
              </w:rPr>
              <w:t>供水城市</w:t>
            </w:r>
          </w:p>
        </w:tc>
      </w:tr>
      <w:tr>
        <w:tblPrEx>
          <w:tblCellMar>
            <w:top w:w="15" w:type="dxa"/>
            <w:left w:w="15" w:type="dxa"/>
            <w:bottom w:w="15" w:type="dxa"/>
            <w:right w:w="15" w:type="dxa"/>
          </w:tblCellMar>
        </w:tblPrEx>
        <w:trPr>
          <w:trHeight w:val="286"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1</w:t>
            </w:r>
          </w:p>
        </w:tc>
        <w:tc>
          <w:tcPr>
            <w:tcW w:w="31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val="en-US" w:eastAsia="zh-CN" w:bidi="ar"/>
              </w:rPr>
              <w:t>资源县</w:t>
            </w:r>
            <w:r>
              <w:rPr>
                <w:rFonts w:hint="eastAsia" w:ascii="仿宋" w:hAnsi="仿宋" w:eastAsia="仿宋" w:cs="仿宋"/>
                <w:color w:val="auto"/>
                <w:kern w:val="0"/>
                <w:sz w:val="20"/>
                <w:szCs w:val="20"/>
                <w:lang w:eastAsia="zh-CN" w:bidi="ar"/>
              </w:rPr>
              <w:t>资江</w:t>
            </w:r>
            <w:r>
              <w:rPr>
                <w:rFonts w:ascii="仿宋" w:hAnsi="仿宋" w:eastAsia="仿宋" w:cs="仿宋"/>
                <w:color w:val="auto"/>
                <w:kern w:val="0"/>
                <w:sz w:val="20"/>
                <w:szCs w:val="20"/>
                <w:lang w:bidi="ar"/>
              </w:rPr>
              <w:t>饮用水水源地</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lang w:eastAsia="zh-CN"/>
              </w:rPr>
            </w:pPr>
            <w:r>
              <w:rPr>
                <w:rFonts w:hint="eastAsia" w:ascii="仿宋" w:hAnsi="仿宋" w:eastAsia="仿宋" w:cs="仿宋"/>
                <w:color w:val="auto"/>
                <w:kern w:val="0"/>
                <w:sz w:val="20"/>
                <w:szCs w:val="20"/>
                <w:lang w:eastAsia="zh-CN" w:bidi="ar"/>
              </w:rPr>
              <w:t>资江</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rPr>
            </w:pPr>
            <w:r>
              <w:rPr>
                <w:rFonts w:ascii="仿宋" w:hAnsi="仿宋" w:eastAsia="仿宋" w:cs="仿宋"/>
                <w:color w:val="auto"/>
                <w:kern w:val="0"/>
                <w:sz w:val="20"/>
                <w:szCs w:val="20"/>
                <w:lang w:bidi="ar"/>
              </w:rPr>
              <w:t>河道</w:t>
            </w:r>
          </w:p>
        </w:tc>
        <w:tc>
          <w:tcPr>
            <w:tcW w:w="12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auto"/>
                <w:sz w:val="20"/>
                <w:szCs w:val="20"/>
              </w:rPr>
            </w:pPr>
            <w:r>
              <w:rPr>
                <w:rFonts w:ascii="仿宋" w:hAnsi="仿宋" w:eastAsia="仿宋" w:cs="仿宋"/>
                <w:color w:val="auto"/>
                <w:kern w:val="0"/>
                <w:sz w:val="20"/>
                <w:szCs w:val="20"/>
                <w:lang w:bidi="ar"/>
              </w:rPr>
              <w:t>桂林市</w:t>
            </w:r>
          </w:p>
        </w:tc>
      </w:tr>
      <w:tr>
        <w:tblPrEx>
          <w:tblCellMar>
            <w:top w:w="15" w:type="dxa"/>
            <w:left w:w="15" w:type="dxa"/>
            <w:bottom w:w="15" w:type="dxa"/>
            <w:right w:w="15" w:type="dxa"/>
          </w:tblCellMar>
        </w:tblPrEx>
        <w:trPr>
          <w:trHeight w:val="286"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2</w:t>
            </w:r>
          </w:p>
        </w:tc>
        <w:tc>
          <w:tcPr>
            <w:tcW w:w="31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eastAsia="zh-CN" w:bidi="ar"/>
              </w:rPr>
              <w:t>中蜂镇</w:t>
            </w:r>
            <w:r>
              <w:rPr>
                <w:rFonts w:ascii="仿宋" w:hAnsi="仿宋" w:eastAsia="仿宋" w:cs="仿宋"/>
                <w:color w:val="auto"/>
                <w:kern w:val="0"/>
                <w:sz w:val="20"/>
                <w:szCs w:val="20"/>
                <w:lang w:bidi="ar"/>
              </w:rPr>
              <w:t>集中式饮用水水源地</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eastAsia="zh-CN" w:bidi="ar"/>
              </w:rPr>
              <w:t>资江</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rPr>
            </w:pPr>
            <w:r>
              <w:rPr>
                <w:rFonts w:ascii="仿宋" w:hAnsi="仿宋" w:eastAsia="仿宋" w:cs="仿宋"/>
                <w:color w:val="auto"/>
                <w:kern w:val="0"/>
                <w:sz w:val="20"/>
                <w:szCs w:val="20"/>
                <w:lang w:bidi="ar"/>
              </w:rPr>
              <w:t>河道</w:t>
            </w:r>
          </w:p>
        </w:tc>
        <w:tc>
          <w:tcPr>
            <w:tcW w:w="12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0"/>
                <w:szCs w:val="20"/>
                <w:lang w:eastAsia="zh-CN"/>
              </w:rPr>
            </w:pPr>
            <w:r>
              <w:rPr>
                <w:rFonts w:hint="eastAsia" w:ascii="仿宋" w:hAnsi="仿宋" w:eastAsia="仿宋" w:cs="仿宋"/>
                <w:color w:val="auto"/>
                <w:kern w:val="0"/>
                <w:sz w:val="20"/>
                <w:szCs w:val="20"/>
                <w:lang w:eastAsia="zh-CN" w:bidi="ar"/>
              </w:rPr>
              <w:t>中峰镇</w:t>
            </w:r>
          </w:p>
        </w:tc>
      </w:tr>
      <w:tr>
        <w:tblPrEx>
          <w:tblCellMar>
            <w:top w:w="15" w:type="dxa"/>
            <w:left w:w="15" w:type="dxa"/>
            <w:bottom w:w="15" w:type="dxa"/>
            <w:right w:w="15" w:type="dxa"/>
          </w:tblCellMar>
        </w:tblPrEx>
        <w:trPr>
          <w:trHeight w:val="286"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3</w:t>
            </w:r>
          </w:p>
        </w:tc>
        <w:tc>
          <w:tcPr>
            <w:tcW w:w="31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eastAsia="zh-CN" w:bidi="ar"/>
              </w:rPr>
              <w:t>梅溪镇资江</w:t>
            </w:r>
            <w:r>
              <w:rPr>
                <w:rFonts w:ascii="仿宋" w:hAnsi="仿宋" w:eastAsia="仿宋" w:cs="仿宋"/>
                <w:color w:val="auto"/>
                <w:kern w:val="0"/>
                <w:sz w:val="20"/>
                <w:szCs w:val="20"/>
                <w:lang w:bidi="ar"/>
              </w:rPr>
              <w:t>饮用水水源地</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0"/>
                <w:szCs w:val="20"/>
                <w:lang w:eastAsia="zh-CN"/>
              </w:rPr>
            </w:pPr>
            <w:r>
              <w:rPr>
                <w:rFonts w:hint="eastAsia" w:ascii="仿宋" w:hAnsi="仿宋" w:eastAsia="仿宋" w:cs="仿宋"/>
                <w:color w:val="auto"/>
                <w:kern w:val="0"/>
                <w:sz w:val="20"/>
                <w:szCs w:val="20"/>
                <w:lang w:eastAsia="zh-CN" w:bidi="ar"/>
              </w:rPr>
              <w:t>资江</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rPr>
            </w:pPr>
            <w:r>
              <w:rPr>
                <w:rFonts w:ascii="仿宋" w:hAnsi="仿宋" w:eastAsia="仿宋" w:cs="仿宋"/>
                <w:color w:val="auto"/>
                <w:kern w:val="0"/>
                <w:sz w:val="20"/>
                <w:szCs w:val="20"/>
                <w:lang w:bidi="ar"/>
              </w:rPr>
              <w:t>河道</w:t>
            </w:r>
          </w:p>
        </w:tc>
        <w:tc>
          <w:tcPr>
            <w:tcW w:w="12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0"/>
                <w:szCs w:val="20"/>
                <w:lang w:eastAsia="zh-CN"/>
              </w:rPr>
            </w:pPr>
            <w:r>
              <w:rPr>
                <w:rFonts w:hint="eastAsia" w:ascii="仿宋" w:hAnsi="仿宋" w:eastAsia="仿宋" w:cs="仿宋"/>
                <w:color w:val="auto"/>
                <w:kern w:val="0"/>
                <w:sz w:val="20"/>
                <w:szCs w:val="20"/>
                <w:lang w:eastAsia="zh-CN" w:bidi="ar"/>
              </w:rPr>
              <w:t>梅溪镇</w:t>
            </w:r>
          </w:p>
        </w:tc>
      </w:tr>
    </w:tbl>
    <w:p>
      <w:pPr>
        <w:rPr>
          <w:color w:val="auto"/>
        </w:rPr>
      </w:pPr>
    </w:p>
    <w:p>
      <w:pPr>
        <w:pStyle w:val="5"/>
        <w:bidi w:val="0"/>
        <w:rPr>
          <w:rFonts w:cs="Times New Roman"/>
          <w:color w:val="auto"/>
        </w:rPr>
      </w:pPr>
      <w:bookmarkStart w:id="35" w:name="_Toc29594"/>
      <w:bookmarkStart w:id="36" w:name="_Toc5029"/>
      <w:r>
        <w:rPr>
          <w:rFonts w:cs="Times New Roman"/>
          <w:color w:val="auto"/>
        </w:rPr>
        <w:t>2.</w:t>
      </w:r>
      <w:r>
        <w:rPr>
          <w:rFonts w:hint="eastAsia" w:cs="Times New Roman"/>
          <w:color w:val="auto"/>
        </w:rPr>
        <w:t>10</w:t>
      </w:r>
      <w:r>
        <w:rPr>
          <w:rFonts w:cs="Times New Roman"/>
          <w:color w:val="auto"/>
        </w:rPr>
        <w:t xml:space="preserve">  </w:t>
      </w:r>
      <w:r>
        <w:rPr>
          <w:rFonts w:hint="eastAsia" w:cs="Times New Roman"/>
          <w:color w:val="auto"/>
        </w:rPr>
        <w:t>资源县各河流</w:t>
      </w:r>
      <w:r>
        <w:rPr>
          <w:rFonts w:cs="Times New Roman"/>
          <w:color w:val="auto"/>
        </w:rPr>
        <w:t>主要生态环境问题</w:t>
      </w:r>
      <w:bookmarkEnd w:id="35"/>
      <w:bookmarkEnd w:id="36"/>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随着</w:t>
      </w:r>
      <w:r>
        <w:rPr>
          <w:rFonts w:hint="eastAsia" w:ascii="Times New Roman" w:hAnsi="Times New Roman" w:eastAsia="仿宋" w:cs="Times New Roman"/>
          <w:color w:val="auto"/>
          <w:kern w:val="0"/>
          <w:sz w:val="28"/>
          <w:szCs w:val="20"/>
        </w:rPr>
        <w:t>资源县的</w:t>
      </w:r>
      <w:r>
        <w:rPr>
          <w:rFonts w:ascii="Times New Roman" w:hAnsi="Times New Roman" w:eastAsia="仿宋" w:cs="Times New Roman"/>
          <w:color w:val="auto"/>
          <w:kern w:val="0"/>
          <w:sz w:val="28"/>
          <w:szCs w:val="20"/>
        </w:rPr>
        <w:t>经济发展，人类对自然扰动程度日渐剧烈，加上自然条件的约束，</w:t>
      </w:r>
      <w:r>
        <w:rPr>
          <w:rFonts w:hint="eastAsia" w:ascii="Times New Roman" w:hAnsi="Times New Roman" w:eastAsia="仿宋" w:cs="Times New Roman"/>
          <w:color w:val="auto"/>
          <w:kern w:val="0"/>
          <w:sz w:val="28"/>
          <w:szCs w:val="20"/>
        </w:rPr>
        <w:t>资源县</w:t>
      </w:r>
      <w:r>
        <w:rPr>
          <w:rFonts w:ascii="Times New Roman" w:hAnsi="Times New Roman" w:eastAsia="仿宋" w:cs="Times New Roman"/>
          <w:color w:val="auto"/>
          <w:kern w:val="0"/>
          <w:sz w:val="28"/>
          <w:szCs w:val="20"/>
        </w:rPr>
        <w:t>水生态系统出现了水文，水化学，生物等特征的变化，具体表现在洪水季节来水迅猛，水土流失量大；枯水季节水源不足、河床干涸、水环境容量降低、局部水域尤其是城区支流污染严重、水生物种减少等。</w:t>
      </w:r>
    </w:p>
    <w:p>
      <w:pPr>
        <w:spacing w:line="360" w:lineRule="auto"/>
        <w:outlineLvl w:val="2"/>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2.</w:t>
      </w:r>
      <w:r>
        <w:rPr>
          <w:rFonts w:hint="eastAsia" w:ascii="Times New Roman" w:hAnsi="Times New Roman" w:eastAsia="仿宋" w:cs="Times New Roman"/>
          <w:color w:val="auto"/>
          <w:kern w:val="0"/>
          <w:sz w:val="28"/>
          <w:szCs w:val="28"/>
        </w:rPr>
        <w:t>10</w:t>
      </w:r>
      <w:r>
        <w:rPr>
          <w:rFonts w:ascii="Times New Roman" w:hAnsi="Times New Roman" w:eastAsia="仿宋" w:cs="Times New Roman"/>
          <w:color w:val="auto"/>
          <w:kern w:val="0"/>
          <w:sz w:val="28"/>
          <w:szCs w:val="28"/>
        </w:rPr>
        <w:t>.1  洪涝和干旱环境问题</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（1）洪涝</w:t>
      </w:r>
    </w:p>
    <w:p>
      <w:pPr>
        <w:spacing w:line="360" w:lineRule="auto"/>
        <w:ind w:firstLine="560" w:firstLineChars="200"/>
        <w:rPr>
          <w:rFonts w:ascii="Times New Roman" w:hAnsi="Times New Roman" w:eastAsia="仿宋" w:cs="Times New Roman"/>
          <w:bCs/>
          <w:color w:val="auto"/>
          <w:kern w:val="0"/>
          <w:sz w:val="28"/>
          <w:szCs w:val="28"/>
        </w:rPr>
      </w:pPr>
      <w:r>
        <w:rPr>
          <w:rFonts w:hint="eastAsia" w:ascii="Times New Roman" w:hAnsi="Times New Roman" w:eastAsia="仿宋" w:cs="Times New Roman"/>
          <w:bCs/>
          <w:color w:val="auto"/>
          <w:kern w:val="0"/>
          <w:sz w:val="28"/>
          <w:szCs w:val="28"/>
        </w:rPr>
        <w:t>资源县</w:t>
      </w:r>
      <w:r>
        <w:rPr>
          <w:rFonts w:ascii="Times New Roman" w:hAnsi="Times New Roman" w:eastAsia="仿宋" w:cs="Times New Roman"/>
          <w:bCs/>
          <w:color w:val="auto"/>
          <w:kern w:val="0"/>
          <w:sz w:val="28"/>
          <w:szCs w:val="28"/>
        </w:rPr>
        <w:t>属亚热带季风区，气候温和，雨量充沛，流域地形北高南低，有利于南面进入的水气堆积和降雨。流域内降雨分布不均，</w:t>
      </w:r>
      <w:r>
        <w:rPr>
          <w:rFonts w:ascii="仿宋" w:hAnsi="仿宋" w:eastAsia="仿宋" w:cs="Times New Roman"/>
          <w:bCs/>
          <w:color w:val="auto"/>
          <w:sz w:val="28"/>
          <w:szCs w:val="28"/>
        </w:rPr>
        <w:t>年降雨量一般在</w:t>
      </w:r>
      <w:r>
        <w:rPr>
          <w:rFonts w:ascii="Times New Roman" w:hAnsi="Times New Roman" w:eastAsia="仿宋" w:cs="Times New Roman"/>
          <w:bCs/>
          <w:color w:val="auto"/>
          <w:sz w:val="28"/>
          <w:szCs w:val="28"/>
        </w:rPr>
        <w:t>1431—2507</w:t>
      </w:r>
      <w:r>
        <w:rPr>
          <w:rFonts w:ascii="仿宋" w:hAnsi="仿宋" w:eastAsia="仿宋" w:cs="Times New Roman"/>
          <w:bCs/>
          <w:color w:val="auto"/>
          <w:sz w:val="28"/>
          <w:szCs w:val="28"/>
        </w:rPr>
        <w:t>毫米之间，年平均</w:t>
      </w:r>
      <w:r>
        <w:rPr>
          <w:rFonts w:hint="eastAsia" w:ascii="仿宋" w:hAnsi="仿宋" w:eastAsia="仿宋" w:cs="Times New Roman"/>
          <w:bCs/>
          <w:color w:val="auto"/>
          <w:sz w:val="28"/>
          <w:szCs w:val="28"/>
        </w:rPr>
        <w:t>降雨</w:t>
      </w:r>
      <w:r>
        <w:rPr>
          <w:rFonts w:ascii="Times New Roman" w:hAnsi="Times New Roman" w:eastAsia="仿宋" w:cs="Times New Roman"/>
          <w:bCs/>
          <w:color w:val="auto"/>
          <w:sz w:val="28"/>
          <w:szCs w:val="28"/>
        </w:rPr>
        <w:t>1773</w:t>
      </w:r>
      <w:r>
        <w:rPr>
          <w:rFonts w:ascii="仿宋" w:hAnsi="仿宋" w:eastAsia="仿宋" w:cs="Times New Roman"/>
          <w:bCs/>
          <w:color w:val="auto"/>
          <w:sz w:val="28"/>
          <w:szCs w:val="28"/>
        </w:rPr>
        <w:t>毫米。境内年雨量充沛，但季节分布不均。冬季少雨，仅占年雨量的</w:t>
      </w:r>
      <w:r>
        <w:rPr>
          <w:rFonts w:ascii="Times New Roman" w:hAnsi="Times New Roman" w:eastAsia="仿宋" w:cs="Times New Roman"/>
          <w:bCs/>
          <w:color w:val="auto"/>
          <w:sz w:val="28"/>
          <w:szCs w:val="28"/>
        </w:rPr>
        <w:t>12.1％</w:t>
      </w:r>
      <w:r>
        <w:rPr>
          <w:rFonts w:ascii="仿宋" w:hAnsi="仿宋" w:eastAsia="仿宋" w:cs="Times New Roman"/>
          <w:bCs/>
          <w:color w:val="auto"/>
          <w:sz w:val="28"/>
          <w:szCs w:val="28"/>
        </w:rPr>
        <w:t>。 春、夏两季多雨，尤以</w:t>
      </w:r>
      <w:r>
        <w:rPr>
          <w:rFonts w:ascii="Times New Roman" w:hAnsi="Times New Roman" w:eastAsia="仿宋" w:cs="Times New Roman"/>
          <w:bCs/>
          <w:color w:val="auto"/>
          <w:sz w:val="28"/>
          <w:szCs w:val="28"/>
        </w:rPr>
        <w:t>5、6</w:t>
      </w:r>
      <w:r>
        <w:rPr>
          <w:rFonts w:ascii="仿宋" w:hAnsi="仿宋" w:eastAsia="仿宋" w:cs="Times New Roman"/>
          <w:bCs/>
          <w:color w:val="auto"/>
          <w:sz w:val="28"/>
          <w:szCs w:val="28"/>
        </w:rPr>
        <w:t>月份雨量最多，占年雨量的</w:t>
      </w:r>
      <w:r>
        <w:rPr>
          <w:rFonts w:ascii="Times New Roman" w:hAnsi="Times New Roman" w:eastAsia="仿宋" w:cs="Times New Roman"/>
          <w:bCs/>
          <w:color w:val="auto"/>
          <w:sz w:val="28"/>
          <w:szCs w:val="28"/>
        </w:rPr>
        <w:t>34.5％</w:t>
      </w:r>
      <w:r>
        <w:rPr>
          <w:rFonts w:ascii="仿宋" w:hAnsi="仿宋" w:eastAsia="仿宋" w:cs="Times New Roman"/>
          <w:bCs/>
          <w:color w:val="auto"/>
          <w:sz w:val="28"/>
          <w:szCs w:val="28"/>
        </w:rPr>
        <w:t>，常出现山洪暴发，一些地区 崩山形成泥石流，危害甚大。从多年情况看，雨季</w:t>
      </w:r>
      <w:r>
        <w:rPr>
          <w:rFonts w:hint="eastAsia" w:ascii="仿宋" w:hAnsi="仿宋" w:eastAsia="仿宋" w:cs="Times New Roman"/>
          <w:bCs/>
          <w:color w:val="auto"/>
          <w:sz w:val="28"/>
          <w:szCs w:val="28"/>
        </w:rPr>
        <w:t>一般</w:t>
      </w:r>
      <w:r>
        <w:rPr>
          <w:rFonts w:ascii="仿宋" w:hAnsi="仿宋" w:eastAsia="仿宋" w:cs="Times New Roman"/>
          <w:bCs/>
          <w:color w:val="auto"/>
          <w:sz w:val="28"/>
          <w:szCs w:val="28"/>
        </w:rPr>
        <w:t>从</w:t>
      </w:r>
      <w:r>
        <w:rPr>
          <w:rFonts w:ascii="Times New Roman" w:hAnsi="Times New Roman" w:eastAsia="仿宋" w:cs="Times New Roman"/>
          <w:bCs/>
          <w:color w:val="auto"/>
          <w:sz w:val="28"/>
          <w:szCs w:val="28"/>
        </w:rPr>
        <w:t>3</w:t>
      </w:r>
      <w:r>
        <w:rPr>
          <w:rFonts w:ascii="仿宋" w:hAnsi="仿宋" w:eastAsia="仿宋" w:cs="Times New Roman"/>
          <w:bCs/>
          <w:color w:val="auto"/>
          <w:sz w:val="28"/>
          <w:szCs w:val="28"/>
        </w:rPr>
        <w:t>月份开始，</w:t>
      </w:r>
      <w:r>
        <w:rPr>
          <w:rFonts w:ascii="Times New Roman" w:hAnsi="Times New Roman" w:eastAsia="仿宋" w:cs="Times New Roman"/>
          <w:bCs/>
          <w:color w:val="auto"/>
          <w:sz w:val="28"/>
          <w:szCs w:val="28"/>
        </w:rPr>
        <w:t>9</w:t>
      </w:r>
      <w:r>
        <w:rPr>
          <w:rFonts w:ascii="仿宋" w:hAnsi="仿宋" w:eastAsia="仿宋" w:cs="Times New Roman"/>
          <w:bCs/>
          <w:color w:val="auto"/>
          <w:sz w:val="28"/>
          <w:szCs w:val="28"/>
        </w:rPr>
        <w:t>月份结束</w:t>
      </w:r>
      <w:r>
        <w:rPr>
          <w:rFonts w:hint="eastAsia" w:ascii="仿宋" w:hAnsi="仿宋" w:eastAsia="仿宋" w:cs="Times New Roman"/>
          <w:bCs/>
          <w:color w:val="auto"/>
          <w:sz w:val="28"/>
          <w:szCs w:val="28"/>
        </w:rPr>
        <w:t>。</w:t>
      </w:r>
    </w:p>
    <w:p>
      <w:pPr>
        <w:spacing w:line="360" w:lineRule="auto"/>
        <w:ind w:firstLine="560" w:firstLineChars="200"/>
        <w:rPr>
          <w:rFonts w:ascii="Times New Roman" w:hAnsi="Times New Roman" w:eastAsia="仿宋" w:cs="Times New Roman"/>
          <w:bCs/>
          <w:color w:val="auto"/>
          <w:kern w:val="0"/>
          <w:sz w:val="28"/>
          <w:szCs w:val="28"/>
        </w:rPr>
      </w:pPr>
      <w:r>
        <w:rPr>
          <w:rFonts w:hint="eastAsia" w:ascii="Times New Roman" w:hAnsi="Times New Roman" w:eastAsia="仿宋" w:cs="Times New Roman"/>
          <w:bCs/>
          <w:color w:val="auto"/>
          <w:kern w:val="0"/>
          <w:sz w:val="28"/>
          <w:szCs w:val="28"/>
        </w:rPr>
        <w:t>资源县</w:t>
      </w:r>
      <w:r>
        <w:rPr>
          <w:rFonts w:ascii="Times New Roman" w:hAnsi="Times New Roman" w:eastAsia="仿宋" w:cs="Times New Roman"/>
          <w:bCs/>
          <w:color w:val="auto"/>
          <w:kern w:val="0"/>
          <w:sz w:val="28"/>
          <w:szCs w:val="28"/>
        </w:rPr>
        <w:t>洪水由流域降雨汇流形成。流域地形北高南低，东北部为五岭山脉屏峙，其间有“湘桂走廊”谷地沟通，南北走向的</w:t>
      </w:r>
      <w:r>
        <w:rPr>
          <w:rFonts w:hint="eastAsia" w:ascii="Times New Roman" w:hAnsi="Times New Roman" w:eastAsia="仿宋" w:cs="Times New Roman"/>
          <w:bCs/>
          <w:color w:val="auto"/>
          <w:kern w:val="0"/>
          <w:sz w:val="28"/>
          <w:szCs w:val="28"/>
          <w:lang w:eastAsia="zh-CN"/>
        </w:rPr>
        <w:t>资江</w:t>
      </w:r>
      <w:r>
        <w:rPr>
          <w:rFonts w:ascii="Times New Roman" w:hAnsi="Times New Roman" w:eastAsia="仿宋" w:cs="Times New Roman"/>
          <w:bCs/>
          <w:color w:val="auto"/>
          <w:kern w:val="0"/>
          <w:sz w:val="28"/>
          <w:szCs w:val="28"/>
        </w:rPr>
        <w:t>成为南下冷空气必经之道，北方冷空气南下常与暖湿气流交汇，锋面活动频繁，据流域暴雨成因统计，锋面雨占80%，台风雨及其它占20%。</w:t>
      </w:r>
      <w:r>
        <w:rPr>
          <w:rFonts w:hint="eastAsia" w:ascii="Times New Roman" w:hAnsi="Times New Roman" w:eastAsia="仿宋" w:cs="Times New Roman"/>
          <w:bCs/>
          <w:color w:val="auto"/>
          <w:kern w:val="0"/>
          <w:sz w:val="28"/>
          <w:szCs w:val="28"/>
        </w:rPr>
        <w:t>资源县各河流</w:t>
      </w:r>
      <w:r>
        <w:rPr>
          <w:rFonts w:ascii="Times New Roman" w:hAnsi="Times New Roman" w:eastAsia="仿宋" w:cs="Times New Roman"/>
          <w:bCs/>
          <w:color w:val="auto"/>
          <w:kern w:val="0"/>
          <w:sz w:val="28"/>
          <w:szCs w:val="28"/>
        </w:rPr>
        <w:t>洪水多发生在汛期的4至7月份，5至6月份发生年最大洪水次数最多，约占70%。</w:t>
      </w:r>
    </w:p>
    <w:p>
      <w:pPr>
        <w:spacing w:line="360" w:lineRule="auto"/>
        <w:ind w:firstLine="560" w:firstLineChars="200"/>
        <w:rPr>
          <w:rFonts w:ascii="Times New Roman" w:hAnsi="Times New Roman" w:eastAsia="仿宋" w:cs="Times New Roman"/>
          <w:bCs/>
          <w:color w:val="auto"/>
          <w:kern w:val="0"/>
          <w:sz w:val="28"/>
          <w:szCs w:val="28"/>
        </w:rPr>
      </w:pPr>
      <w:r>
        <w:rPr>
          <w:rFonts w:ascii="Times New Roman" w:hAnsi="Times New Roman" w:eastAsia="仿宋" w:cs="Times New Roman"/>
          <w:bCs/>
          <w:color w:val="auto"/>
          <w:kern w:val="0"/>
          <w:sz w:val="28"/>
          <w:szCs w:val="28"/>
        </w:rPr>
        <w:t>流域内大暴雨持续时间一般为1～3天，持续时间短，加上本流域呈羽状形，支流短，河道为峡谷型河槽，因此，洪水过程多呈单峰或双峰型，且洪水暴涨暴落。一般一场洪水过程多为7天左右。</w:t>
      </w:r>
    </w:p>
    <w:p>
      <w:pPr>
        <w:spacing w:line="360" w:lineRule="auto"/>
        <w:ind w:firstLine="560" w:firstLineChars="200"/>
        <w:jc w:val="left"/>
        <w:rPr>
          <w:rFonts w:ascii="Times New Roman" w:hAnsi="Times New Roman" w:eastAsia="仿宋" w:cs="Times New Roman"/>
          <w:bCs/>
          <w:color w:val="auto"/>
          <w:kern w:val="0"/>
          <w:sz w:val="28"/>
          <w:szCs w:val="28"/>
        </w:rPr>
      </w:pPr>
      <w:r>
        <w:rPr>
          <w:rFonts w:ascii="Times New Roman" w:hAnsi="Times New Roman" w:eastAsia="仿宋" w:cs="Times New Roman"/>
          <w:bCs/>
          <w:color w:val="auto"/>
          <w:kern w:val="0"/>
          <w:sz w:val="28"/>
          <w:szCs w:val="28"/>
        </w:rPr>
        <w:t>（2）干旱</w:t>
      </w:r>
    </w:p>
    <w:p>
      <w:pPr>
        <w:spacing w:line="360" w:lineRule="auto"/>
        <w:ind w:firstLine="560" w:firstLineChars="200"/>
        <w:jc w:val="left"/>
        <w:rPr>
          <w:rFonts w:ascii="Times New Roman" w:hAnsi="Times New Roman" w:eastAsia="仿宋" w:cs="Times New Roman"/>
          <w:bCs/>
          <w:color w:val="auto"/>
          <w:kern w:val="0"/>
          <w:sz w:val="28"/>
          <w:szCs w:val="28"/>
        </w:rPr>
      </w:pPr>
      <w:r>
        <w:rPr>
          <w:rFonts w:ascii="Times New Roman" w:hAnsi="Times New Roman" w:eastAsia="仿宋" w:cs="Times New Roman"/>
          <w:bCs/>
          <w:color w:val="auto"/>
          <w:kern w:val="0"/>
          <w:sz w:val="28"/>
          <w:szCs w:val="28"/>
        </w:rPr>
        <w:t>干旱是</w:t>
      </w:r>
      <w:r>
        <w:rPr>
          <w:rFonts w:hint="eastAsia" w:ascii="Times New Roman" w:hAnsi="Times New Roman" w:eastAsia="仿宋" w:cs="Times New Roman"/>
          <w:bCs/>
          <w:color w:val="auto"/>
          <w:kern w:val="0"/>
          <w:sz w:val="28"/>
          <w:szCs w:val="28"/>
        </w:rPr>
        <w:t>资源县的</w:t>
      </w:r>
      <w:r>
        <w:rPr>
          <w:rFonts w:ascii="Times New Roman" w:hAnsi="Times New Roman" w:eastAsia="仿宋" w:cs="Times New Roman"/>
          <w:bCs/>
          <w:color w:val="auto"/>
          <w:kern w:val="0"/>
          <w:sz w:val="28"/>
          <w:szCs w:val="28"/>
        </w:rPr>
        <w:t>主要自然灾害，其中春、秋旱出现最多，而又以春旱</w:t>
      </w:r>
    </w:p>
    <w:p>
      <w:pPr>
        <w:spacing w:line="360" w:lineRule="auto"/>
        <w:rPr>
          <w:rFonts w:ascii="Times New Roman" w:hAnsi="Times New Roman" w:eastAsia="仿宋" w:cs="Times New Roman"/>
          <w:bCs/>
          <w:color w:val="auto"/>
          <w:kern w:val="0"/>
          <w:sz w:val="28"/>
          <w:szCs w:val="28"/>
        </w:rPr>
      </w:pPr>
      <w:r>
        <w:rPr>
          <w:rFonts w:ascii="Times New Roman" w:hAnsi="Times New Roman" w:eastAsia="仿宋" w:cs="Times New Roman"/>
          <w:bCs/>
          <w:color w:val="auto"/>
          <w:kern w:val="0"/>
          <w:sz w:val="28"/>
          <w:szCs w:val="28"/>
        </w:rPr>
        <w:t>为害最重，春旱频率为 87%，即 10 年出现 8～9 年；秋旱频率为 73%，</w:t>
      </w:r>
      <w:r>
        <w:rPr>
          <w:rFonts w:hint="eastAsia" w:ascii="Times New Roman" w:hAnsi="Times New Roman" w:eastAsia="仿宋" w:cs="Times New Roman"/>
          <w:bCs/>
          <w:color w:val="auto"/>
          <w:kern w:val="0"/>
          <w:sz w:val="28"/>
          <w:szCs w:val="28"/>
        </w:rPr>
        <w:t>资源县各河流</w:t>
      </w:r>
      <w:r>
        <w:rPr>
          <w:rFonts w:ascii="Times New Roman" w:hAnsi="Times New Roman" w:eastAsia="仿宋" w:cs="Times New Roman"/>
          <w:bCs/>
          <w:color w:val="auto"/>
          <w:kern w:val="0"/>
          <w:sz w:val="28"/>
          <w:szCs w:val="28"/>
        </w:rPr>
        <w:t>流量从 10 月开始下降, 一直到次年3 月雨季来临才开始回升, 这段长达 6月之久的时段称为枯水期，枯季水源主要靠枯季中的降雨补给。</w:t>
      </w:r>
    </w:p>
    <w:p>
      <w:pPr>
        <w:spacing w:line="360" w:lineRule="auto"/>
        <w:outlineLvl w:val="2"/>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2.</w:t>
      </w:r>
      <w:r>
        <w:rPr>
          <w:rFonts w:hint="eastAsia" w:ascii="Times New Roman" w:hAnsi="Times New Roman" w:eastAsia="仿宋" w:cs="Times New Roman"/>
          <w:color w:val="auto"/>
          <w:kern w:val="0"/>
          <w:sz w:val="28"/>
          <w:szCs w:val="28"/>
        </w:rPr>
        <w:t>10</w:t>
      </w:r>
      <w:r>
        <w:rPr>
          <w:rFonts w:ascii="Times New Roman" w:hAnsi="Times New Roman" w:eastAsia="仿宋" w:cs="Times New Roman"/>
          <w:color w:val="auto"/>
          <w:kern w:val="0"/>
          <w:sz w:val="28"/>
          <w:szCs w:val="28"/>
        </w:rPr>
        <w:t>.2 水域面积缩小、连通性降低</w:t>
      </w:r>
    </w:p>
    <w:p>
      <w:pPr>
        <w:spacing w:line="360" w:lineRule="auto"/>
        <w:ind w:firstLine="560" w:firstLineChars="200"/>
        <w:jc w:val="left"/>
        <w:rPr>
          <w:rFonts w:ascii="Times New Roman" w:hAnsi="Times New Roman" w:eastAsia="仿宋" w:cs="Times New Roman"/>
          <w:bCs/>
          <w:color w:val="auto"/>
          <w:kern w:val="0"/>
          <w:sz w:val="28"/>
          <w:szCs w:val="28"/>
        </w:rPr>
      </w:pPr>
      <w:r>
        <w:rPr>
          <w:rFonts w:ascii="Times New Roman" w:hAnsi="Times New Roman" w:eastAsia="仿宋" w:cs="Times New Roman"/>
          <w:bCs/>
          <w:color w:val="auto"/>
          <w:kern w:val="0"/>
          <w:sz w:val="28"/>
          <w:szCs w:val="28"/>
        </w:rPr>
        <w:t>随着社会人口增多，城市化用地扩张，土地资源变得紧缺，以前不予</w:t>
      </w:r>
    </w:p>
    <w:p>
      <w:pPr>
        <w:spacing w:line="360" w:lineRule="auto"/>
        <w:jc w:val="left"/>
        <w:rPr>
          <w:rFonts w:ascii="Times New Roman" w:hAnsi="Times New Roman" w:eastAsia="仿宋" w:cs="Times New Roman"/>
          <w:bCs/>
          <w:color w:val="auto"/>
          <w:kern w:val="0"/>
          <w:sz w:val="28"/>
          <w:szCs w:val="28"/>
        </w:rPr>
      </w:pPr>
      <w:r>
        <w:rPr>
          <w:rFonts w:ascii="Times New Roman" w:hAnsi="Times New Roman" w:eastAsia="仿宋" w:cs="Times New Roman"/>
          <w:bCs/>
          <w:color w:val="auto"/>
          <w:kern w:val="0"/>
          <w:sz w:val="28"/>
          <w:szCs w:val="28"/>
        </w:rPr>
        <w:t>利用的河流、湿地被挤占，或被开发利用；流域的</w:t>
      </w:r>
      <w:bookmarkStart w:id="37" w:name="page33"/>
      <w:bookmarkEnd w:id="37"/>
      <w:r>
        <w:rPr>
          <w:rFonts w:ascii="Times New Roman" w:hAnsi="Times New Roman" w:eastAsia="仿宋" w:cs="Times New Roman"/>
          <w:bCs/>
          <w:color w:val="auto"/>
          <w:kern w:val="0"/>
          <w:sz w:val="28"/>
          <w:szCs w:val="28"/>
        </w:rPr>
        <w:t>梯级开发利用，导致河流连通性降低、河床暴露。同时，“城中村”产生的垃圾无序处置，污废水随处排放，导致河床淤塞、水体污染，生态环境恶化。</w:t>
      </w:r>
    </w:p>
    <w:p>
      <w:pPr>
        <w:spacing w:line="360" w:lineRule="auto"/>
        <w:outlineLvl w:val="2"/>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2.</w:t>
      </w:r>
      <w:r>
        <w:rPr>
          <w:rFonts w:hint="eastAsia" w:ascii="Times New Roman" w:hAnsi="Times New Roman" w:eastAsia="仿宋" w:cs="Times New Roman"/>
          <w:color w:val="auto"/>
          <w:kern w:val="0"/>
          <w:sz w:val="28"/>
          <w:szCs w:val="28"/>
        </w:rPr>
        <w:t>10</w:t>
      </w:r>
      <w:r>
        <w:rPr>
          <w:rFonts w:ascii="Times New Roman" w:hAnsi="Times New Roman" w:eastAsia="仿宋" w:cs="Times New Roman"/>
          <w:color w:val="auto"/>
          <w:kern w:val="0"/>
          <w:sz w:val="28"/>
          <w:szCs w:val="28"/>
        </w:rPr>
        <w:t>.3 水体污染</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产业布局不合理，环保基础设施建设尚未完善。虽然近年来</w:t>
      </w:r>
      <w:r>
        <w:rPr>
          <w:rFonts w:hint="eastAsia" w:ascii="Times New Roman" w:hAnsi="Times New Roman" w:eastAsia="仿宋" w:cs="Times New Roman"/>
          <w:color w:val="auto"/>
          <w:kern w:val="0"/>
          <w:sz w:val="28"/>
          <w:szCs w:val="20"/>
          <w:lang w:val="en-US" w:eastAsia="zh-CN"/>
        </w:rPr>
        <w:t>资源县</w:t>
      </w:r>
      <w:r>
        <w:rPr>
          <w:rFonts w:ascii="Times New Roman" w:hAnsi="Times New Roman" w:eastAsia="仿宋" w:cs="Times New Roman"/>
          <w:color w:val="auto"/>
          <w:kern w:val="0"/>
          <w:sz w:val="28"/>
          <w:szCs w:val="20"/>
        </w:rPr>
        <w:t>大力推进产业布局优化和产业结构调整，但仍以酒精、淀粉、</w:t>
      </w:r>
      <w:r>
        <w:rPr>
          <w:rFonts w:hint="eastAsia" w:ascii="Times New Roman" w:hAnsi="Times New Roman" w:eastAsia="仿宋" w:cs="Times New Roman"/>
          <w:color w:val="auto"/>
          <w:kern w:val="0"/>
          <w:sz w:val="28"/>
          <w:szCs w:val="20"/>
          <w:lang w:val="en-US" w:eastAsia="zh-CN"/>
        </w:rPr>
        <w:t>冶炼</w:t>
      </w:r>
      <w:r>
        <w:rPr>
          <w:rFonts w:ascii="Times New Roman" w:hAnsi="Times New Roman" w:eastAsia="仿宋" w:cs="Times New Roman"/>
          <w:color w:val="auto"/>
          <w:kern w:val="0"/>
          <w:sz w:val="28"/>
          <w:szCs w:val="20"/>
        </w:rPr>
        <w:t>等传统高污染、高能耗产业为主；部分工业园区、开发区、乡镇一级的污水处理设施建设尚未全面推动，建设进度较为滞后，同时一些现有污水处理厂的配套污水管网建设也较为滞后。产业布局不合理，环保基础设施建设尚未完善，导致水环境、水资源保护压力较大。</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入河排污口布局存在问题，监管难度较大。在一些饮用水水源地等水环境敏感区依然布设有入河排污口。水行政主管部门尚未建立入河排污口监控体系，加之水管理体制的重叠和交叉，给监管带来了一定的困难，部分企业的法律环保意识依然薄弱，不注重污水处理设施的运行维护，出现了偷排、超标排放废污水等现象，致使水污染事件时有发生，近年来水环境问题投诉也有不断增加的趋势。</w:t>
      </w:r>
    </w:p>
    <w:p>
      <w:pPr>
        <w:spacing w:line="360" w:lineRule="auto"/>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2.</w:t>
      </w:r>
      <w:r>
        <w:rPr>
          <w:rFonts w:hint="eastAsia" w:ascii="Times New Roman" w:hAnsi="Times New Roman" w:eastAsia="仿宋" w:cs="Times New Roman"/>
          <w:color w:val="auto"/>
          <w:kern w:val="0"/>
          <w:sz w:val="28"/>
          <w:szCs w:val="20"/>
        </w:rPr>
        <w:t>10</w:t>
      </w:r>
      <w:r>
        <w:rPr>
          <w:rFonts w:ascii="Times New Roman" w:hAnsi="Times New Roman" w:eastAsia="仿宋" w:cs="Times New Roman"/>
          <w:color w:val="auto"/>
          <w:kern w:val="0"/>
          <w:sz w:val="28"/>
          <w:szCs w:val="20"/>
        </w:rPr>
        <w:t>.4 土地资源紧缺</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 xml:space="preserve">自改革开放以来, </w:t>
      </w:r>
      <w:r>
        <w:rPr>
          <w:rFonts w:hint="eastAsia" w:ascii="Times New Roman" w:hAnsi="Times New Roman" w:eastAsia="仿宋" w:cs="Times New Roman"/>
          <w:color w:val="auto"/>
          <w:kern w:val="0"/>
          <w:sz w:val="28"/>
          <w:szCs w:val="20"/>
        </w:rPr>
        <w:t>资源</w:t>
      </w:r>
      <w:r>
        <w:rPr>
          <w:rFonts w:ascii="Times New Roman" w:hAnsi="Times New Roman" w:eastAsia="仿宋" w:cs="Times New Roman"/>
          <w:color w:val="auto"/>
          <w:kern w:val="0"/>
          <w:sz w:val="28"/>
          <w:szCs w:val="20"/>
        </w:rPr>
        <w:t>县各项建设突飞猛进, 城市膨胀了, 经济上了台阶, 但耕地的结构发生了明显的变化，灌溉水田减少了，增加的旱耕超过 15 度的坡耕地，一般连续利用 3</w:t>
      </w:r>
      <w:r>
        <w:rPr>
          <w:rFonts w:ascii="Times New Roman" w:hAnsi="Times New Roman" w:eastAsia="仿宋" w:cs="Times New Roman"/>
          <w:bCs/>
          <w:color w:val="auto"/>
          <w:kern w:val="0"/>
          <w:sz w:val="28"/>
          <w:szCs w:val="28"/>
        </w:rPr>
        <w:t>～</w:t>
      </w:r>
      <w:r>
        <w:rPr>
          <w:rFonts w:ascii="Times New Roman" w:hAnsi="Times New Roman" w:eastAsia="仿宋" w:cs="Times New Roman"/>
          <w:color w:val="auto"/>
          <w:kern w:val="0"/>
          <w:sz w:val="28"/>
          <w:szCs w:val="20"/>
        </w:rPr>
        <w:t>5年，后因水土流失、地力下降，法再用后弃耕，然后再开荒。如些反复进行，造成水土流失，土地退化，土地无法持续利用。</w:t>
      </w:r>
    </w:p>
    <w:p>
      <w:pPr>
        <w:spacing w:line="360" w:lineRule="auto"/>
        <w:ind w:firstLine="560" w:firstLineChars="200"/>
        <w:rPr>
          <w:rFonts w:ascii="Times New Roman" w:hAnsi="Times New Roman" w:eastAsia="仿宋" w:cs="Times New Roman"/>
          <w:color w:val="auto"/>
          <w:kern w:val="0"/>
          <w:sz w:val="28"/>
          <w:szCs w:val="20"/>
        </w:rPr>
      </w:pPr>
    </w:p>
    <w:p>
      <w:pPr>
        <w:spacing w:line="360" w:lineRule="auto"/>
        <w:ind w:firstLine="560" w:firstLineChars="200"/>
        <w:rPr>
          <w:rFonts w:ascii="Times New Roman" w:hAnsi="Times New Roman" w:eastAsia="仿宋" w:cs="Times New Roman"/>
          <w:color w:val="auto"/>
          <w:kern w:val="0"/>
          <w:sz w:val="28"/>
          <w:szCs w:val="20"/>
        </w:rPr>
      </w:pPr>
    </w:p>
    <w:p>
      <w:pPr>
        <w:spacing w:line="360" w:lineRule="auto"/>
        <w:ind w:firstLine="560" w:firstLineChars="200"/>
        <w:rPr>
          <w:rFonts w:ascii="Times New Roman" w:hAnsi="Times New Roman" w:eastAsia="仿宋" w:cs="Times New Roman"/>
          <w:color w:val="auto"/>
          <w:kern w:val="0"/>
          <w:sz w:val="28"/>
          <w:szCs w:val="20"/>
        </w:rPr>
      </w:pPr>
    </w:p>
    <w:p>
      <w:pPr>
        <w:spacing w:line="360" w:lineRule="auto"/>
        <w:ind w:firstLine="560" w:firstLineChars="200"/>
        <w:rPr>
          <w:rFonts w:ascii="Times New Roman" w:hAnsi="Times New Roman" w:eastAsia="仿宋" w:cs="Times New Roman"/>
          <w:color w:val="auto"/>
          <w:kern w:val="0"/>
          <w:sz w:val="28"/>
          <w:szCs w:val="20"/>
        </w:rPr>
      </w:pPr>
    </w:p>
    <w:p>
      <w:pPr>
        <w:pStyle w:val="4"/>
        <w:bidi w:val="0"/>
        <w:rPr>
          <w:color w:val="auto"/>
        </w:rPr>
        <w:sectPr>
          <w:pgSz w:w="11906" w:h="16838"/>
          <w:pgMar w:top="1361" w:right="1361" w:bottom="1474" w:left="1418" w:header="1021" w:footer="964" w:gutter="0"/>
          <w:cols w:space="425" w:num="1"/>
          <w:docGrid w:linePitch="312" w:charSpace="0"/>
        </w:sectPr>
      </w:pPr>
      <w:bookmarkStart w:id="38" w:name="_Toc30590"/>
      <w:bookmarkStart w:id="39" w:name="_Toc19006"/>
      <w:bookmarkStart w:id="40" w:name="_Toc17444"/>
    </w:p>
    <w:p>
      <w:pPr>
        <w:pStyle w:val="4"/>
        <w:bidi w:val="0"/>
        <w:rPr>
          <w:color w:val="auto"/>
        </w:rPr>
      </w:pPr>
      <w:r>
        <w:rPr>
          <w:color w:val="auto"/>
        </w:rPr>
        <w:t xml:space="preserve">3 </w:t>
      </w:r>
      <w:r>
        <w:rPr>
          <w:rFonts w:hint="eastAsia"/>
          <w:color w:val="auto"/>
        </w:rPr>
        <w:t>资源县各河流</w:t>
      </w:r>
      <w:r>
        <w:rPr>
          <w:color w:val="auto"/>
        </w:rPr>
        <w:t>健康评估技术方案</w:t>
      </w:r>
      <w:bookmarkEnd w:id="38"/>
      <w:bookmarkEnd w:id="39"/>
      <w:bookmarkEnd w:id="40"/>
    </w:p>
    <w:p>
      <w:pPr>
        <w:pStyle w:val="5"/>
        <w:bidi w:val="0"/>
        <w:rPr>
          <w:rFonts w:cs="Times New Roman"/>
          <w:color w:val="auto"/>
        </w:rPr>
      </w:pPr>
      <w:bookmarkStart w:id="41" w:name="_Toc22267"/>
      <w:bookmarkStart w:id="42" w:name="_Toc22821"/>
      <w:r>
        <w:rPr>
          <w:rFonts w:cs="Times New Roman"/>
          <w:color w:val="auto"/>
        </w:rPr>
        <w:t>3.1 评估水平年及评估任务</w:t>
      </w:r>
      <w:bookmarkEnd w:id="41"/>
      <w:bookmarkEnd w:id="42"/>
    </w:p>
    <w:p>
      <w:pPr>
        <w:spacing w:line="360" w:lineRule="auto"/>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3.1.1 评估水平年</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本次评估现状年为 202</w:t>
      </w:r>
      <w:r>
        <w:rPr>
          <w:rFonts w:hint="eastAsia" w:ascii="Times New Roman" w:hAnsi="Times New Roman" w:eastAsia="仿宋" w:cs="Times New Roman"/>
          <w:color w:val="auto"/>
          <w:kern w:val="0"/>
          <w:sz w:val="28"/>
          <w:szCs w:val="20"/>
          <w:lang w:val="en-US" w:eastAsia="zh-CN"/>
        </w:rPr>
        <w:t>1</w:t>
      </w:r>
      <w:r>
        <w:rPr>
          <w:rFonts w:ascii="Times New Roman" w:hAnsi="Times New Roman" w:eastAsia="仿宋" w:cs="Times New Roman"/>
          <w:color w:val="auto"/>
          <w:kern w:val="0"/>
          <w:sz w:val="28"/>
          <w:szCs w:val="20"/>
        </w:rPr>
        <w:t>年。</w:t>
      </w:r>
    </w:p>
    <w:p>
      <w:pPr>
        <w:spacing w:line="360" w:lineRule="auto"/>
        <w:jc w:val="left"/>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3.1.2 评估任务</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通过河流健康评估，对河流系统物理完整性（水文完整性和物理结构</w:t>
      </w:r>
      <w:r>
        <w:rPr>
          <w:rFonts w:ascii="Times New Roman" w:hAnsi="Times New Roman" w:eastAsia="仿宋" w:cs="Times New Roman"/>
          <w:color w:val="auto"/>
          <w:kern w:val="0"/>
          <w:sz w:val="27"/>
          <w:szCs w:val="20"/>
        </w:rPr>
        <w:t>完整性）、化学完整性、生物完整性和服务功能完整性以及他们的相互协调</w:t>
      </w:r>
      <w:r>
        <w:rPr>
          <w:rFonts w:ascii="Times New Roman" w:hAnsi="Times New Roman" w:eastAsia="仿宋" w:cs="Times New Roman"/>
          <w:color w:val="auto"/>
          <w:kern w:val="0"/>
          <w:sz w:val="28"/>
          <w:szCs w:val="20"/>
        </w:rPr>
        <w:t>性进行评价；进而准确把脉河湖健康状况问题，构建水资源保护与河流健康保障体系，保护水资源和水生态，以支撑经济社会的可持续发展。</w:t>
      </w:r>
    </w:p>
    <w:p>
      <w:pPr>
        <w:pStyle w:val="5"/>
        <w:bidi w:val="0"/>
        <w:rPr>
          <w:rFonts w:cs="Times New Roman"/>
          <w:color w:val="auto"/>
        </w:rPr>
      </w:pPr>
      <w:bookmarkStart w:id="43" w:name="_Toc4540"/>
      <w:bookmarkStart w:id="44" w:name="_Toc473"/>
      <w:r>
        <w:rPr>
          <w:rFonts w:cs="Times New Roman"/>
          <w:color w:val="auto"/>
        </w:rPr>
        <w:t>3.2 评估依据</w:t>
      </w:r>
      <w:bookmarkEnd w:id="43"/>
      <w:bookmarkEnd w:id="44"/>
    </w:p>
    <w:p>
      <w:pPr>
        <w:spacing w:line="360" w:lineRule="auto"/>
        <w:jc w:val="left"/>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3.2.1 法律</w:t>
      </w:r>
      <w:r>
        <w:rPr>
          <w:rFonts w:hint="eastAsia" w:ascii="Times New Roman" w:hAnsi="Times New Roman" w:eastAsia="仿宋" w:cs="Times New Roman"/>
          <w:color w:val="auto"/>
          <w:kern w:val="0"/>
          <w:sz w:val="28"/>
          <w:szCs w:val="20"/>
        </w:rPr>
        <w:t>法规</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w:t>
      </w:r>
      <w:r>
        <w:rPr>
          <w:rFonts w:hint="eastAsia" w:ascii="Times New Roman" w:hAnsi="Times New Roman" w:eastAsia="仿宋" w:cs="Times New Roman"/>
          <w:color w:val="auto"/>
          <w:kern w:val="0"/>
          <w:sz w:val="28"/>
          <w:szCs w:val="20"/>
        </w:rPr>
        <w:t>1</w:t>
      </w:r>
      <w:r>
        <w:rPr>
          <w:rFonts w:ascii="Times New Roman" w:hAnsi="Times New Roman" w:eastAsia="仿宋" w:cs="Times New Roman"/>
          <w:color w:val="auto"/>
          <w:kern w:val="0"/>
          <w:sz w:val="28"/>
          <w:szCs w:val="20"/>
        </w:rPr>
        <w:t>）《中华人民共和国水法》（2002年10月1日起施行</w:t>
      </w:r>
      <w:r>
        <w:rPr>
          <w:rFonts w:hint="eastAsia" w:ascii="Times New Roman" w:hAnsi="Times New Roman" w:eastAsia="仿宋" w:cs="Times New Roman"/>
          <w:color w:val="auto"/>
          <w:kern w:val="0"/>
          <w:sz w:val="28"/>
          <w:szCs w:val="20"/>
        </w:rPr>
        <w:t>，2016.7.2修订</w:t>
      </w:r>
      <w:r>
        <w:rPr>
          <w:rFonts w:ascii="Times New Roman" w:hAnsi="Times New Roman" w:eastAsia="仿宋" w:cs="Times New Roman"/>
          <w:color w:val="auto"/>
          <w:kern w:val="0"/>
          <w:sz w:val="28"/>
          <w:szCs w:val="20"/>
        </w:rPr>
        <w:t>）;</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（2）《中华人民共和国环境保护法》（2014年4月修订版）;</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（3）《中华人民共和国水污染防治法》（2008年6月1日起施行</w:t>
      </w:r>
      <w:r>
        <w:rPr>
          <w:rFonts w:hint="eastAsia" w:ascii="Times New Roman" w:hAnsi="Times New Roman" w:eastAsia="仿宋" w:cs="Times New Roman"/>
          <w:color w:val="auto"/>
          <w:kern w:val="0"/>
          <w:sz w:val="28"/>
          <w:szCs w:val="20"/>
        </w:rPr>
        <w:t>，2017.6.27修订，2018.年1月1日起施行</w:t>
      </w:r>
      <w:r>
        <w:rPr>
          <w:rFonts w:ascii="Times New Roman" w:hAnsi="Times New Roman" w:eastAsia="仿宋" w:cs="Times New Roman"/>
          <w:color w:val="auto"/>
          <w:kern w:val="0"/>
          <w:sz w:val="28"/>
          <w:szCs w:val="20"/>
        </w:rPr>
        <w:t xml:space="preserve">）; </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 xml:space="preserve">（4）《广西壮族自治区实施&lt;中华人民共和国水法&gt;办法》（2004年3月）; </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（5）《城镇排水与污水处理条例》（2014年1月1日起施行）;</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w:t>
      </w:r>
      <w:r>
        <w:rPr>
          <w:rFonts w:hint="eastAsia" w:ascii="Times New Roman" w:hAnsi="Times New Roman" w:eastAsia="仿宋" w:cs="Times New Roman"/>
          <w:color w:val="auto"/>
          <w:kern w:val="0"/>
          <w:sz w:val="28"/>
          <w:szCs w:val="20"/>
        </w:rPr>
        <w:t>6</w:t>
      </w:r>
      <w:r>
        <w:rPr>
          <w:rFonts w:ascii="Times New Roman" w:hAnsi="Times New Roman" w:eastAsia="仿宋" w:cs="Times New Roman"/>
          <w:color w:val="auto"/>
          <w:kern w:val="0"/>
          <w:sz w:val="28"/>
          <w:szCs w:val="20"/>
        </w:rPr>
        <w:t xml:space="preserve">）《入河排污口监督管理办法》（2005 年1月1日起施行）; </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w:t>
      </w:r>
      <w:r>
        <w:rPr>
          <w:rFonts w:hint="eastAsia" w:ascii="Times New Roman" w:hAnsi="Times New Roman" w:eastAsia="仿宋" w:cs="Times New Roman"/>
          <w:color w:val="auto"/>
          <w:kern w:val="0"/>
          <w:sz w:val="28"/>
          <w:szCs w:val="20"/>
        </w:rPr>
        <w:t>7</w:t>
      </w:r>
      <w:r>
        <w:rPr>
          <w:rFonts w:ascii="Times New Roman" w:hAnsi="Times New Roman" w:eastAsia="仿宋" w:cs="Times New Roman"/>
          <w:color w:val="auto"/>
          <w:kern w:val="0"/>
          <w:sz w:val="28"/>
          <w:szCs w:val="20"/>
        </w:rPr>
        <w:t xml:space="preserve">）《取水许可管理办法》（2008年4月9日起施行）; </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w:t>
      </w:r>
      <w:r>
        <w:rPr>
          <w:rFonts w:hint="eastAsia" w:ascii="Times New Roman" w:hAnsi="Times New Roman" w:eastAsia="仿宋" w:cs="Times New Roman"/>
          <w:color w:val="auto"/>
          <w:kern w:val="0"/>
          <w:sz w:val="28"/>
          <w:szCs w:val="20"/>
        </w:rPr>
        <w:t>8</w:t>
      </w:r>
      <w:r>
        <w:rPr>
          <w:rFonts w:ascii="Times New Roman" w:hAnsi="Times New Roman" w:eastAsia="仿宋" w:cs="Times New Roman"/>
          <w:color w:val="auto"/>
          <w:kern w:val="0"/>
          <w:sz w:val="28"/>
          <w:szCs w:val="20"/>
        </w:rPr>
        <w:t xml:space="preserve">）《水功能区管理办法》（2003年7月1日起施行）; </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w:t>
      </w:r>
      <w:r>
        <w:rPr>
          <w:rFonts w:hint="eastAsia" w:ascii="Times New Roman" w:hAnsi="Times New Roman" w:eastAsia="仿宋" w:cs="Times New Roman"/>
          <w:color w:val="auto"/>
          <w:kern w:val="0"/>
          <w:sz w:val="28"/>
          <w:szCs w:val="20"/>
        </w:rPr>
        <w:t>9</w:t>
      </w:r>
      <w:r>
        <w:rPr>
          <w:rFonts w:ascii="Times New Roman" w:hAnsi="Times New Roman" w:eastAsia="仿宋" w:cs="Times New Roman"/>
          <w:color w:val="auto"/>
          <w:kern w:val="0"/>
          <w:sz w:val="28"/>
          <w:szCs w:val="20"/>
        </w:rPr>
        <w:t>）《饮用水水源保护区污染防治管理规定》（2010年12月22日起施行）;</w:t>
      </w:r>
    </w:p>
    <w:p>
      <w:pPr>
        <w:spacing w:line="360" w:lineRule="auto"/>
        <w:jc w:val="left"/>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3.2.2 评估标准及技术方法</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（1）《地表水环境质量标准》（GB3838-2002）；</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（2）《防洪标准》（GB50201-2014）；</w:t>
      </w:r>
    </w:p>
    <w:p>
      <w:pPr>
        <w:spacing w:line="360" w:lineRule="auto"/>
        <w:ind w:firstLine="54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7"/>
          <w:szCs w:val="20"/>
        </w:rPr>
        <w:t>（3）《全国重要河湖健康评估（试点）工作大纲》（水利部水资源司，</w:t>
      </w:r>
      <w:r>
        <w:rPr>
          <w:rFonts w:ascii="Times New Roman" w:hAnsi="Times New Roman" w:eastAsia="仿宋" w:cs="Times New Roman"/>
          <w:color w:val="auto"/>
          <w:kern w:val="0"/>
          <w:sz w:val="28"/>
          <w:szCs w:val="20"/>
        </w:rPr>
        <w:t>2010 年 9 月）；</w:t>
      </w:r>
    </w:p>
    <w:p>
      <w:pPr>
        <w:spacing w:line="360" w:lineRule="auto"/>
        <w:ind w:firstLine="54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7"/>
          <w:szCs w:val="20"/>
        </w:rPr>
        <w:t>（4）《河流健康评估指标、标准与方法（试点工作用）（1.0 版）》（水</w:t>
      </w:r>
      <w:r>
        <w:rPr>
          <w:rFonts w:ascii="Times New Roman" w:hAnsi="Times New Roman" w:eastAsia="仿宋" w:cs="Times New Roman"/>
          <w:color w:val="auto"/>
          <w:kern w:val="0"/>
          <w:sz w:val="28"/>
          <w:szCs w:val="20"/>
        </w:rPr>
        <w:t xml:space="preserve">利部水资源司、河湖健康评估全国技术工作组，2010 年 10 月）；  </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（5）《地表水资源质量评价技术规程》（SL395-2007）；</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（6）《水利水电工程水文计算规范》（SL278-2002）。</w:t>
      </w:r>
    </w:p>
    <w:p>
      <w:pPr>
        <w:spacing w:line="360" w:lineRule="auto"/>
        <w:jc w:val="left"/>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3.2.</w:t>
      </w:r>
      <w:r>
        <w:rPr>
          <w:rFonts w:hint="eastAsia" w:ascii="Times New Roman" w:hAnsi="Times New Roman" w:eastAsia="仿宋" w:cs="Times New Roman"/>
          <w:color w:val="auto"/>
          <w:kern w:val="0"/>
          <w:sz w:val="28"/>
          <w:szCs w:val="20"/>
        </w:rPr>
        <w:t>3</w:t>
      </w:r>
      <w:r>
        <w:rPr>
          <w:rFonts w:ascii="Times New Roman" w:hAnsi="Times New Roman" w:eastAsia="仿宋" w:cs="Times New Roman"/>
          <w:color w:val="auto"/>
          <w:kern w:val="0"/>
          <w:sz w:val="28"/>
          <w:szCs w:val="20"/>
        </w:rPr>
        <w:t xml:space="preserve"> </w:t>
      </w:r>
      <w:r>
        <w:rPr>
          <w:rFonts w:hint="eastAsia" w:ascii="Times New Roman" w:hAnsi="Times New Roman" w:eastAsia="仿宋" w:cs="Times New Roman"/>
          <w:color w:val="auto"/>
          <w:kern w:val="0"/>
          <w:sz w:val="28"/>
          <w:szCs w:val="20"/>
        </w:rPr>
        <w:t>有关文件</w:t>
      </w:r>
    </w:p>
    <w:p>
      <w:pPr>
        <w:spacing w:line="360" w:lineRule="auto"/>
        <w:ind w:firstLine="540" w:firstLineChars="200"/>
        <w:jc w:val="left"/>
        <w:rPr>
          <w:rFonts w:ascii="Times New Roman" w:hAnsi="Times New Roman" w:eastAsia="仿宋" w:cs="Times New Roman"/>
          <w:color w:val="auto"/>
          <w:spacing w:val="-2"/>
          <w:kern w:val="0"/>
          <w:sz w:val="27"/>
          <w:szCs w:val="20"/>
        </w:rPr>
      </w:pPr>
      <w:r>
        <w:rPr>
          <w:rFonts w:ascii="Times New Roman" w:hAnsi="Times New Roman" w:eastAsia="仿宋" w:cs="Times New Roman"/>
          <w:color w:val="auto"/>
          <w:kern w:val="0"/>
          <w:sz w:val="27"/>
          <w:szCs w:val="20"/>
        </w:rPr>
        <w:t>（</w:t>
      </w:r>
      <w:r>
        <w:rPr>
          <w:rFonts w:hint="eastAsia" w:ascii="Times New Roman" w:hAnsi="Times New Roman" w:eastAsia="仿宋" w:cs="Times New Roman"/>
          <w:color w:val="auto"/>
          <w:kern w:val="0"/>
          <w:sz w:val="27"/>
          <w:szCs w:val="20"/>
        </w:rPr>
        <w:t>1</w:t>
      </w:r>
      <w:r>
        <w:rPr>
          <w:rFonts w:ascii="Times New Roman" w:hAnsi="Times New Roman" w:eastAsia="仿宋" w:cs="Times New Roman"/>
          <w:color w:val="auto"/>
          <w:kern w:val="0"/>
          <w:sz w:val="27"/>
          <w:szCs w:val="20"/>
        </w:rPr>
        <w:t>）《</w:t>
      </w:r>
      <w:r>
        <w:rPr>
          <w:rFonts w:ascii="Times New Roman" w:hAnsi="Times New Roman" w:eastAsia="仿宋" w:cs="Times New Roman"/>
          <w:color w:val="auto"/>
          <w:spacing w:val="-2"/>
          <w:kern w:val="0"/>
          <w:sz w:val="27"/>
          <w:szCs w:val="20"/>
        </w:rPr>
        <w:t>中共中央国务院关于加快水利改革发展的决定》（中发〔2011〕</w:t>
      </w:r>
    </w:p>
    <w:p>
      <w:pPr>
        <w:spacing w:line="360" w:lineRule="auto"/>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spacing w:val="-2"/>
          <w:kern w:val="0"/>
          <w:sz w:val="28"/>
          <w:szCs w:val="28"/>
        </w:rPr>
        <w:t>1 号）</w:t>
      </w:r>
      <w:r>
        <w:rPr>
          <w:rFonts w:ascii="Times New Roman" w:hAnsi="Times New Roman" w:eastAsia="仿宋" w:cs="Times New Roman"/>
          <w:color w:val="auto"/>
          <w:kern w:val="0"/>
          <w:sz w:val="28"/>
          <w:szCs w:val="28"/>
        </w:rPr>
        <w:t>；</w:t>
      </w:r>
    </w:p>
    <w:p>
      <w:pPr>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rPr>
        <w:t>2</w:t>
      </w:r>
      <w:r>
        <w:rPr>
          <w:rFonts w:ascii="Times New Roman" w:hAnsi="Times New Roman" w:eastAsia="仿宋" w:cs="Times New Roman"/>
          <w:color w:val="auto"/>
          <w:kern w:val="0"/>
          <w:sz w:val="28"/>
          <w:szCs w:val="28"/>
        </w:rPr>
        <w:t>）《关于实行最严格水资源管理制度的意见》（国发〔2012〕3 号）；</w:t>
      </w:r>
    </w:p>
    <w:p>
      <w:pPr>
        <w:spacing w:line="360" w:lineRule="auto"/>
        <w:ind w:firstLine="540" w:firstLineChars="200"/>
        <w:jc w:val="left"/>
        <w:rPr>
          <w:rFonts w:ascii="Times New Roman" w:hAnsi="Times New Roman" w:eastAsia="仿宋" w:cs="Times New Roman"/>
          <w:color w:val="auto"/>
          <w:kern w:val="0"/>
          <w:sz w:val="27"/>
          <w:szCs w:val="20"/>
        </w:rPr>
      </w:pPr>
      <w:r>
        <w:rPr>
          <w:rFonts w:ascii="Times New Roman" w:hAnsi="Times New Roman" w:eastAsia="仿宋" w:cs="Times New Roman"/>
          <w:color w:val="auto"/>
          <w:kern w:val="0"/>
          <w:sz w:val="27"/>
          <w:szCs w:val="20"/>
        </w:rPr>
        <w:t>（</w:t>
      </w:r>
      <w:r>
        <w:rPr>
          <w:rFonts w:hint="eastAsia" w:ascii="Times New Roman" w:hAnsi="Times New Roman" w:eastAsia="仿宋" w:cs="Times New Roman"/>
          <w:color w:val="auto"/>
          <w:kern w:val="0"/>
          <w:sz w:val="27"/>
          <w:szCs w:val="20"/>
        </w:rPr>
        <w:t>3</w:t>
      </w:r>
      <w:r>
        <w:rPr>
          <w:rFonts w:ascii="Times New Roman" w:hAnsi="Times New Roman" w:eastAsia="仿宋" w:cs="Times New Roman"/>
          <w:color w:val="auto"/>
          <w:kern w:val="0"/>
          <w:sz w:val="27"/>
          <w:szCs w:val="20"/>
        </w:rPr>
        <w:t>）《国务院关于印发水污染防治行动计划的通知》（国发〔2015〕17</w:t>
      </w:r>
    </w:p>
    <w:p>
      <w:pPr>
        <w:spacing w:line="360" w:lineRule="auto"/>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号）；</w:t>
      </w:r>
    </w:p>
    <w:p>
      <w:pPr>
        <w:spacing w:line="360" w:lineRule="auto"/>
        <w:ind w:firstLine="540" w:firstLineChars="200"/>
        <w:jc w:val="left"/>
        <w:rPr>
          <w:rFonts w:ascii="Times New Roman" w:hAnsi="Times New Roman" w:eastAsia="仿宋" w:cs="Times New Roman"/>
          <w:color w:val="auto"/>
          <w:kern w:val="0"/>
          <w:sz w:val="27"/>
          <w:szCs w:val="20"/>
        </w:rPr>
      </w:pPr>
      <w:r>
        <w:rPr>
          <w:rFonts w:ascii="Times New Roman" w:hAnsi="Times New Roman" w:eastAsia="仿宋" w:cs="Times New Roman"/>
          <w:color w:val="auto"/>
          <w:kern w:val="0"/>
          <w:sz w:val="27"/>
          <w:szCs w:val="20"/>
        </w:rPr>
        <w:t>（</w:t>
      </w:r>
      <w:r>
        <w:rPr>
          <w:rFonts w:hint="eastAsia" w:ascii="Times New Roman" w:hAnsi="Times New Roman" w:eastAsia="仿宋" w:cs="Times New Roman"/>
          <w:color w:val="auto"/>
          <w:kern w:val="0"/>
          <w:sz w:val="27"/>
          <w:szCs w:val="20"/>
        </w:rPr>
        <w:t>4</w:t>
      </w:r>
      <w:r>
        <w:rPr>
          <w:rFonts w:ascii="Times New Roman" w:hAnsi="Times New Roman" w:eastAsia="仿宋" w:cs="Times New Roman"/>
          <w:color w:val="auto"/>
          <w:kern w:val="0"/>
          <w:sz w:val="27"/>
          <w:szCs w:val="20"/>
        </w:rPr>
        <w:t>）《关于实行最严格水资源管理制度推动产业转型升级的实施意见》</w:t>
      </w:r>
    </w:p>
    <w:p>
      <w:pPr>
        <w:spacing w:line="360" w:lineRule="auto"/>
        <w:jc w:val="left"/>
        <w:rPr>
          <w:rFonts w:ascii="Times New Roman" w:hAnsi="Times New Roman" w:eastAsia="仿宋" w:cs="Times New Roman"/>
          <w:color w:val="auto"/>
          <w:kern w:val="0"/>
          <w:sz w:val="27"/>
          <w:szCs w:val="20"/>
        </w:rPr>
      </w:pPr>
      <w:r>
        <w:rPr>
          <w:rFonts w:ascii="Times New Roman" w:hAnsi="Times New Roman" w:eastAsia="仿宋" w:cs="Times New Roman"/>
          <w:color w:val="auto"/>
          <w:kern w:val="0"/>
          <w:sz w:val="28"/>
          <w:szCs w:val="20"/>
        </w:rPr>
        <w:t>（桂政发〔2</w:t>
      </w:r>
      <w:bookmarkStart w:id="45" w:name="page36"/>
      <w:bookmarkEnd w:id="45"/>
      <w:r>
        <w:rPr>
          <w:rFonts w:ascii="Times New Roman" w:hAnsi="Times New Roman" w:eastAsia="仿宋" w:cs="Times New Roman"/>
          <w:color w:val="auto"/>
          <w:kern w:val="0"/>
          <w:sz w:val="28"/>
          <w:szCs w:val="20"/>
        </w:rPr>
        <w:t>012〕36 号）。</w:t>
      </w:r>
    </w:p>
    <w:p>
      <w:pPr>
        <w:spacing w:line="360" w:lineRule="auto"/>
        <w:jc w:val="left"/>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3.2.</w:t>
      </w:r>
      <w:r>
        <w:rPr>
          <w:rFonts w:hint="eastAsia" w:ascii="Times New Roman" w:hAnsi="Times New Roman" w:eastAsia="仿宋" w:cs="Times New Roman"/>
          <w:color w:val="auto"/>
          <w:kern w:val="0"/>
          <w:sz w:val="28"/>
          <w:szCs w:val="20"/>
        </w:rPr>
        <w:t>4</w:t>
      </w:r>
      <w:r>
        <w:rPr>
          <w:rFonts w:ascii="Times New Roman" w:hAnsi="Times New Roman" w:eastAsia="仿宋" w:cs="Times New Roman"/>
          <w:color w:val="auto"/>
          <w:kern w:val="0"/>
          <w:sz w:val="28"/>
          <w:szCs w:val="20"/>
        </w:rPr>
        <w:t xml:space="preserve"> 其他参考资料</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（1）《全国重要江河湖泊水功能区划（2011~2030）》（2011年）；</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（2）《广西水功能区划修订报告（批复稿）》（2016年）；</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（3）《广西水资源综合规划》（2014年）；</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（4）《广西水资源保护规划》（2016年）；</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（5）《广西水资源公报》（2020年）；</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（6）《桂林市2020年水资源公报》；</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（7）《桂林市水功能区划》；</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（8）《桂林市水利年报（2020年）》;</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（9）《全国重要江河湖泊水功能区纳污能力核定和分阶段限排总量</w:t>
      </w:r>
    </w:p>
    <w:p>
      <w:pPr>
        <w:spacing w:line="360" w:lineRule="auto"/>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控制方案》（2012.2）；</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（10）《广西珠江流域重要江河湖泊水功能区纳污能力核定和分阶段限排总量控制方案》（2013.5）；</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（11）《广西</w:t>
      </w:r>
      <w:r>
        <w:rPr>
          <w:rFonts w:hint="eastAsia" w:ascii="Times New Roman" w:hAnsi="Times New Roman" w:eastAsia="仿宋" w:cs="Times New Roman"/>
          <w:color w:val="auto"/>
          <w:kern w:val="0"/>
          <w:sz w:val="28"/>
          <w:szCs w:val="28"/>
          <w:lang w:eastAsia="zh-CN"/>
        </w:rPr>
        <w:t>壮族</w:t>
      </w:r>
      <w:r>
        <w:rPr>
          <w:rFonts w:ascii="Times New Roman" w:hAnsi="Times New Roman" w:eastAsia="仿宋" w:cs="Times New Roman"/>
          <w:color w:val="auto"/>
          <w:kern w:val="0"/>
          <w:sz w:val="28"/>
          <w:szCs w:val="28"/>
        </w:rPr>
        <w:t>自治区级水功能区纳污能力核定和分阶段限制排污总量控制方案》（2013年）；</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（12）《广西桂林市中小河流水功能区纳污能力核定和分阶段限排总量控制方案》（2015年）；</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8"/>
        </w:rPr>
        <w:t>（13）《广西水资源综合规划-水资源调查评价报告》（广西壮族自治区水利厅、广西壮族自治区水文水资源局，2008年）；</w:t>
      </w:r>
    </w:p>
    <w:p>
      <w:pPr>
        <w:spacing w:line="360" w:lineRule="auto"/>
        <w:ind w:firstLine="540" w:firstLineChars="200"/>
        <w:rPr>
          <w:rFonts w:ascii="Times New Roman" w:hAnsi="Times New Roman" w:eastAsia="仿宋" w:cs="Times New Roman"/>
          <w:color w:val="auto"/>
          <w:kern w:val="0"/>
          <w:sz w:val="27"/>
          <w:szCs w:val="20"/>
        </w:rPr>
      </w:pPr>
      <w:r>
        <w:rPr>
          <w:rFonts w:ascii="Times New Roman" w:hAnsi="Times New Roman" w:eastAsia="仿宋" w:cs="Times New Roman"/>
          <w:color w:val="auto"/>
          <w:kern w:val="0"/>
          <w:sz w:val="27"/>
          <w:szCs w:val="20"/>
        </w:rPr>
        <w:t>（14）《广西壮族自治区内陆水域渔业自然资源调查研究报告》（广西壮</w:t>
      </w:r>
      <w:r>
        <w:rPr>
          <w:rFonts w:ascii="Times New Roman" w:hAnsi="Times New Roman" w:eastAsia="仿宋" w:cs="Times New Roman"/>
          <w:color w:val="auto"/>
          <w:kern w:val="0"/>
          <w:sz w:val="28"/>
          <w:szCs w:val="20"/>
        </w:rPr>
        <w:t>族自治区水产研究所，1984 年）；</w:t>
      </w:r>
    </w:p>
    <w:p>
      <w:pPr>
        <w:spacing w:line="360" w:lineRule="auto"/>
        <w:ind w:firstLine="540" w:firstLineChars="200"/>
        <w:rPr>
          <w:rFonts w:ascii="Times New Roman" w:hAnsi="Times New Roman" w:eastAsia="仿宋" w:cs="Times New Roman"/>
          <w:color w:val="auto"/>
          <w:kern w:val="0"/>
          <w:sz w:val="27"/>
          <w:szCs w:val="20"/>
        </w:rPr>
      </w:pPr>
      <w:r>
        <w:rPr>
          <w:rFonts w:ascii="Times New Roman" w:hAnsi="Times New Roman" w:eastAsia="仿宋" w:cs="Times New Roman"/>
          <w:color w:val="auto"/>
          <w:kern w:val="0"/>
          <w:sz w:val="27"/>
          <w:szCs w:val="20"/>
        </w:rPr>
        <w:t>（15）《广西壮族自治区湿地保护工程规划（2006-2030）》（广西壮族自</w:t>
      </w:r>
      <w:r>
        <w:rPr>
          <w:rFonts w:ascii="Times New Roman" w:hAnsi="Times New Roman" w:eastAsia="仿宋" w:cs="Times New Roman"/>
          <w:color w:val="auto"/>
          <w:kern w:val="0"/>
          <w:sz w:val="28"/>
          <w:szCs w:val="20"/>
        </w:rPr>
        <w:t>治区林业勘测设计院，2005 年）；</w:t>
      </w:r>
    </w:p>
    <w:p>
      <w:pPr>
        <w:pStyle w:val="5"/>
        <w:bidi w:val="0"/>
        <w:rPr>
          <w:rFonts w:cs="Times New Roman"/>
          <w:color w:val="auto"/>
        </w:rPr>
      </w:pPr>
      <w:bookmarkStart w:id="46" w:name="_Toc32514"/>
      <w:bookmarkStart w:id="47" w:name="_Toc17856"/>
      <w:r>
        <w:rPr>
          <w:rFonts w:cs="Times New Roman"/>
          <w:color w:val="auto"/>
        </w:rPr>
        <w:t xml:space="preserve">3.3 </w:t>
      </w:r>
      <w:r>
        <w:rPr>
          <w:rFonts w:hint="eastAsia" w:cs="Times New Roman"/>
          <w:color w:val="auto"/>
        </w:rPr>
        <w:t xml:space="preserve"> </w:t>
      </w:r>
      <w:r>
        <w:rPr>
          <w:rFonts w:cs="Times New Roman"/>
          <w:color w:val="auto"/>
        </w:rPr>
        <w:t>评估范围</w:t>
      </w:r>
      <w:bookmarkEnd w:id="46"/>
      <w:bookmarkEnd w:id="47"/>
    </w:p>
    <w:p>
      <w:pPr>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评估范围</w:t>
      </w:r>
      <w:r>
        <w:rPr>
          <w:rFonts w:hint="eastAsia" w:ascii="Times New Roman" w:hAnsi="Times New Roman" w:eastAsia="仿宋" w:cs="Times New Roman"/>
          <w:color w:val="auto"/>
          <w:kern w:val="0"/>
          <w:sz w:val="28"/>
          <w:szCs w:val="28"/>
        </w:rPr>
        <w:t>为</w:t>
      </w:r>
      <w:r>
        <w:rPr>
          <w:rFonts w:hint="eastAsia" w:ascii="Times New Roman" w:hAnsi="Times New Roman" w:eastAsia="仿宋" w:cs="Times New Roman"/>
          <w:color w:val="auto"/>
          <w:sz w:val="28"/>
          <w:szCs w:val="28"/>
        </w:rPr>
        <w:t>资源县境内河流白竹洞河、白竹溪、大湾河、高山溪、瓜里河、胡家田河、黄柏江、蒋家山河、冷水河、鲤溪、木厂河、靑背河、石屋水、塘洞河、下字江河、义林河。</w:t>
      </w:r>
    </w:p>
    <w:p>
      <w:pPr>
        <w:spacing w:line="360" w:lineRule="auto"/>
        <w:ind w:firstLine="400" w:firstLineChars="200"/>
        <w:rPr>
          <w:rFonts w:ascii="Times New Roman" w:hAnsi="Times New Roman" w:eastAsia="仿宋" w:cs="Times New Roman"/>
          <w:color w:val="auto"/>
          <w:kern w:val="0"/>
          <w:sz w:val="20"/>
          <w:szCs w:val="20"/>
        </w:rPr>
      </w:pPr>
    </w:p>
    <w:p>
      <w:pPr>
        <w:pStyle w:val="5"/>
        <w:bidi w:val="0"/>
        <w:rPr>
          <w:rFonts w:cs="Times New Roman"/>
          <w:color w:val="auto"/>
        </w:rPr>
      </w:pPr>
      <w:bookmarkStart w:id="48" w:name="_Toc10061"/>
      <w:bookmarkStart w:id="49" w:name="_Toc22120"/>
      <w:r>
        <w:rPr>
          <w:rFonts w:cs="Times New Roman"/>
          <w:color w:val="auto"/>
        </w:rPr>
        <w:t xml:space="preserve">3.4 </w:t>
      </w:r>
      <w:r>
        <w:rPr>
          <w:rFonts w:hint="eastAsia" w:cs="Times New Roman"/>
          <w:color w:val="auto"/>
        </w:rPr>
        <w:t xml:space="preserve"> </w:t>
      </w:r>
      <w:r>
        <w:rPr>
          <w:rFonts w:cs="Times New Roman"/>
          <w:color w:val="auto"/>
        </w:rPr>
        <w:t>评估河段的划分</w:t>
      </w:r>
      <w:bookmarkEnd w:id="48"/>
      <w:bookmarkEnd w:id="49"/>
    </w:p>
    <w:p>
      <w:pPr>
        <w:spacing w:line="360" w:lineRule="auto"/>
        <w:jc w:val="left"/>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3.4.1 划分方法</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本次河流健康评估河段的划分根据水功能区划分的结果来进行。</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水功能区划的目的是按水域最适宜的用途或人类最优化的使用水域将水体按使用功能分类，在宏观上对流域水资源的利用状况进行总体控制，在整体功能布局确定的前提下，再在重点开发利用水域内详细划分多种用途的水域功能区，为科学合理地开发利用和保护水资源提供依据，实现对水域的分类使用和水资源统一管理。</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水功能区按河流进行分类、功能目的进行分区，充分考虑了河流自然条件、人类活动与河流功能之间的关系，各河段都具有明确的水质目标，有利于与河流管理相结合。因此，水功能区划分情况适宜作为河流健康评估河段划分的依据。</w:t>
      </w:r>
    </w:p>
    <w:p>
      <w:pPr>
        <w:spacing w:line="360" w:lineRule="auto"/>
        <w:jc w:val="left"/>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3.4.2 划分原则</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由于河流不同河段所在的地位位置、自然条件、开发利用状况不同，健康状况也应有所不同，为了解河流的生态状况，进而了解导致河流健康</w:t>
      </w:r>
    </w:p>
    <w:p>
      <w:pPr>
        <w:spacing w:line="360" w:lineRule="auto"/>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出现问题的原因，掌握河流健康变化规律，应划分评估河段来进行河流健</w:t>
      </w:r>
    </w:p>
    <w:p>
      <w:pPr>
        <w:spacing w:line="360" w:lineRule="auto"/>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康评估。划分评估河段时遵循如下原则：</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（1）根据评估范围情况，对评估范围内河段进行，评估河段范围之外</w:t>
      </w:r>
      <w:bookmarkStart w:id="50" w:name="page38"/>
      <w:bookmarkEnd w:id="50"/>
      <w:r>
        <w:rPr>
          <w:rFonts w:ascii="Times New Roman" w:hAnsi="Times New Roman" w:eastAsia="仿宋" w:cs="Times New Roman"/>
          <w:color w:val="auto"/>
          <w:kern w:val="0"/>
          <w:sz w:val="28"/>
          <w:szCs w:val="28"/>
        </w:rPr>
        <w:t>的河流暂不进行分类。</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（2）为了体现河流管理目标，本报告参考水功能区划分状况进行河流分类，并对划分河段较短，且具有相同或相近水质目标的水功能区进行适当合并。</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8"/>
        </w:rPr>
        <w:t>（3）对</w:t>
      </w:r>
      <w:r>
        <w:rPr>
          <w:rFonts w:hint="eastAsia" w:ascii="Times New Roman" w:hAnsi="Times New Roman" w:eastAsia="仿宋" w:cs="Times New Roman"/>
          <w:color w:val="auto"/>
          <w:kern w:val="0"/>
          <w:sz w:val="28"/>
          <w:szCs w:val="28"/>
        </w:rPr>
        <w:t>河流</w:t>
      </w:r>
      <w:r>
        <w:rPr>
          <w:rFonts w:ascii="Times New Roman" w:hAnsi="Times New Roman" w:eastAsia="仿宋" w:cs="Times New Roman"/>
          <w:color w:val="auto"/>
          <w:kern w:val="0"/>
          <w:sz w:val="28"/>
          <w:szCs w:val="28"/>
        </w:rPr>
        <w:t>河段长度较长、河流沿岸开发利用状况存在一定差别的单一水功能区，结合河段地理位置、干支流汇入情况、河岸带状况以及梯级分布情况进行适当拆分。</w:t>
      </w:r>
    </w:p>
    <w:p>
      <w:pPr>
        <w:spacing w:line="360" w:lineRule="auto"/>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3.4.3 划分结果</w:t>
      </w:r>
    </w:p>
    <w:p>
      <w:pPr>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kern w:val="0"/>
          <w:sz w:val="28"/>
          <w:szCs w:val="20"/>
        </w:rPr>
        <w:t>本项目</w:t>
      </w:r>
      <w:r>
        <w:rPr>
          <w:rFonts w:ascii="Times New Roman" w:hAnsi="Times New Roman" w:eastAsia="仿宋" w:cs="Times New Roman"/>
          <w:color w:val="auto"/>
          <w:sz w:val="28"/>
          <w:szCs w:val="28"/>
        </w:rPr>
        <w:t>评估范围为广西</w:t>
      </w:r>
      <w:r>
        <w:rPr>
          <w:rFonts w:hint="eastAsia" w:ascii="Times New Roman" w:hAnsi="Times New Roman" w:eastAsia="仿宋" w:cs="Times New Roman"/>
          <w:color w:val="auto"/>
          <w:sz w:val="28"/>
          <w:szCs w:val="28"/>
          <w:lang w:eastAsia="zh-CN"/>
        </w:rPr>
        <w:t>资江流域</w:t>
      </w:r>
      <w:r>
        <w:rPr>
          <w:rFonts w:ascii="Times New Roman" w:hAnsi="Times New Roman" w:eastAsia="仿宋" w:cs="Times New Roman"/>
          <w:color w:val="auto"/>
          <w:sz w:val="28"/>
          <w:szCs w:val="28"/>
        </w:rPr>
        <w:t>内的</w:t>
      </w:r>
      <w:r>
        <w:rPr>
          <w:rFonts w:hint="eastAsia" w:ascii="Times New Roman" w:hAnsi="Times New Roman" w:eastAsia="仿宋" w:cs="Times New Roman"/>
          <w:color w:val="auto"/>
          <w:sz w:val="28"/>
          <w:szCs w:val="28"/>
          <w:lang w:val="en-US" w:eastAsia="zh-CN"/>
        </w:rPr>
        <w:t>县级领导担任河长的河流</w:t>
      </w:r>
      <w:r>
        <w:rPr>
          <w:rFonts w:ascii="Times New Roman" w:hAnsi="Times New Roman" w:eastAsia="仿宋" w:cs="Times New Roman"/>
          <w:color w:val="auto"/>
          <w:sz w:val="28"/>
          <w:szCs w:val="28"/>
        </w:rPr>
        <w:t>。其中干流为老山界至入口的</w:t>
      </w:r>
      <w:r>
        <w:rPr>
          <w:rFonts w:hint="eastAsia" w:ascii="Times New Roman" w:hAnsi="Times New Roman" w:eastAsia="仿宋" w:cs="Times New Roman"/>
          <w:color w:val="auto"/>
          <w:sz w:val="28"/>
          <w:szCs w:val="28"/>
          <w:lang w:val="en-US" w:eastAsia="zh-CN"/>
        </w:rPr>
        <w:t>资江</w:t>
      </w:r>
      <w:r>
        <w:rPr>
          <w:rFonts w:ascii="Times New Roman" w:hAnsi="Times New Roman" w:eastAsia="仿宋" w:cs="Times New Roman"/>
          <w:color w:val="auto"/>
          <w:sz w:val="28"/>
          <w:szCs w:val="28"/>
        </w:rPr>
        <w:t>；支流有</w:t>
      </w:r>
      <w:r>
        <w:rPr>
          <w:rFonts w:hint="eastAsia" w:ascii="Times New Roman" w:hAnsi="Times New Roman" w:eastAsia="仿宋" w:cs="Times New Roman"/>
          <w:color w:val="auto"/>
          <w:sz w:val="28"/>
          <w:szCs w:val="28"/>
          <w:lang w:val="en-US" w:eastAsia="zh-CN"/>
        </w:rPr>
        <w:t>15</w:t>
      </w:r>
      <w:r>
        <w:rPr>
          <w:rFonts w:ascii="Times New Roman" w:hAnsi="Times New Roman" w:eastAsia="仿宋" w:cs="Times New Roman"/>
          <w:color w:val="auto"/>
          <w:sz w:val="28"/>
          <w:szCs w:val="28"/>
        </w:rPr>
        <w:t>条，分别为在县城附近汇入</w:t>
      </w:r>
      <w:r>
        <w:rPr>
          <w:rFonts w:hint="eastAsia" w:ascii="Times New Roman" w:hAnsi="Times New Roman" w:eastAsia="仿宋" w:cs="Times New Roman"/>
          <w:color w:val="auto"/>
          <w:sz w:val="28"/>
          <w:szCs w:val="28"/>
          <w:lang w:eastAsia="zh-CN"/>
        </w:rPr>
        <w:t>资江</w:t>
      </w:r>
      <w:r>
        <w:rPr>
          <w:rFonts w:ascii="Times New Roman" w:hAnsi="Times New Roman" w:eastAsia="仿宋" w:cs="Times New Roman"/>
          <w:color w:val="auto"/>
          <w:sz w:val="28"/>
          <w:szCs w:val="28"/>
        </w:rPr>
        <w:t>的</w:t>
      </w:r>
      <w:r>
        <w:rPr>
          <w:rFonts w:hint="eastAsia" w:ascii="Times New Roman" w:hAnsi="Times New Roman" w:eastAsia="仿宋" w:cs="Times New Roman"/>
          <w:color w:val="auto"/>
          <w:sz w:val="28"/>
          <w:szCs w:val="28"/>
          <w:lang w:eastAsia="zh-CN"/>
        </w:rPr>
        <w:t>白竹洞河</w:t>
      </w:r>
      <w:r>
        <w:rPr>
          <w:rFonts w:ascii="Times New Roman" w:hAnsi="Times New Roman" w:eastAsia="仿宋" w:cs="Times New Roman"/>
          <w:color w:val="auto"/>
          <w:sz w:val="28"/>
          <w:szCs w:val="28"/>
        </w:rPr>
        <w:t>（170km）、</w:t>
      </w:r>
      <w:r>
        <w:rPr>
          <w:rFonts w:hint="eastAsia" w:ascii="Times New Roman" w:hAnsi="Times New Roman" w:eastAsia="仿宋" w:cs="Times New Roman"/>
          <w:color w:val="auto"/>
          <w:sz w:val="28"/>
          <w:szCs w:val="28"/>
          <w:lang w:eastAsia="zh-CN"/>
        </w:rPr>
        <w:t>大湾河</w:t>
      </w:r>
      <w:r>
        <w:rPr>
          <w:rFonts w:ascii="Times New Roman" w:hAnsi="Times New Roman" w:eastAsia="仿宋" w:cs="Times New Roman"/>
          <w:color w:val="auto"/>
          <w:sz w:val="28"/>
          <w:szCs w:val="28"/>
        </w:rPr>
        <w:t>（118km）、</w:t>
      </w:r>
      <w:r>
        <w:rPr>
          <w:rFonts w:hint="eastAsia" w:ascii="Times New Roman" w:hAnsi="Times New Roman" w:eastAsia="仿宋" w:cs="Times New Roman"/>
          <w:color w:val="auto"/>
          <w:sz w:val="28"/>
          <w:szCs w:val="28"/>
          <w:lang w:eastAsia="zh-CN"/>
        </w:rPr>
        <w:t>瓜里河</w:t>
      </w:r>
      <w:r>
        <w:rPr>
          <w:rFonts w:ascii="Times New Roman" w:hAnsi="Times New Roman" w:eastAsia="仿宋" w:cs="Times New Roman"/>
          <w:color w:val="auto"/>
          <w:sz w:val="28"/>
          <w:szCs w:val="28"/>
        </w:rPr>
        <w:t>（108km）、</w:t>
      </w:r>
      <w:r>
        <w:rPr>
          <w:rFonts w:hint="eastAsia" w:ascii="Times New Roman" w:hAnsi="Times New Roman" w:eastAsia="仿宋" w:cs="Times New Roman"/>
          <w:color w:val="auto"/>
          <w:sz w:val="28"/>
          <w:szCs w:val="28"/>
          <w:lang w:eastAsia="zh-CN"/>
        </w:rPr>
        <w:t>木厂水</w:t>
      </w:r>
      <w:r>
        <w:rPr>
          <w:rFonts w:ascii="Times New Roman" w:hAnsi="Times New Roman" w:eastAsia="仿宋" w:cs="Times New Roman"/>
          <w:color w:val="auto"/>
          <w:sz w:val="28"/>
          <w:szCs w:val="28"/>
        </w:rPr>
        <w:t>（89.6km）</w:t>
      </w:r>
      <w:r>
        <w:rPr>
          <w:rFonts w:hint="eastAsia" w:ascii="Times New Roman" w:hAnsi="Times New Roman" w:eastAsia="仿宋" w:cs="Times New Roman"/>
          <w:color w:val="auto"/>
          <w:sz w:val="28"/>
          <w:szCs w:val="28"/>
          <w:lang w:val="en-US" w:eastAsia="zh-CN"/>
        </w:rPr>
        <w:t>等</w:t>
      </w:r>
      <w:r>
        <w:rPr>
          <w:rFonts w:ascii="Times New Roman" w:hAnsi="Times New Roman" w:eastAsia="仿宋" w:cs="Times New Roman"/>
          <w:color w:val="auto"/>
          <w:sz w:val="28"/>
          <w:szCs w:val="28"/>
        </w:rPr>
        <w:t>。</w:t>
      </w:r>
    </w:p>
    <w:p>
      <w:pPr>
        <w:spacing w:line="360" w:lineRule="auto"/>
        <w:ind w:firstLine="560" w:firstLineChars="200"/>
        <w:rPr>
          <w:rFonts w:ascii="Times New Roman" w:hAnsi="Times New Roman" w:eastAsia="仿宋" w:cs="Times New Roman"/>
          <w:b w:val="0"/>
          <w:bCs w:val="0"/>
          <w:color w:val="auto"/>
          <w:kern w:val="0"/>
          <w:sz w:val="28"/>
          <w:szCs w:val="28"/>
          <w:lang w:val="en-US" w:eastAsia="zh-CN" w:bidi="ar-SA"/>
        </w:rPr>
      </w:pPr>
      <w:r>
        <w:rPr>
          <w:rFonts w:ascii="Times New Roman" w:hAnsi="Times New Roman" w:eastAsia="仿宋" w:cs="Times New Roman"/>
          <w:b w:val="0"/>
          <w:bCs w:val="0"/>
          <w:color w:val="auto"/>
          <w:kern w:val="0"/>
          <w:sz w:val="28"/>
          <w:szCs w:val="28"/>
          <w:lang w:val="en-US" w:eastAsia="zh-CN" w:bidi="ar-SA"/>
        </w:rPr>
        <w:t>结合水功能区划结果，</w:t>
      </w:r>
      <w:r>
        <w:rPr>
          <w:rFonts w:hint="eastAsia" w:ascii="Times New Roman" w:hAnsi="Times New Roman" w:eastAsia="仿宋" w:cs="Times New Roman"/>
          <w:b w:val="0"/>
          <w:bCs w:val="0"/>
          <w:color w:val="auto"/>
          <w:kern w:val="0"/>
          <w:sz w:val="28"/>
          <w:szCs w:val="28"/>
          <w:lang w:val="en-US" w:eastAsia="zh-CN" w:bidi="ar-SA"/>
        </w:rPr>
        <w:t>资江</w:t>
      </w:r>
      <w:r>
        <w:rPr>
          <w:rFonts w:ascii="Times New Roman" w:hAnsi="Times New Roman" w:eastAsia="仿宋" w:cs="Times New Roman"/>
          <w:b w:val="0"/>
          <w:bCs w:val="0"/>
          <w:color w:val="auto"/>
          <w:kern w:val="0"/>
          <w:sz w:val="28"/>
          <w:szCs w:val="28"/>
          <w:lang w:val="en-US" w:eastAsia="zh-CN" w:bidi="ar-SA"/>
        </w:rPr>
        <w:t>干流评估范围内划分为10个评估河段，一级支流中</w:t>
      </w:r>
      <w:r>
        <w:rPr>
          <w:rFonts w:hint="eastAsia" w:ascii="Times New Roman" w:hAnsi="Times New Roman" w:eastAsia="仿宋" w:cs="Times New Roman"/>
          <w:b w:val="0"/>
          <w:bCs w:val="0"/>
          <w:color w:val="auto"/>
          <w:kern w:val="0"/>
          <w:sz w:val="28"/>
          <w:szCs w:val="28"/>
          <w:lang w:val="en-US" w:eastAsia="zh-CN" w:bidi="ar-SA"/>
        </w:rPr>
        <w:t>白竹洞河</w:t>
      </w:r>
      <w:r>
        <w:rPr>
          <w:rFonts w:ascii="Times New Roman" w:hAnsi="Times New Roman" w:eastAsia="仿宋" w:cs="Times New Roman"/>
          <w:b w:val="0"/>
          <w:bCs w:val="0"/>
          <w:color w:val="auto"/>
          <w:kern w:val="0"/>
          <w:sz w:val="28"/>
          <w:szCs w:val="28"/>
          <w:lang w:val="en-US" w:eastAsia="zh-CN" w:bidi="ar-SA"/>
        </w:rPr>
        <w:t>划分为3个评估河段，</w:t>
      </w:r>
      <w:r>
        <w:rPr>
          <w:rFonts w:hint="eastAsia" w:ascii="Times New Roman" w:hAnsi="Times New Roman" w:eastAsia="仿宋" w:cs="Times New Roman"/>
          <w:b w:val="0"/>
          <w:bCs w:val="0"/>
          <w:color w:val="auto"/>
          <w:kern w:val="0"/>
          <w:sz w:val="28"/>
          <w:szCs w:val="28"/>
          <w:lang w:val="en-US" w:eastAsia="zh-CN" w:bidi="ar-SA"/>
        </w:rPr>
        <w:t>大湾河</w:t>
      </w:r>
      <w:r>
        <w:rPr>
          <w:rFonts w:ascii="Times New Roman" w:hAnsi="Times New Roman" w:eastAsia="仿宋" w:cs="Times New Roman"/>
          <w:b w:val="0"/>
          <w:bCs w:val="0"/>
          <w:color w:val="auto"/>
          <w:kern w:val="0"/>
          <w:sz w:val="28"/>
          <w:szCs w:val="28"/>
          <w:lang w:val="en-US" w:eastAsia="zh-CN" w:bidi="ar-SA"/>
        </w:rPr>
        <w:t>划分2个评估河段，</w:t>
      </w:r>
      <w:r>
        <w:rPr>
          <w:rFonts w:hint="eastAsia" w:ascii="Times New Roman" w:hAnsi="Times New Roman" w:eastAsia="仿宋" w:cs="Times New Roman"/>
          <w:b w:val="0"/>
          <w:bCs w:val="0"/>
          <w:color w:val="auto"/>
          <w:kern w:val="0"/>
          <w:sz w:val="28"/>
          <w:szCs w:val="28"/>
          <w:lang w:val="en-US" w:eastAsia="zh-CN" w:bidi="ar-SA"/>
        </w:rPr>
        <w:t>瓜里河</w:t>
      </w:r>
      <w:r>
        <w:rPr>
          <w:rFonts w:ascii="Times New Roman" w:hAnsi="Times New Roman" w:eastAsia="仿宋" w:cs="Times New Roman"/>
          <w:b w:val="0"/>
          <w:bCs w:val="0"/>
          <w:color w:val="auto"/>
          <w:kern w:val="0"/>
          <w:sz w:val="28"/>
          <w:szCs w:val="28"/>
          <w:lang w:val="en-US" w:eastAsia="zh-CN" w:bidi="ar-SA"/>
        </w:rPr>
        <w:t>划分3个评估河段，</w:t>
      </w:r>
      <w:r>
        <w:rPr>
          <w:rFonts w:hint="eastAsia" w:ascii="Times New Roman" w:hAnsi="Times New Roman" w:eastAsia="仿宋" w:cs="Times New Roman"/>
          <w:b w:val="0"/>
          <w:bCs w:val="0"/>
          <w:color w:val="auto"/>
          <w:kern w:val="0"/>
          <w:sz w:val="28"/>
          <w:szCs w:val="28"/>
          <w:lang w:val="en-US" w:eastAsia="zh-CN" w:bidi="ar-SA"/>
        </w:rPr>
        <w:t>木厂水</w:t>
      </w:r>
      <w:r>
        <w:rPr>
          <w:rFonts w:ascii="Times New Roman" w:hAnsi="Times New Roman" w:eastAsia="仿宋" w:cs="Times New Roman"/>
          <w:b w:val="0"/>
          <w:bCs w:val="0"/>
          <w:color w:val="auto"/>
          <w:kern w:val="0"/>
          <w:sz w:val="28"/>
          <w:szCs w:val="28"/>
          <w:lang w:val="en-US" w:eastAsia="zh-CN" w:bidi="ar-SA"/>
        </w:rPr>
        <w:t>划分2个评估河段，共计20个评估河段。</w:t>
      </w:r>
      <w:bookmarkStart w:id="51" w:name="_Toc19085"/>
      <w:bookmarkStart w:id="52" w:name="_Toc1413"/>
    </w:p>
    <w:p>
      <w:pPr>
        <w:pStyle w:val="5"/>
        <w:bidi w:val="0"/>
        <w:rPr>
          <w:rFonts w:cs="Times New Roman"/>
          <w:color w:val="auto"/>
        </w:rPr>
      </w:pPr>
      <w:r>
        <w:rPr>
          <w:rFonts w:cs="Times New Roman"/>
          <w:color w:val="auto"/>
        </w:rPr>
        <w:t xml:space="preserve">3.5 </w:t>
      </w:r>
      <w:r>
        <w:rPr>
          <w:rFonts w:hint="eastAsia" w:cs="Times New Roman"/>
          <w:color w:val="auto"/>
        </w:rPr>
        <w:t xml:space="preserve"> </w:t>
      </w:r>
      <w:r>
        <w:rPr>
          <w:rFonts w:cs="Times New Roman"/>
          <w:color w:val="auto"/>
        </w:rPr>
        <w:t>评价指标体系</w:t>
      </w:r>
      <w:bookmarkEnd w:id="51"/>
      <w:bookmarkEnd w:id="52"/>
    </w:p>
    <w:p>
      <w:pPr>
        <w:spacing w:line="360" w:lineRule="auto"/>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3.5.1评价指标选择原则</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（1）科学认知原则。基于现有的科学认知，可以基本判断其变化驱动成因的评估指标。</w:t>
      </w:r>
    </w:p>
    <w:p>
      <w:pPr>
        <w:tabs>
          <w:tab w:val="left" w:pos="911"/>
        </w:tabs>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（2）数据获得原则。评估数据在现有监测统计成果基础上进行收集整理，并采用合理的补充监测手段获取的其他指标。</w:t>
      </w:r>
    </w:p>
    <w:p>
      <w:pPr>
        <w:tabs>
          <w:tab w:val="left" w:pos="913"/>
        </w:tabs>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（3）评估标准原则。基于现有成熟或易于接受的方法，制定相对严谨的评估标准的评估指标。</w:t>
      </w:r>
    </w:p>
    <w:p>
      <w:pPr>
        <w:tabs>
          <w:tab w:val="left" w:pos="901"/>
        </w:tabs>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（4）相对独立原则。选择评估指标内涵不存在明显的重复。</w:t>
      </w:r>
    </w:p>
    <w:p>
      <w:pPr>
        <w:spacing w:line="360" w:lineRule="auto"/>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 xml:space="preserve">3.5.2 </w:t>
      </w:r>
      <w:r>
        <w:rPr>
          <w:rFonts w:hint="eastAsia" w:ascii="Times New Roman" w:hAnsi="Times New Roman" w:eastAsia="仿宋" w:cs="Times New Roman"/>
          <w:color w:val="auto"/>
          <w:kern w:val="0"/>
          <w:sz w:val="28"/>
          <w:szCs w:val="20"/>
          <w:lang w:eastAsia="zh-CN"/>
        </w:rPr>
        <w:t>资江</w:t>
      </w:r>
      <w:r>
        <w:rPr>
          <w:rFonts w:ascii="Times New Roman" w:hAnsi="Times New Roman" w:eastAsia="仿宋" w:cs="Times New Roman"/>
          <w:color w:val="auto"/>
          <w:kern w:val="0"/>
          <w:sz w:val="28"/>
          <w:szCs w:val="20"/>
        </w:rPr>
        <w:t>及其支流流域指标体系</w:t>
      </w:r>
    </w:p>
    <w:p>
      <w:pPr>
        <w:tabs>
          <w:tab w:val="left" w:pos="913"/>
        </w:tabs>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根据《河流健康评估指标、标准与方法（1.0 版本）》（水利部水资源司，2011年）（简称《方法（1.0 版）》），河流健康评估指标体系采用目标层、准则层和指标层三级体系。并结合</w:t>
      </w:r>
      <w:r>
        <w:rPr>
          <w:rFonts w:hint="eastAsia" w:ascii="Times New Roman" w:hAnsi="Times New Roman" w:eastAsia="仿宋" w:cs="Times New Roman"/>
          <w:color w:val="auto"/>
          <w:kern w:val="0"/>
          <w:sz w:val="28"/>
          <w:szCs w:val="20"/>
        </w:rPr>
        <w:t>资源河流</w:t>
      </w:r>
      <w:r>
        <w:rPr>
          <w:rFonts w:ascii="Times New Roman" w:hAnsi="Times New Roman" w:eastAsia="仿宋" w:cs="Times New Roman"/>
          <w:color w:val="auto"/>
          <w:kern w:val="0"/>
          <w:sz w:val="28"/>
          <w:szCs w:val="20"/>
        </w:rPr>
        <w:t>健康的特色，</w:t>
      </w:r>
      <w:r>
        <w:rPr>
          <w:rFonts w:hint="eastAsia" w:ascii="Times New Roman" w:hAnsi="Times New Roman" w:eastAsia="仿宋" w:cs="Times New Roman"/>
          <w:color w:val="auto"/>
          <w:kern w:val="0"/>
          <w:sz w:val="28"/>
          <w:szCs w:val="20"/>
        </w:rPr>
        <w:t>资源县河流</w:t>
      </w:r>
      <w:r>
        <w:rPr>
          <w:rFonts w:ascii="Times New Roman" w:hAnsi="Times New Roman" w:eastAsia="仿宋" w:cs="Times New Roman"/>
          <w:color w:val="auto"/>
          <w:kern w:val="0"/>
          <w:sz w:val="28"/>
          <w:szCs w:val="20"/>
        </w:rPr>
        <w:t>健康评估指标体系见表 3.5.</w:t>
      </w:r>
      <w:r>
        <w:rPr>
          <w:rFonts w:hint="eastAsia" w:ascii="Times New Roman" w:hAnsi="Times New Roman" w:eastAsia="仿宋" w:cs="Times New Roman"/>
          <w:color w:val="auto"/>
          <w:kern w:val="0"/>
          <w:sz w:val="28"/>
          <w:szCs w:val="20"/>
          <w:lang w:val="en-US" w:eastAsia="zh-CN"/>
        </w:rPr>
        <w:t>1</w:t>
      </w:r>
      <w:r>
        <w:rPr>
          <w:rFonts w:ascii="Times New Roman" w:hAnsi="Times New Roman" w:eastAsia="仿宋" w:cs="Times New Roman"/>
          <w:color w:val="auto"/>
          <w:kern w:val="0"/>
          <w:sz w:val="28"/>
          <w:szCs w:val="20"/>
        </w:rPr>
        <w:t xml:space="preserve"> 所示。由表可见，</w:t>
      </w:r>
      <w:r>
        <w:rPr>
          <w:rFonts w:hint="eastAsia" w:ascii="Times New Roman" w:hAnsi="Times New Roman" w:eastAsia="仿宋" w:cs="Times New Roman"/>
          <w:color w:val="auto"/>
          <w:kern w:val="0"/>
          <w:sz w:val="28"/>
          <w:szCs w:val="20"/>
        </w:rPr>
        <w:t>资源县河流</w:t>
      </w:r>
      <w:r>
        <w:rPr>
          <w:rFonts w:ascii="Times New Roman" w:hAnsi="Times New Roman" w:eastAsia="仿宋" w:cs="Times New Roman"/>
          <w:color w:val="auto"/>
          <w:kern w:val="0"/>
          <w:sz w:val="28"/>
          <w:szCs w:val="20"/>
        </w:rPr>
        <w:t>健康评估指标体系的健康要素包括五个类别，即水文水资源指标，物理结构指标，水质指标、水生生物指标和社会服务功能指标。</w:t>
      </w:r>
    </w:p>
    <w:p>
      <w:pPr>
        <w:spacing w:line="560" w:lineRule="exact"/>
        <w:ind w:firstLine="360" w:firstLineChars="200"/>
        <w:rPr>
          <w:rFonts w:ascii="Times New Roman" w:hAnsi="Times New Roman" w:eastAsia="仿宋" w:cs="Times New Roman"/>
          <w:color w:val="auto"/>
          <w:kern w:val="0"/>
          <w:sz w:val="18"/>
          <w:szCs w:val="20"/>
        </w:rPr>
      </w:pPr>
    </w:p>
    <w:p>
      <w:pPr>
        <w:spacing w:line="560" w:lineRule="exact"/>
        <w:ind w:firstLine="360" w:firstLineChars="200"/>
        <w:rPr>
          <w:rFonts w:ascii="Times New Roman" w:hAnsi="Times New Roman" w:eastAsia="仿宋" w:cs="Times New Roman"/>
          <w:color w:val="auto"/>
          <w:kern w:val="0"/>
          <w:sz w:val="18"/>
          <w:szCs w:val="20"/>
        </w:rPr>
      </w:pPr>
    </w:p>
    <w:p>
      <w:pPr>
        <w:spacing w:line="560" w:lineRule="exact"/>
        <w:ind w:firstLine="360" w:firstLineChars="200"/>
        <w:rPr>
          <w:rFonts w:ascii="Times New Roman" w:hAnsi="Times New Roman" w:eastAsia="仿宋" w:cs="Times New Roman"/>
          <w:color w:val="auto"/>
          <w:kern w:val="0"/>
          <w:sz w:val="18"/>
          <w:szCs w:val="20"/>
        </w:rPr>
      </w:pPr>
    </w:p>
    <w:p>
      <w:pPr>
        <w:spacing w:line="560" w:lineRule="exact"/>
        <w:ind w:firstLine="360" w:firstLineChars="200"/>
        <w:rPr>
          <w:rFonts w:ascii="Times New Roman" w:hAnsi="Times New Roman" w:eastAsia="仿宋" w:cs="Times New Roman"/>
          <w:color w:val="auto"/>
          <w:kern w:val="0"/>
          <w:sz w:val="18"/>
          <w:szCs w:val="20"/>
        </w:rPr>
      </w:pPr>
    </w:p>
    <w:p>
      <w:pPr>
        <w:spacing w:line="560" w:lineRule="exact"/>
        <w:ind w:firstLine="562" w:firstLineChars="200"/>
        <w:jc w:val="left"/>
        <w:rPr>
          <w:rFonts w:ascii="Times New Roman" w:hAnsi="Times New Roman" w:eastAsia="仿宋" w:cs="Times New Roman"/>
          <w:b/>
          <w:color w:val="auto"/>
          <w:kern w:val="0"/>
          <w:sz w:val="18"/>
          <w:szCs w:val="20"/>
        </w:rPr>
      </w:pPr>
      <w:r>
        <w:rPr>
          <w:rFonts w:ascii="Times New Roman" w:hAnsi="Times New Roman" w:eastAsia="仿宋" w:cs="Times New Roman"/>
          <w:b/>
          <w:color w:val="auto"/>
          <w:kern w:val="0"/>
          <w:sz w:val="28"/>
          <w:szCs w:val="20"/>
        </w:rPr>
        <w:t>表3.5.</w:t>
      </w:r>
      <w:r>
        <w:rPr>
          <w:rFonts w:hint="eastAsia" w:ascii="Times New Roman" w:hAnsi="Times New Roman" w:eastAsia="仿宋" w:cs="Times New Roman"/>
          <w:b/>
          <w:color w:val="auto"/>
          <w:kern w:val="0"/>
          <w:sz w:val="28"/>
          <w:szCs w:val="20"/>
          <w:lang w:val="en-US" w:eastAsia="zh-CN"/>
        </w:rPr>
        <w:t>1</w:t>
      </w:r>
      <w:r>
        <w:rPr>
          <w:rFonts w:ascii="Times New Roman" w:hAnsi="Times New Roman" w:eastAsia="仿宋" w:cs="Times New Roman"/>
          <w:b/>
          <w:color w:val="auto"/>
          <w:kern w:val="0"/>
          <w:sz w:val="28"/>
          <w:szCs w:val="20"/>
        </w:rPr>
        <w:t xml:space="preserve">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 xml:space="preserve">  </w:t>
      </w:r>
      <w:r>
        <w:rPr>
          <w:rFonts w:hint="eastAsia" w:ascii="Times New Roman" w:hAnsi="Times New Roman" w:eastAsia="仿宋" w:cs="Times New Roman"/>
          <w:b/>
          <w:color w:val="auto"/>
          <w:kern w:val="0"/>
          <w:sz w:val="28"/>
          <w:szCs w:val="20"/>
          <w:lang w:val="en-US" w:eastAsia="zh-CN"/>
        </w:rPr>
        <w:t xml:space="preserve">  </w:t>
      </w:r>
      <w:r>
        <w:rPr>
          <w:rFonts w:ascii="Times New Roman" w:hAnsi="Times New Roman" w:eastAsia="仿宋" w:cs="Times New Roman"/>
          <w:b/>
          <w:color w:val="auto"/>
          <w:kern w:val="0"/>
          <w:sz w:val="28"/>
          <w:szCs w:val="20"/>
        </w:rPr>
        <w:t xml:space="preserve">   </w:t>
      </w:r>
      <w:r>
        <w:rPr>
          <w:rFonts w:hint="eastAsia" w:ascii="Times New Roman" w:hAnsi="Times New Roman" w:eastAsia="仿宋" w:cs="Times New Roman"/>
          <w:b/>
          <w:color w:val="auto"/>
          <w:kern w:val="0"/>
          <w:sz w:val="28"/>
          <w:szCs w:val="20"/>
          <w:lang w:eastAsia="zh-CN"/>
        </w:rPr>
        <w:t>资江</w:t>
      </w:r>
      <w:r>
        <w:rPr>
          <w:rFonts w:ascii="Times New Roman" w:hAnsi="Times New Roman" w:eastAsia="仿宋" w:cs="Times New Roman"/>
          <w:b/>
          <w:color w:val="auto"/>
          <w:kern w:val="0"/>
          <w:sz w:val="28"/>
          <w:szCs w:val="20"/>
        </w:rPr>
        <w:t>评价类指标体系设计表</w:t>
      </w:r>
    </w:p>
    <w:tbl>
      <w:tblPr>
        <w:tblStyle w:val="15"/>
        <w:tblW w:w="9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42"/>
        <w:gridCol w:w="1279"/>
        <w:gridCol w:w="2692"/>
        <w:gridCol w:w="4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1142" w:type="dxa"/>
            <w:shd w:val="clear" w:color="auto" w:fill="auto"/>
            <w:vAlign w:val="bottom"/>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评估河流</w:t>
            </w:r>
          </w:p>
        </w:tc>
        <w:tc>
          <w:tcPr>
            <w:tcW w:w="1279" w:type="dxa"/>
            <w:shd w:val="clear" w:color="auto" w:fill="auto"/>
            <w:vAlign w:val="bottom"/>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准则层</w:t>
            </w:r>
          </w:p>
        </w:tc>
        <w:tc>
          <w:tcPr>
            <w:tcW w:w="2692" w:type="dxa"/>
            <w:shd w:val="clear" w:color="auto" w:fill="auto"/>
            <w:vAlign w:val="bottom"/>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河流指标层</w:t>
            </w:r>
          </w:p>
        </w:tc>
        <w:tc>
          <w:tcPr>
            <w:tcW w:w="4024" w:type="dxa"/>
            <w:shd w:val="clear" w:color="auto" w:fill="auto"/>
            <w:vAlign w:val="bottom"/>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评价指标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1142" w:type="dxa"/>
            <w:vMerge w:val="restart"/>
            <w:shd w:val="clear" w:color="auto" w:fill="auto"/>
            <w:vAlign w:val="center"/>
          </w:tcPr>
          <w:p>
            <w:pPr>
              <w:spacing w:line="380" w:lineRule="exact"/>
              <w:jc w:val="center"/>
              <w:rPr>
                <w:rFonts w:hint="eastAsia"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资源县中小河流</w:t>
            </w:r>
          </w:p>
        </w:tc>
        <w:tc>
          <w:tcPr>
            <w:tcW w:w="1279" w:type="dxa"/>
            <w:vMerge w:val="restar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物理结构</w:t>
            </w:r>
          </w:p>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（PF）</w:t>
            </w:r>
          </w:p>
        </w:tc>
        <w:tc>
          <w:tcPr>
            <w:tcW w:w="2692"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河岸带状况（RS）</w:t>
            </w:r>
          </w:p>
        </w:tc>
        <w:tc>
          <w:tcPr>
            <w:tcW w:w="4024"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河岸带状况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142" w:type="dxa"/>
            <w:vMerge w:val="continue"/>
            <w:shd w:val="clear" w:color="auto" w:fill="auto"/>
            <w:vAlign w:val="bottom"/>
          </w:tcPr>
          <w:p>
            <w:pPr>
              <w:spacing w:line="380" w:lineRule="exact"/>
              <w:jc w:val="center"/>
              <w:rPr>
                <w:rFonts w:ascii="Times New Roman" w:hAnsi="Times New Roman" w:eastAsia="仿宋" w:cs="Times New Roman"/>
                <w:color w:val="auto"/>
                <w:kern w:val="0"/>
                <w:sz w:val="24"/>
                <w:szCs w:val="24"/>
              </w:rPr>
            </w:pPr>
          </w:p>
        </w:tc>
        <w:tc>
          <w:tcPr>
            <w:tcW w:w="1279" w:type="dxa"/>
            <w:vMerge w:val="continue"/>
            <w:shd w:val="clear" w:color="auto" w:fill="auto"/>
            <w:vAlign w:val="center"/>
          </w:tcPr>
          <w:p>
            <w:pPr>
              <w:spacing w:line="380" w:lineRule="exact"/>
              <w:jc w:val="center"/>
              <w:rPr>
                <w:rFonts w:ascii="Times New Roman" w:hAnsi="Times New Roman" w:eastAsia="仿宋" w:cs="Times New Roman"/>
                <w:color w:val="auto"/>
                <w:kern w:val="0"/>
                <w:sz w:val="24"/>
                <w:szCs w:val="24"/>
              </w:rPr>
            </w:pPr>
          </w:p>
        </w:tc>
        <w:tc>
          <w:tcPr>
            <w:tcW w:w="2692"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河流连通性（RC）</w:t>
            </w:r>
          </w:p>
        </w:tc>
        <w:tc>
          <w:tcPr>
            <w:tcW w:w="4024"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河流连通阻隔指数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142" w:type="dxa"/>
            <w:vMerge w:val="continue"/>
            <w:shd w:val="clear" w:color="auto" w:fill="auto"/>
            <w:vAlign w:val="bottom"/>
          </w:tcPr>
          <w:p>
            <w:pPr>
              <w:spacing w:line="380" w:lineRule="exact"/>
              <w:jc w:val="center"/>
              <w:rPr>
                <w:rFonts w:ascii="Times New Roman" w:hAnsi="Times New Roman" w:eastAsia="仿宋" w:cs="Times New Roman"/>
                <w:color w:val="auto"/>
                <w:kern w:val="0"/>
                <w:sz w:val="24"/>
                <w:szCs w:val="24"/>
              </w:rPr>
            </w:pPr>
          </w:p>
        </w:tc>
        <w:tc>
          <w:tcPr>
            <w:tcW w:w="1279" w:type="dxa"/>
            <w:vMerge w:val="continue"/>
            <w:shd w:val="clear" w:color="auto" w:fill="auto"/>
            <w:vAlign w:val="center"/>
          </w:tcPr>
          <w:p>
            <w:pPr>
              <w:spacing w:line="380" w:lineRule="exact"/>
              <w:jc w:val="center"/>
              <w:rPr>
                <w:rFonts w:ascii="Times New Roman" w:hAnsi="Times New Roman" w:eastAsia="仿宋" w:cs="Times New Roman"/>
                <w:color w:val="auto"/>
                <w:kern w:val="0"/>
                <w:sz w:val="24"/>
                <w:szCs w:val="24"/>
              </w:rPr>
            </w:pPr>
          </w:p>
        </w:tc>
        <w:tc>
          <w:tcPr>
            <w:tcW w:w="2692"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湿地保留率（NWL）</w:t>
            </w:r>
          </w:p>
        </w:tc>
        <w:tc>
          <w:tcPr>
            <w:tcW w:w="4024"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天然湿地保留率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142" w:type="dxa"/>
            <w:vMerge w:val="continue"/>
            <w:tcBorders>
              <w:bottom w:val="single" w:color="auto" w:sz="4" w:space="0"/>
            </w:tcBorders>
            <w:shd w:val="clear" w:color="auto" w:fill="auto"/>
            <w:vAlign w:val="bottom"/>
          </w:tcPr>
          <w:p>
            <w:pPr>
              <w:spacing w:line="380" w:lineRule="exact"/>
              <w:jc w:val="center"/>
              <w:rPr>
                <w:rFonts w:ascii="Times New Roman" w:hAnsi="Times New Roman" w:eastAsia="仿宋" w:cs="Times New Roman"/>
                <w:color w:val="auto"/>
                <w:kern w:val="0"/>
                <w:sz w:val="24"/>
                <w:szCs w:val="24"/>
              </w:rPr>
            </w:pPr>
          </w:p>
        </w:tc>
        <w:tc>
          <w:tcPr>
            <w:tcW w:w="1279" w:type="dxa"/>
            <w:vMerge w:val="restart"/>
            <w:tcBorders>
              <w:bottom w:val="single" w:color="auto" w:sz="4" w:space="0"/>
            </w:tcBorders>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水文水资源</w:t>
            </w:r>
          </w:p>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（HD）</w:t>
            </w:r>
          </w:p>
        </w:tc>
        <w:tc>
          <w:tcPr>
            <w:tcW w:w="2692" w:type="dxa"/>
            <w:tcBorders>
              <w:bottom w:val="single" w:color="auto" w:sz="4" w:space="0"/>
            </w:tcBorders>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生态流量保障程度（EF）</w:t>
            </w:r>
          </w:p>
        </w:tc>
        <w:tc>
          <w:tcPr>
            <w:tcW w:w="4024"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日径流量占多年平均流量比率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 w:hRule="atLeast"/>
          <w:jc w:val="center"/>
        </w:trPr>
        <w:tc>
          <w:tcPr>
            <w:tcW w:w="1142" w:type="dxa"/>
            <w:vMerge w:val="continue"/>
            <w:shd w:val="clear" w:color="auto" w:fill="auto"/>
            <w:vAlign w:val="bottom"/>
          </w:tcPr>
          <w:p>
            <w:pPr>
              <w:spacing w:line="380" w:lineRule="exact"/>
              <w:jc w:val="center"/>
              <w:rPr>
                <w:rFonts w:ascii="Times New Roman" w:hAnsi="Times New Roman" w:eastAsia="仿宋" w:cs="Times New Roman"/>
                <w:color w:val="auto"/>
                <w:kern w:val="0"/>
                <w:sz w:val="24"/>
                <w:szCs w:val="24"/>
              </w:rPr>
            </w:pPr>
          </w:p>
        </w:tc>
        <w:tc>
          <w:tcPr>
            <w:tcW w:w="1279" w:type="dxa"/>
            <w:vMerge w:val="continue"/>
            <w:shd w:val="clear" w:color="auto" w:fill="auto"/>
            <w:vAlign w:val="center"/>
          </w:tcPr>
          <w:p>
            <w:pPr>
              <w:spacing w:line="380" w:lineRule="exact"/>
              <w:jc w:val="center"/>
              <w:rPr>
                <w:rFonts w:ascii="Times New Roman" w:hAnsi="Times New Roman" w:eastAsia="仿宋" w:cs="Times New Roman"/>
                <w:color w:val="auto"/>
                <w:kern w:val="0"/>
                <w:sz w:val="24"/>
                <w:szCs w:val="24"/>
              </w:rPr>
            </w:pPr>
          </w:p>
        </w:tc>
        <w:tc>
          <w:tcPr>
            <w:tcW w:w="2692"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流量过程变异程度（FD）</w:t>
            </w:r>
          </w:p>
        </w:tc>
        <w:tc>
          <w:tcPr>
            <w:tcW w:w="4024"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天然月径流量年均值、评估年实测月径流量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1142" w:type="dxa"/>
            <w:vMerge w:val="continue"/>
            <w:shd w:val="clear" w:color="auto" w:fill="auto"/>
            <w:vAlign w:val="bottom"/>
          </w:tcPr>
          <w:p>
            <w:pPr>
              <w:spacing w:line="380" w:lineRule="exact"/>
              <w:jc w:val="center"/>
              <w:rPr>
                <w:rFonts w:ascii="Times New Roman" w:hAnsi="Times New Roman" w:eastAsia="仿宋" w:cs="Times New Roman"/>
                <w:color w:val="auto"/>
                <w:kern w:val="0"/>
                <w:sz w:val="24"/>
                <w:szCs w:val="24"/>
              </w:rPr>
            </w:pPr>
          </w:p>
        </w:tc>
        <w:tc>
          <w:tcPr>
            <w:tcW w:w="1279" w:type="dxa"/>
            <w:vMerge w:val="restar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水质状况</w:t>
            </w:r>
          </w:p>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（WQ）</w:t>
            </w:r>
          </w:p>
        </w:tc>
        <w:tc>
          <w:tcPr>
            <w:tcW w:w="2692"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水温变异状况（WT）</w:t>
            </w:r>
          </w:p>
        </w:tc>
        <w:tc>
          <w:tcPr>
            <w:tcW w:w="4024"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水温月变化过程的变异程度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1142" w:type="dxa"/>
            <w:vMerge w:val="continue"/>
            <w:shd w:val="clear" w:color="auto" w:fill="auto"/>
            <w:vAlign w:val="bottom"/>
          </w:tcPr>
          <w:p>
            <w:pPr>
              <w:spacing w:line="380" w:lineRule="exact"/>
              <w:jc w:val="center"/>
              <w:rPr>
                <w:rFonts w:ascii="Times New Roman" w:hAnsi="Times New Roman" w:eastAsia="仿宋" w:cs="Times New Roman"/>
                <w:color w:val="auto"/>
                <w:kern w:val="0"/>
                <w:sz w:val="24"/>
                <w:szCs w:val="24"/>
              </w:rPr>
            </w:pPr>
          </w:p>
        </w:tc>
        <w:tc>
          <w:tcPr>
            <w:tcW w:w="1279" w:type="dxa"/>
            <w:vMerge w:val="continue"/>
            <w:shd w:val="clear" w:color="auto" w:fill="auto"/>
            <w:vAlign w:val="center"/>
          </w:tcPr>
          <w:p>
            <w:pPr>
              <w:spacing w:line="380" w:lineRule="exact"/>
              <w:jc w:val="center"/>
              <w:rPr>
                <w:rFonts w:ascii="Times New Roman" w:hAnsi="Times New Roman" w:eastAsia="仿宋" w:cs="Times New Roman"/>
                <w:color w:val="auto"/>
                <w:kern w:val="0"/>
                <w:sz w:val="24"/>
                <w:szCs w:val="24"/>
              </w:rPr>
            </w:pPr>
          </w:p>
        </w:tc>
        <w:tc>
          <w:tcPr>
            <w:tcW w:w="2692"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DO水质状况（DO）</w:t>
            </w:r>
          </w:p>
        </w:tc>
        <w:tc>
          <w:tcPr>
            <w:tcW w:w="4024"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溶解氧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1142" w:type="dxa"/>
            <w:vMerge w:val="continue"/>
            <w:shd w:val="clear" w:color="auto" w:fill="auto"/>
            <w:vAlign w:val="bottom"/>
          </w:tcPr>
          <w:p>
            <w:pPr>
              <w:spacing w:line="380" w:lineRule="exact"/>
              <w:jc w:val="center"/>
              <w:rPr>
                <w:rFonts w:ascii="Times New Roman" w:hAnsi="Times New Roman" w:eastAsia="仿宋" w:cs="Times New Roman"/>
                <w:color w:val="auto"/>
                <w:kern w:val="0"/>
                <w:sz w:val="24"/>
                <w:szCs w:val="24"/>
              </w:rPr>
            </w:pPr>
          </w:p>
        </w:tc>
        <w:tc>
          <w:tcPr>
            <w:tcW w:w="1279" w:type="dxa"/>
            <w:vMerge w:val="continue"/>
            <w:shd w:val="clear" w:color="auto" w:fill="auto"/>
            <w:vAlign w:val="center"/>
          </w:tcPr>
          <w:p>
            <w:pPr>
              <w:spacing w:line="380" w:lineRule="exact"/>
              <w:rPr>
                <w:rFonts w:ascii="Times New Roman" w:hAnsi="Times New Roman" w:eastAsia="仿宋" w:cs="Times New Roman"/>
                <w:color w:val="auto"/>
                <w:kern w:val="0"/>
                <w:sz w:val="24"/>
                <w:szCs w:val="24"/>
              </w:rPr>
            </w:pPr>
          </w:p>
        </w:tc>
        <w:tc>
          <w:tcPr>
            <w:tcW w:w="2692" w:type="dxa"/>
            <w:shd w:val="clear" w:color="auto" w:fill="auto"/>
            <w:vAlign w:val="center"/>
          </w:tcPr>
          <w:p>
            <w:pPr>
              <w:spacing w:line="380" w:lineRule="exact"/>
              <w:jc w:val="lef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耗氧有机物污染状况（OCP）</w:t>
            </w:r>
          </w:p>
        </w:tc>
        <w:tc>
          <w:tcPr>
            <w:tcW w:w="4024"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高锰酸盐指数、五日生化需氧量、化学需氧量、氨氮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1142" w:type="dxa"/>
            <w:vMerge w:val="continue"/>
            <w:shd w:val="clear" w:color="auto" w:fill="auto"/>
            <w:vAlign w:val="bottom"/>
          </w:tcPr>
          <w:p>
            <w:pPr>
              <w:spacing w:line="380" w:lineRule="exact"/>
              <w:jc w:val="center"/>
              <w:rPr>
                <w:rFonts w:ascii="Times New Roman" w:hAnsi="Times New Roman" w:eastAsia="仿宋" w:cs="Times New Roman"/>
                <w:color w:val="auto"/>
                <w:kern w:val="0"/>
                <w:sz w:val="24"/>
                <w:szCs w:val="24"/>
              </w:rPr>
            </w:pPr>
          </w:p>
        </w:tc>
        <w:tc>
          <w:tcPr>
            <w:tcW w:w="1279" w:type="dxa"/>
            <w:vMerge w:val="continue"/>
            <w:shd w:val="clear" w:color="auto" w:fill="auto"/>
            <w:vAlign w:val="center"/>
          </w:tcPr>
          <w:p>
            <w:pPr>
              <w:spacing w:line="380" w:lineRule="exact"/>
              <w:rPr>
                <w:rFonts w:ascii="Times New Roman" w:hAnsi="Times New Roman" w:eastAsia="仿宋" w:cs="Times New Roman"/>
                <w:color w:val="auto"/>
                <w:kern w:val="0"/>
                <w:sz w:val="24"/>
                <w:szCs w:val="24"/>
              </w:rPr>
            </w:pPr>
          </w:p>
        </w:tc>
        <w:tc>
          <w:tcPr>
            <w:tcW w:w="2692" w:type="dxa"/>
            <w:shd w:val="clear" w:color="auto" w:fill="auto"/>
            <w:vAlign w:val="center"/>
          </w:tcPr>
          <w:p>
            <w:pPr>
              <w:spacing w:line="380" w:lineRule="exact"/>
              <w:jc w:val="left"/>
              <w:rPr>
                <w:rFonts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重金属污染状况（HMP）</w:t>
            </w:r>
          </w:p>
        </w:tc>
        <w:tc>
          <w:tcPr>
            <w:tcW w:w="4024"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rPr>
              <w:t>汞、镉、铬、铅及砷等重金属污染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1142" w:type="dxa"/>
            <w:vMerge w:val="continue"/>
            <w:shd w:val="clear" w:color="auto" w:fill="auto"/>
            <w:vAlign w:val="bottom"/>
          </w:tcPr>
          <w:p>
            <w:pPr>
              <w:spacing w:line="380" w:lineRule="exact"/>
              <w:jc w:val="center"/>
              <w:rPr>
                <w:rFonts w:ascii="Times New Roman" w:hAnsi="Times New Roman" w:eastAsia="仿宋" w:cs="Times New Roman"/>
                <w:color w:val="auto"/>
                <w:kern w:val="0"/>
                <w:sz w:val="24"/>
                <w:szCs w:val="24"/>
              </w:rPr>
            </w:pPr>
          </w:p>
        </w:tc>
        <w:tc>
          <w:tcPr>
            <w:tcW w:w="1279" w:type="dxa"/>
            <w:vMerge w:val="restar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水生生物</w:t>
            </w:r>
          </w:p>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（AL）</w:t>
            </w:r>
          </w:p>
        </w:tc>
        <w:tc>
          <w:tcPr>
            <w:tcW w:w="2692"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大型无脊椎动物生物完整性指数（BMIBI）</w:t>
            </w:r>
          </w:p>
        </w:tc>
        <w:tc>
          <w:tcPr>
            <w:tcW w:w="4024"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特定污染敏感指数、多样性指数、均匀度指数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142" w:type="dxa"/>
            <w:vMerge w:val="continue"/>
            <w:shd w:val="clear" w:color="auto" w:fill="auto"/>
            <w:vAlign w:val="bottom"/>
          </w:tcPr>
          <w:p>
            <w:pPr>
              <w:spacing w:line="380" w:lineRule="exact"/>
              <w:jc w:val="left"/>
              <w:rPr>
                <w:rFonts w:ascii="Times New Roman" w:hAnsi="Times New Roman" w:eastAsia="仿宋" w:cs="Times New Roman"/>
                <w:color w:val="auto"/>
                <w:kern w:val="0"/>
                <w:sz w:val="24"/>
                <w:szCs w:val="24"/>
              </w:rPr>
            </w:pPr>
          </w:p>
        </w:tc>
        <w:tc>
          <w:tcPr>
            <w:tcW w:w="1279" w:type="dxa"/>
            <w:vMerge w:val="continue"/>
            <w:shd w:val="clear" w:color="auto" w:fill="auto"/>
            <w:vAlign w:val="bottom"/>
          </w:tcPr>
          <w:p>
            <w:pPr>
              <w:spacing w:line="380" w:lineRule="exact"/>
              <w:jc w:val="center"/>
              <w:rPr>
                <w:rFonts w:ascii="Times New Roman" w:hAnsi="Times New Roman" w:eastAsia="仿宋" w:cs="Times New Roman"/>
                <w:color w:val="auto"/>
                <w:kern w:val="0"/>
                <w:sz w:val="24"/>
                <w:szCs w:val="24"/>
              </w:rPr>
            </w:pPr>
          </w:p>
        </w:tc>
        <w:tc>
          <w:tcPr>
            <w:tcW w:w="2692"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硅藻生物指数</w:t>
            </w:r>
          </w:p>
        </w:tc>
        <w:tc>
          <w:tcPr>
            <w:tcW w:w="4024"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特定污染敏感指数、硅藻生物指数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142" w:type="dxa"/>
            <w:vMerge w:val="continue"/>
            <w:shd w:val="clear" w:color="auto" w:fill="auto"/>
            <w:vAlign w:val="bottom"/>
          </w:tcPr>
          <w:p>
            <w:pPr>
              <w:spacing w:line="380" w:lineRule="exact"/>
              <w:jc w:val="left"/>
              <w:rPr>
                <w:rFonts w:ascii="Times New Roman" w:hAnsi="Times New Roman" w:eastAsia="仿宋" w:cs="Times New Roman"/>
                <w:color w:val="auto"/>
                <w:kern w:val="0"/>
                <w:sz w:val="24"/>
                <w:szCs w:val="24"/>
              </w:rPr>
            </w:pPr>
          </w:p>
        </w:tc>
        <w:tc>
          <w:tcPr>
            <w:tcW w:w="1279" w:type="dxa"/>
            <w:vMerge w:val="continue"/>
            <w:shd w:val="clear" w:color="auto" w:fill="auto"/>
            <w:vAlign w:val="bottom"/>
          </w:tcPr>
          <w:p>
            <w:pPr>
              <w:spacing w:line="380" w:lineRule="exact"/>
              <w:jc w:val="left"/>
              <w:rPr>
                <w:rFonts w:ascii="Times New Roman" w:hAnsi="Times New Roman" w:eastAsia="仿宋" w:cs="Times New Roman"/>
                <w:color w:val="auto"/>
                <w:kern w:val="0"/>
                <w:sz w:val="24"/>
                <w:szCs w:val="24"/>
              </w:rPr>
            </w:pPr>
          </w:p>
        </w:tc>
        <w:tc>
          <w:tcPr>
            <w:tcW w:w="2692"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鱼类损失（FOE）</w:t>
            </w:r>
          </w:p>
        </w:tc>
        <w:tc>
          <w:tcPr>
            <w:tcW w:w="4024"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现状鱼类种类与历史鱼类种类比值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142" w:type="dxa"/>
            <w:vMerge w:val="continue"/>
            <w:shd w:val="clear" w:color="auto" w:fill="auto"/>
            <w:vAlign w:val="bottom"/>
          </w:tcPr>
          <w:p>
            <w:pPr>
              <w:spacing w:line="380" w:lineRule="exact"/>
              <w:jc w:val="left"/>
              <w:rPr>
                <w:rFonts w:ascii="Times New Roman" w:hAnsi="Times New Roman" w:eastAsia="仿宋" w:cs="Times New Roman"/>
                <w:color w:val="auto"/>
                <w:kern w:val="0"/>
                <w:sz w:val="24"/>
                <w:szCs w:val="24"/>
              </w:rPr>
            </w:pPr>
          </w:p>
        </w:tc>
        <w:tc>
          <w:tcPr>
            <w:tcW w:w="1279" w:type="dxa"/>
            <w:vMerge w:val="restar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社会服</w:t>
            </w:r>
          </w:p>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务功能</w:t>
            </w:r>
          </w:p>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（SS）</w:t>
            </w:r>
          </w:p>
        </w:tc>
        <w:tc>
          <w:tcPr>
            <w:tcW w:w="2692"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水功能区达标指标（WFZ）</w:t>
            </w:r>
          </w:p>
        </w:tc>
        <w:tc>
          <w:tcPr>
            <w:tcW w:w="4024"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河流水功能区水质达标率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 w:hRule="atLeast"/>
          <w:jc w:val="center"/>
        </w:trPr>
        <w:tc>
          <w:tcPr>
            <w:tcW w:w="1142" w:type="dxa"/>
            <w:vMerge w:val="continue"/>
            <w:shd w:val="clear" w:color="auto" w:fill="auto"/>
            <w:vAlign w:val="bottom"/>
          </w:tcPr>
          <w:p>
            <w:pPr>
              <w:spacing w:line="380" w:lineRule="exact"/>
              <w:jc w:val="left"/>
              <w:rPr>
                <w:rFonts w:ascii="Times New Roman" w:hAnsi="Times New Roman" w:eastAsia="仿宋" w:cs="Times New Roman"/>
                <w:color w:val="auto"/>
                <w:kern w:val="0"/>
                <w:sz w:val="24"/>
                <w:szCs w:val="24"/>
              </w:rPr>
            </w:pPr>
          </w:p>
        </w:tc>
        <w:tc>
          <w:tcPr>
            <w:tcW w:w="1279" w:type="dxa"/>
            <w:vMerge w:val="continue"/>
            <w:shd w:val="clear" w:color="auto" w:fill="auto"/>
            <w:vAlign w:val="center"/>
          </w:tcPr>
          <w:p>
            <w:pPr>
              <w:spacing w:line="380" w:lineRule="exact"/>
              <w:jc w:val="center"/>
              <w:rPr>
                <w:rFonts w:ascii="Times New Roman" w:hAnsi="Times New Roman" w:eastAsia="仿宋" w:cs="Times New Roman"/>
                <w:color w:val="auto"/>
                <w:kern w:val="0"/>
                <w:sz w:val="24"/>
                <w:szCs w:val="24"/>
              </w:rPr>
            </w:pPr>
          </w:p>
        </w:tc>
        <w:tc>
          <w:tcPr>
            <w:tcW w:w="2692"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水资源开发利用指标（WRU）</w:t>
            </w:r>
          </w:p>
        </w:tc>
        <w:tc>
          <w:tcPr>
            <w:tcW w:w="4024"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流域水资源总量、流域水资源开发利用量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1142" w:type="dxa"/>
            <w:vMerge w:val="continue"/>
            <w:shd w:val="clear" w:color="auto" w:fill="auto"/>
            <w:vAlign w:val="bottom"/>
          </w:tcPr>
          <w:p>
            <w:pPr>
              <w:spacing w:line="380" w:lineRule="exact"/>
              <w:jc w:val="left"/>
              <w:rPr>
                <w:rFonts w:ascii="Times New Roman" w:hAnsi="Times New Roman" w:eastAsia="仿宋" w:cs="Times New Roman"/>
                <w:color w:val="auto"/>
                <w:kern w:val="0"/>
                <w:sz w:val="24"/>
                <w:szCs w:val="24"/>
              </w:rPr>
            </w:pPr>
          </w:p>
        </w:tc>
        <w:tc>
          <w:tcPr>
            <w:tcW w:w="1279" w:type="dxa"/>
            <w:vMerge w:val="continue"/>
            <w:shd w:val="clear" w:color="auto" w:fill="auto"/>
            <w:vAlign w:val="center"/>
          </w:tcPr>
          <w:p>
            <w:pPr>
              <w:spacing w:line="380" w:lineRule="exact"/>
              <w:jc w:val="center"/>
              <w:rPr>
                <w:rFonts w:ascii="Times New Roman" w:hAnsi="Times New Roman" w:eastAsia="仿宋" w:cs="Times New Roman"/>
                <w:color w:val="auto"/>
                <w:kern w:val="0"/>
                <w:sz w:val="24"/>
                <w:szCs w:val="24"/>
              </w:rPr>
            </w:pPr>
          </w:p>
        </w:tc>
        <w:tc>
          <w:tcPr>
            <w:tcW w:w="2692"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防洪指标（FLD）</w:t>
            </w:r>
          </w:p>
        </w:tc>
        <w:tc>
          <w:tcPr>
            <w:tcW w:w="4024"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河流安全泄洪能力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jc w:val="center"/>
        </w:trPr>
        <w:tc>
          <w:tcPr>
            <w:tcW w:w="1142" w:type="dxa"/>
            <w:vMerge w:val="continue"/>
            <w:shd w:val="clear" w:color="auto" w:fill="auto"/>
            <w:vAlign w:val="bottom"/>
          </w:tcPr>
          <w:p>
            <w:pPr>
              <w:spacing w:line="380" w:lineRule="exact"/>
              <w:jc w:val="left"/>
              <w:rPr>
                <w:rFonts w:ascii="Times New Roman" w:hAnsi="Times New Roman" w:eastAsia="仿宋" w:cs="Times New Roman"/>
                <w:color w:val="auto"/>
                <w:kern w:val="0"/>
                <w:sz w:val="24"/>
                <w:szCs w:val="24"/>
              </w:rPr>
            </w:pPr>
          </w:p>
        </w:tc>
        <w:tc>
          <w:tcPr>
            <w:tcW w:w="1279" w:type="dxa"/>
            <w:vMerge w:val="continue"/>
            <w:shd w:val="clear" w:color="auto" w:fill="auto"/>
            <w:vAlign w:val="center"/>
          </w:tcPr>
          <w:p>
            <w:pPr>
              <w:spacing w:line="380" w:lineRule="exact"/>
              <w:jc w:val="center"/>
              <w:rPr>
                <w:rFonts w:ascii="Times New Roman" w:hAnsi="Times New Roman" w:eastAsia="仿宋" w:cs="Times New Roman"/>
                <w:color w:val="auto"/>
                <w:kern w:val="0"/>
                <w:sz w:val="24"/>
                <w:szCs w:val="24"/>
              </w:rPr>
            </w:pPr>
          </w:p>
        </w:tc>
        <w:tc>
          <w:tcPr>
            <w:tcW w:w="2692"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公众满意度指标（PP）</w:t>
            </w:r>
          </w:p>
        </w:tc>
        <w:tc>
          <w:tcPr>
            <w:tcW w:w="4024" w:type="dxa"/>
            <w:shd w:val="clear" w:color="auto" w:fill="auto"/>
            <w:vAlign w:val="center"/>
          </w:tcPr>
          <w:p>
            <w:pPr>
              <w:spacing w:line="380" w:lineRule="exac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公</w:t>
            </w:r>
            <w:bookmarkStart w:id="53" w:name="page45"/>
            <w:bookmarkEnd w:id="53"/>
            <w:bookmarkStart w:id="54" w:name="page44"/>
            <w:bookmarkEnd w:id="54"/>
            <w:r>
              <w:rPr>
                <w:rFonts w:ascii="Times New Roman" w:hAnsi="Times New Roman" w:eastAsia="仿宋" w:cs="Times New Roman"/>
                <w:color w:val="auto"/>
                <w:kern w:val="0"/>
                <w:sz w:val="24"/>
                <w:szCs w:val="24"/>
              </w:rPr>
              <w:t>众满意度指标赋分</w:t>
            </w:r>
          </w:p>
        </w:tc>
      </w:tr>
    </w:tbl>
    <w:p>
      <w:pPr>
        <w:spacing w:line="360" w:lineRule="auto"/>
        <w:jc w:val="left"/>
        <w:rPr>
          <w:rFonts w:ascii="Times New Roman" w:hAnsi="Times New Roman" w:eastAsia="仿宋" w:cs="Times New Roman"/>
          <w:color w:val="auto"/>
          <w:kern w:val="0"/>
          <w:sz w:val="28"/>
          <w:szCs w:val="20"/>
        </w:rPr>
      </w:pPr>
    </w:p>
    <w:p>
      <w:pPr>
        <w:pStyle w:val="5"/>
        <w:bidi w:val="0"/>
        <w:rPr>
          <w:rFonts w:cs="Times New Roman"/>
          <w:color w:val="auto"/>
        </w:rPr>
      </w:pPr>
      <w:bookmarkStart w:id="55" w:name="_Toc1801"/>
      <w:bookmarkStart w:id="56" w:name="_Toc12908"/>
      <w:r>
        <w:rPr>
          <w:rFonts w:cs="Times New Roman"/>
          <w:color w:val="auto"/>
        </w:rPr>
        <w:t xml:space="preserve">3.6 </w:t>
      </w:r>
      <w:r>
        <w:rPr>
          <w:rFonts w:hint="eastAsia" w:cs="Times New Roman"/>
          <w:color w:val="auto"/>
        </w:rPr>
        <w:t xml:space="preserve"> </w:t>
      </w:r>
      <w:r>
        <w:rPr>
          <w:rFonts w:cs="Times New Roman"/>
          <w:color w:val="auto"/>
        </w:rPr>
        <w:t>生态完整性评估方法与标准</w:t>
      </w:r>
      <w:bookmarkEnd w:id="55"/>
      <w:bookmarkEnd w:id="56"/>
    </w:p>
    <w:p>
      <w:pPr>
        <w:spacing w:line="360" w:lineRule="auto"/>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3.6.1</w:t>
      </w:r>
      <w:r>
        <w:rPr>
          <w:rFonts w:hint="eastAsia" w:ascii="Times New Roman" w:hAnsi="Times New Roman" w:eastAsia="仿宋" w:cs="Times New Roman"/>
          <w:color w:val="auto"/>
          <w:kern w:val="0"/>
          <w:sz w:val="28"/>
          <w:szCs w:val="20"/>
        </w:rPr>
        <w:t xml:space="preserve"> </w:t>
      </w:r>
      <w:r>
        <w:rPr>
          <w:rFonts w:ascii="Times New Roman" w:hAnsi="Times New Roman" w:eastAsia="仿宋" w:cs="Times New Roman"/>
          <w:color w:val="auto"/>
          <w:kern w:val="0"/>
          <w:sz w:val="28"/>
          <w:szCs w:val="20"/>
        </w:rPr>
        <w:t xml:space="preserve"> 物理结构指标（PF）</w:t>
      </w:r>
    </w:p>
    <w:p>
      <w:pPr>
        <w:spacing w:line="360" w:lineRule="auto"/>
        <w:ind w:firstLine="560" w:firstLineChars="200"/>
        <w:rPr>
          <w:rFonts w:ascii="Times New Roman" w:hAnsi="Times New Roman" w:eastAsia="仿宋" w:cs="Times New Roman"/>
          <w:color w:val="auto"/>
          <w:kern w:val="0"/>
          <w:sz w:val="28"/>
          <w:szCs w:val="20"/>
        </w:rPr>
      </w:pPr>
      <w:r>
        <w:rPr>
          <w:rFonts w:hint="eastAsia" w:ascii="Times New Roman" w:hAnsi="Times New Roman" w:eastAsia="仿宋" w:cs="Times New Roman"/>
          <w:color w:val="auto"/>
          <w:kern w:val="0"/>
          <w:sz w:val="28"/>
          <w:szCs w:val="20"/>
        </w:rPr>
        <w:t>资源县</w:t>
      </w:r>
      <w:r>
        <w:rPr>
          <w:rFonts w:ascii="Times New Roman" w:hAnsi="Times New Roman" w:eastAsia="仿宋" w:cs="Times New Roman"/>
          <w:color w:val="auto"/>
          <w:kern w:val="0"/>
          <w:sz w:val="28"/>
          <w:szCs w:val="20"/>
        </w:rPr>
        <w:t>河流形态评估采用河岸带状况、河流连通阻隔状况与</w:t>
      </w:r>
      <w:r>
        <w:rPr>
          <w:rFonts w:hint="eastAsia" w:ascii="Times New Roman" w:hAnsi="Times New Roman" w:eastAsia="仿宋" w:cs="Times New Roman"/>
          <w:color w:val="auto"/>
          <w:kern w:val="0"/>
          <w:sz w:val="28"/>
          <w:szCs w:val="20"/>
        </w:rPr>
        <w:t>湿地保留率</w:t>
      </w:r>
      <w:r>
        <w:rPr>
          <w:rFonts w:ascii="Times New Roman" w:hAnsi="Times New Roman" w:eastAsia="仿宋" w:cs="Times New Roman"/>
          <w:color w:val="auto"/>
          <w:kern w:val="0"/>
          <w:sz w:val="27"/>
          <w:szCs w:val="20"/>
        </w:rPr>
        <w:t>进行。河岸带状况包括河岸稳定性（BKS）、河岸带植被覆盖度（RVS）、河</w:t>
      </w:r>
      <w:r>
        <w:rPr>
          <w:rFonts w:ascii="Times New Roman" w:hAnsi="Times New Roman" w:eastAsia="仿宋" w:cs="Times New Roman"/>
          <w:color w:val="auto"/>
          <w:kern w:val="0"/>
          <w:sz w:val="28"/>
          <w:szCs w:val="20"/>
        </w:rPr>
        <w:t>岸带人工干扰程度（RD）表达；河流连通阻隔状况主要调查评估河流对鱼类等生物物种迁徙及水流与营养物质传递阻断状况，重点调查评估区内的闸坝阻隔特征；</w:t>
      </w:r>
      <w:r>
        <w:rPr>
          <w:rFonts w:hint="eastAsia" w:ascii="Times New Roman" w:hAnsi="Times New Roman" w:eastAsia="仿宋" w:cs="Times New Roman"/>
          <w:color w:val="auto"/>
          <w:kern w:val="0"/>
          <w:sz w:val="28"/>
          <w:szCs w:val="20"/>
        </w:rPr>
        <w:t>湿地保留</w:t>
      </w:r>
      <w:r>
        <w:rPr>
          <w:rFonts w:ascii="Times New Roman" w:hAnsi="Times New Roman" w:eastAsia="仿宋" w:cs="Times New Roman"/>
          <w:color w:val="auto"/>
          <w:kern w:val="0"/>
          <w:sz w:val="28"/>
          <w:szCs w:val="20"/>
        </w:rPr>
        <w:t>率针对</w:t>
      </w:r>
      <w:r>
        <w:rPr>
          <w:rFonts w:hint="eastAsia" w:ascii="Times New Roman" w:hAnsi="Times New Roman" w:eastAsia="仿宋" w:cs="Times New Roman"/>
          <w:color w:val="auto"/>
          <w:kern w:val="0"/>
          <w:sz w:val="28"/>
          <w:szCs w:val="20"/>
        </w:rPr>
        <w:t>与天然湿地有直接水力联系的河段，调查1980年后天然湿地变化情况。</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（1）河岸带状况</w:t>
      </w:r>
    </w:p>
    <w:p>
      <w:pPr>
        <w:spacing w:line="360" w:lineRule="auto"/>
        <w:ind w:firstLine="840" w:firstLineChars="3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1）河岸带状况包括岸坡稳定性指数（BKS）、河岸带植被覆盖度（RVS）河岸带人工干扰程度（RD）三个方面。</w:t>
      </w:r>
    </w:p>
    <w:p>
      <w:pPr>
        <w:spacing w:line="360" w:lineRule="auto"/>
        <w:ind w:firstLine="840" w:firstLineChars="3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2）计算方法</w:t>
      </w:r>
    </w:p>
    <w:p>
      <w:pPr>
        <w:spacing w:line="360" w:lineRule="auto"/>
        <w:ind w:firstLine="560" w:firstLineChars="200"/>
        <w:rPr>
          <w:rFonts w:ascii="Times New Roman" w:hAnsi="Times New Roman" w:eastAsia="仿宋" w:cs="Times New Roman"/>
          <w:color w:val="auto"/>
          <w:kern w:val="0"/>
          <w:sz w:val="28"/>
          <w:szCs w:val="28"/>
        </w:rPr>
      </w:pPr>
      <w:r>
        <w:rPr>
          <w:rFonts w:hint="eastAsia" w:ascii="宋体" w:hAnsi="宋体" w:eastAsia="宋体" w:cs="宋体"/>
          <w:color w:val="auto"/>
          <w:kern w:val="0"/>
          <w:sz w:val="28"/>
          <w:szCs w:val="28"/>
        </w:rPr>
        <w:t>①</w:t>
      </w:r>
      <w:r>
        <w:rPr>
          <w:rFonts w:ascii="Times New Roman" w:hAnsi="Times New Roman" w:eastAsia="仿宋" w:cs="Times New Roman"/>
          <w:color w:val="auto"/>
          <w:kern w:val="0"/>
          <w:sz w:val="28"/>
          <w:szCs w:val="28"/>
        </w:rPr>
        <w:t>岸坡稳定性指数（BKS）</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河岸岸坡稳定性评估要素包括：岸坡倾角、河岸高度、基质特征岸、坡植被覆盖度和坡脚冲刷强度。计算公式为：</w:t>
      </w:r>
    </w:p>
    <w:p>
      <w:pPr>
        <w:spacing w:line="560" w:lineRule="exact"/>
        <w:ind w:firstLine="400" w:firstLineChars="200"/>
        <w:rPr>
          <w:rFonts w:ascii="Times New Roman" w:hAnsi="Times New Roman" w:eastAsia="仿宋" w:cs="Times New Roman"/>
          <w:color w:val="auto"/>
          <w:kern w:val="0"/>
          <w:sz w:val="28"/>
          <w:szCs w:val="20"/>
        </w:rPr>
      </w:pPr>
      <w:r>
        <w:rPr>
          <w:rFonts w:ascii="Times New Roman" w:hAnsi="Times New Roman" w:eastAsia="宋体" w:cs="Times New Roman"/>
          <w:color w:val="auto"/>
          <w:kern w:val="0"/>
          <w:sz w:val="20"/>
          <w:szCs w:val="20"/>
        </w:rPr>
        <w:drawing>
          <wp:anchor distT="0" distB="0" distL="114300" distR="114300" simplePos="0" relativeHeight="251660288" behindDoc="0" locked="0" layoutInCell="1" allowOverlap="1">
            <wp:simplePos x="0" y="0"/>
            <wp:positionH relativeFrom="column">
              <wp:posOffset>1508760</wp:posOffset>
            </wp:positionH>
            <wp:positionV relativeFrom="paragraph">
              <wp:posOffset>42545</wp:posOffset>
            </wp:positionV>
            <wp:extent cx="2775585" cy="400050"/>
            <wp:effectExtent l="0" t="0" r="5715"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775585" cy="400050"/>
                    </a:xfrm>
                    <a:prstGeom prst="rect">
                      <a:avLst/>
                    </a:prstGeom>
                    <a:noFill/>
                    <a:ln>
                      <a:noFill/>
                    </a:ln>
                  </pic:spPr>
                </pic:pic>
              </a:graphicData>
            </a:graphic>
          </wp:anchor>
        </w:drawing>
      </w:r>
    </w:p>
    <w:p>
      <w:pPr>
        <w:spacing w:line="560" w:lineRule="exact"/>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式中，BKSr 岸坡稳定性指标赋分，SAr 岸坡倾角分值；SCr 岸坡覆盖</w:t>
      </w:r>
    </w:p>
    <w:p>
      <w:pPr>
        <w:spacing w:line="560" w:lineRule="exac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度分值；SHr 岸坡高度分值；SMr 河岸基质分值，STr 坡脚冲刷强度分值，各项分值按表 3.6.1-1 标准赋分。</w:t>
      </w:r>
    </w:p>
    <w:p>
      <w:pPr>
        <w:spacing w:line="560" w:lineRule="exact"/>
        <w:ind w:firstLine="562" w:firstLineChars="200"/>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 xml:space="preserve">表 3.6.1-1      </w:t>
      </w:r>
      <w:r>
        <w:rPr>
          <w:rFonts w:hint="eastAsia" w:ascii="Times New Roman" w:hAnsi="Times New Roman" w:eastAsia="仿宋" w:cs="Times New Roman"/>
          <w:b/>
          <w:color w:val="auto"/>
          <w:kern w:val="0"/>
          <w:sz w:val="28"/>
          <w:szCs w:val="20"/>
        </w:rPr>
        <w:t xml:space="preserve"> </w:t>
      </w:r>
      <w:r>
        <w:rPr>
          <w:rFonts w:hint="eastAsia" w:ascii="Times New Roman" w:hAnsi="Times New Roman" w:eastAsia="仿宋" w:cs="Times New Roman"/>
          <w:b/>
          <w:color w:val="auto"/>
          <w:kern w:val="0"/>
          <w:sz w:val="28"/>
          <w:szCs w:val="20"/>
          <w:lang w:val="en-US" w:eastAsia="zh-CN"/>
        </w:rPr>
        <w:t xml:space="preserve">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 xml:space="preserve">  岸坡稳定性指</w:t>
      </w:r>
      <w:bookmarkStart w:id="57" w:name="page46"/>
      <w:bookmarkEnd w:id="57"/>
      <w:r>
        <w:rPr>
          <w:rFonts w:ascii="Times New Roman" w:hAnsi="Times New Roman" w:eastAsia="仿宋" w:cs="Times New Roman"/>
          <w:b/>
          <w:color w:val="auto"/>
          <w:kern w:val="0"/>
          <w:sz w:val="28"/>
          <w:szCs w:val="20"/>
        </w:rPr>
        <w:t>数（BKS）赋分标准</w:t>
      </w:r>
    </w:p>
    <w:tbl>
      <w:tblPr>
        <w:tblStyle w:val="15"/>
        <w:tblW w:w="914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975"/>
        <w:gridCol w:w="1597"/>
        <w:gridCol w:w="1882"/>
        <w:gridCol w:w="1906"/>
        <w:gridCol w:w="178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c>
          <w:tcPr>
            <w:tcW w:w="1975"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岸坡特征</w:t>
            </w:r>
          </w:p>
        </w:tc>
        <w:tc>
          <w:tcPr>
            <w:tcW w:w="1597"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稳定</w:t>
            </w:r>
          </w:p>
        </w:tc>
        <w:tc>
          <w:tcPr>
            <w:tcW w:w="1882"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基本稳定</w:t>
            </w:r>
          </w:p>
        </w:tc>
        <w:tc>
          <w:tcPr>
            <w:tcW w:w="1906"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次不稳定</w:t>
            </w:r>
          </w:p>
        </w:tc>
        <w:tc>
          <w:tcPr>
            <w:tcW w:w="1787"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不稳定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c>
          <w:tcPr>
            <w:tcW w:w="1975"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分值</w:t>
            </w:r>
          </w:p>
        </w:tc>
        <w:tc>
          <w:tcPr>
            <w:tcW w:w="1597"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90</w:t>
            </w:r>
          </w:p>
        </w:tc>
        <w:tc>
          <w:tcPr>
            <w:tcW w:w="1882"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75</w:t>
            </w:r>
          </w:p>
        </w:tc>
        <w:tc>
          <w:tcPr>
            <w:tcW w:w="1906"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25</w:t>
            </w:r>
          </w:p>
        </w:tc>
        <w:tc>
          <w:tcPr>
            <w:tcW w:w="1787"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1975" w:type="dxa"/>
            <w:shd w:val="clear" w:color="auto" w:fill="auto"/>
            <w:vAlign w:val="center"/>
          </w:tcPr>
          <w:p>
            <w:pPr>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斜坡倾角（SA）</w:t>
            </w:r>
          </w:p>
          <w:p>
            <w:pPr>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（度）(&lt;)</w:t>
            </w:r>
          </w:p>
        </w:tc>
        <w:tc>
          <w:tcPr>
            <w:tcW w:w="1597"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15</w:t>
            </w:r>
          </w:p>
        </w:tc>
        <w:tc>
          <w:tcPr>
            <w:tcW w:w="1882"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30</w:t>
            </w:r>
          </w:p>
        </w:tc>
        <w:tc>
          <w:tcPr>
            <w:tcW w:w="1906"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45</w:t>
            </w:r>
          </w:p>
        </w:tc>
        <w:tc>
          <w:tcPr>
            <w:tcW w:w="1787"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c>
          <w:tcPr>
            <w:tcW w:w="1975" w:type="dxa"/>
            <w:tcBorders>
              <w:bottom w:val="single" w:color="auto" w:sz="8" w:space="0"/>
            </w:tcBorders>
            <w:shd w:val="clear" w:color="auto" w:fill="auto"/>
            <w:vAlign w:val="center"/>
          </w:tcPr>
          <w:p>
            <w:pPr>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植被覆盖度</w:t>
            </w:r>
          </w:p>
          <w:p>
            <w:pPr>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（SC）（%）(&gt;)</w:t>
            </w:r>
          </w:p>
        </w:tc>
        <w:tc>
          <w:tcPr>
            <w:tcW w:w="1597"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75%</w:t>
            </w:r>
          </w:p>
        </w:tc>
        <w:tc>
          <w:tcPr>
            <w:tcW w:w="1882"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50%</w:t>
            </w:r>
          </w:p>
        </w:tc>
        <w:tc>
          <w:tcPr>
            <w:tcW w:w="1906"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25%</w:t>
            </w:r>
          </w:p>
        </w:tc>
        <w:tc>
          <w:tcPr>
            <w:tcW w:w="1787"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c>
          <w:tcPr>
            <w:tcW w:w="1975" w:type="dxa"/>
            <w:tcBorders>
              <w:bottom w:val="single" w:color="auto" w:sz="8" w:space="0"/>
            </w:tcBorders>
            <w:shd w:val="clear" w:color="auto" w:fill="auto"/>
            <w:vAlign w:val="center"/>
          </w:tcPr>
          <w:p>
            <w:pPr>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岸坡高度（SH）</w:t>
            </w:r>
          </w:p>
          <w:p>
            <w:pPr>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（米）(&lt;)</w:t>
            </w:r>
          </w:p>
        </w:tc>
        <w:tc>
          <w:tcPr>
            <w:tcW w:w="1597"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1</w:t>
            </w:r>
          </w:p>
        </w:tc>
        <w:tc>
          <w:tcPr>
            <w:tcW w:w="1882"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2</w:t>
            </w:r>
          </w:p>
        </w:tc>
        <w:tc>
          <w:tcPr>
            <w:tcW w:w="1906"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3</w:t>
            </w:r>
          </w:p>
        </w:tc>
        <w:tc>
          <w:tcPr>
            <w:tcW w:w="1787"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1975" w:type="dxa"/>
            <w:tcBorders>
              <w:bottom w:val="single" w:color="auto" w:sz="8" w:space="0"/>
            </w:tcBorders>
            <w:shd w:val="clear" w:color="auto" w:fill="auto"/>
            <w:vAlign w:val="center"/>
          </w:tcPr>
          <w:p>
            <w:pPr>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河岸基质（SM）</w:t>
            </w:r>
          </w:p>
          <w:p>
            <w:pPr>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（类别）</w:t>
            </w:r>
          </w:p>
        </w:tc>
        <w:tc>
          <w:tcPr>
            <w:tcW w:w="1597"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基岩</w:t>
            </w:r>
          </w:p>
        </w:tc>
        <w:tc>
          <w:tcPr>
            <w:tcW w:w="1882"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岩土河岸</w:t>
            </w:r>
          </w:p>
        </w:tc>
        <w:tc>
          <w:tcPr>
            <w:tcW w:w="1906"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黏土河岸</w:t>
            </w:r>
          </w:p>
        </w:tc>
        <w:tc>
          <w:tcPr>
            <w:tcW w:w="1787"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非黏土河岸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c>
          <w:tcPr>
            <w:tcW w:w="1975" w:type="dxa"/>
            <w:tcBorders>
              <w:bottom w:val="single" w:color="auto" w:sz="8" w:space="0"/>
            </w:tcBorders>
            <w:shd w:val="clear" w:color="auto" w:fill="auto"/>
            <w:vAlign w:val="center"/>
          </w:tcPr>
          <w:p>
            <w:pPr>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坡脚冲刷强度</w:t>
            </w:r>
          </w:p>
          <w:p>
            <w:pPr>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（ST）</w:t>
            </w:r>
          </w:p>
        </w:tc>
        <w:tc>
          <w:tcPr>
            <w:tcW w:w="1597"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无冲刷迹象</w:t>
            </w:r>
          </w:p>
        </w:tc>
        <w:tc>
          <w:tcPr>
            <w:tcW w:w="1882"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轻度冲刷</w:t>
            </w:r>
          </w:p>
        </w:tc>
        <w:tc>
          <w:tcPr>
            <w:tcW w:w="1906"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中度冲刷</w:t>
            </w:r>
          </w:p>
        </w:tc>
        <w:tc>
          <w:tcPr>
            <w:tcW w:w="1787"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重度冲刷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57" w:hRule="atLeast"/>
        </w:trPr>
        <w:tc>
          <w:tcPr>
            <w:tcW w:w="1975" w:type="dxa"/>
            <w:tcBorders>
              <w:bottom w:val="single" w:color="auto" w:sz="8" w:space="0"/>
            </w:tcBorders>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总体特征描述</w:t>
            </w:r>
          </w:p>
        </w:tc>
        <w:tc>
          <w:tcPr>
            <w:tcW w:w="1597" w:type="dxa"/>
            <w:tcBorders>
              <w:bottom w:val="single" w:color="auto" w:sz="8" w:space="0"/>
            </w:tcBorders>
            <w:shd w:val="clear" w:color="auto" w:fill="auto"/>
            <w:vAlign w:val="center"/>
          </w:tcPr>
          <w:p>
            <w:pPr>
              <w:spacing w:line="380" w:lineRule="exact"/>
              <w:jc w:val="lef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近期内河岸不会发生变形破坏，无水土流失现象</w:t>
            </w:r>
          </w:p>
        </w:tc>
        <w:tc>
          <w:tcPr>
            <w:tcW w:w="1882" w:type="dxa"/>
            <w:tcBorders>
              <w:bottom w:val="single" w:color="auto" w:sz="8" w:space="0"/>
            </w:tcBorders>
            <w:shd w:val="clear" w:color="auto" w:fill="auto"/>
            <w:vAlign w:val="center"/>
          </w:tcPr>
          <w:p>
            <w:pPr>
              <w:jc w:val="lef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河岸结构有松动发育迹象，有水土流失迹象，但近期不会发生变形和破坏</w:t>
            </w:r>
          </w:p>
        </w:tc>
        <w:tc>
          <w:tcPr>
            <w:tcW w:w="1906" w:type="dxa"/>
            <w:tcBorders>
              <w:bottom w:val="single" w:color="auto" w:sz="8" w:space="0"/>
            </w:tcBorders>
            <w:shd w:val="clear" w:color="auto" w:fill="auto"/>
            <w:vAlign w:val="center"/>
          </w:tcPr>
          <w:p>
            <w:pPr>
              <w:jc w:val="lef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河岸松动裂痕发育趋势明显，一定条件下可以导致河岸变形和破坏，中度</w:t>
            </w:r>
          </w:p>
          <w:p>
            <w:pPr>
              <w:jc w:val="lef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水土流失。</w:t>
            </w:r>
          </w:p>
        </w:tc>
        <w:tc>
          <w:tcPr>
            <w:tcW w:w="1787" w:type="dxa"/>
            <w:shd w:val="clear" w:color="auto" w:fill="auto"/>
            <w:vAlign w:val="center"/>
          </w:tcPr>
          <w:p>
            <w:pPr>
              <w:jc w:val="left"/>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河岸水土流失严重，随时可能发生大的变形和破坏，或已经发生破坏。</w:t>
            </w:r>
          </w:p>
        </w:tc>
      </w:tr>
    </w:tbl>
    <w:p>
      <w:pPr>
        <w:spacing w:line="560" w:lineRule="exact"/>
        <w:ind w:firstLine="560" w:firstLineChars="200"/>
        <w:jc w:val="left"/>
        <w:rPr>
          <w:rFonts w:ascii="宋体" w:hAnsi="宋体" w:eastAsia="宋体" w:cs="宋体"/>
          <w:color w:val="auto"/>
          <w:kern w:val="0"/>
          <w:sz w:val="28"/>
          <w:szCs w:val="20"/>
        </w:rPr>
      </w:pPr>
    </w:p>
    <w:p>
      <w:pPr>
        <w:spacing w:line="560" w:lineRule="exact"/>
        <w:ind w:firstLine="560" w:firstLineChars="200"/>
        <w:jc w:val="left"/>
        <w:rPr>
          <w:rFonts w:ascii="Times New Roman" w:hAnsi="Times New Roman" w:eastAsia="仿宋" w:cs="Times New Roman"/>
          <w:color w:val="auto"/>
          <w:kern w:val="0"/>
          <w:sz w:val="28"/>
          <w:szCs w:val="20"/>
        </w:rPr>
      </w:pPr>
      <w:r>
        <w:rPr>
          <w:rFonts w:hint="eastAsia" w:ascii="宋体" w:hAnsi="宋体" w:eastAsia="宋体" w:cs="宋体"/>
          <w:color w:val="auto"/>
          <w:kern w:val="0"/>
          <w:sz w:val="28"/>
          <w:szCs w:val="20"/>
        </w:rPr>
        <w:t>②</w:t>
      </w:r>
      <w:r>
        <w:rPr>
          <w:rFonts w:ascii="Times New Roman" w:hAnsi="Times New Roman" w:eastAsia="仿宋" w:cs="Times New Roman"/>
          <w:color w:val="auto"/>
          <w:kern w:val="0"/>
          <w:sz w:val="28"/>
          <w:szCs w:val="20"/>
        </w:rPr>
        <w:t>河岸带植被覆盖度（RVS）</w:t>
      </w:r>
    </w:p>
    <w:p>
      <w:pPr>
        <w:spacing w:line="560" w:lineRule="exact"/>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采用直接评估赋分法，计算公式为：</w:t>
      </w:r>
    </w:p>
    <w:p>
      <w:pPr>
        <w:spacing w:line="560" w:lineRule="exact"/>
        <w:jc w:val="left"/>
        <w:rPr>
          <w:rFonts w:ascii="Times New Roman" w:hAnsi="Times New Roman" w:eastAsia="仿宋" w:cs="Times New Roman"/>
          <w:color w:val="auto"/>
          <w:kern w:val="0"/>
          <w:sz w:val="28"/>
          <w:szCs w:val="20"/>
        </w:rPr>
      </w:pPr>
      <w:r>
        <w:rPr>
          <w:rFonts w:ascii="Times New Roman" w:hAnsi="Times New Roman" w:eastAsia="宋体" w:cs="Times New Roman"/>
          <w:color w:val="auto"/>
          <w:kern w:val="0"/>
          <w:sz w:val="20"/>
          <w:szCs w:val="20"/>
        </w:rPr>
        <w:drawing>
          <wp:anchor distT="0" distB="0" distL="114300" distR="114300" simplePos="0" relativeHeight="251659264" behindDoc="0" locked="0" layoutInCell="1" allowOverlap="1">
            <wp:simplePos x="0" y="0"/>
            <wp:positionH relativeFrom="column">
              <wp:posOffset>2003425</wp:posOffset>
            </wp:positionH>
            <wp:positionV relativeFrom="paragraph">
              <wp:posOffset>30480</wp:posOffset>
            </wp:positionV>
            <wp:extent cx="1915160" cy="435610"/>
            <wp:effectExtent l="0" t="0" r="8890" b="254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915160" cy="435610"/>
                    </a:xfrm>
                    <a:prstGeom prst="rect">
                      <a:avLst/>
                    </a:prstGeom>
                    <a:noFill/>
                    <a:ln>
                      <a:noFill/>
                    </a:ln>
                  </pic:spPr>
                </pic:pic>
              </a:graphicData>
            </a:graphic>
          </wp:anchor>
        </w:drawing>
      </w:r>
    </w:p>
    <w:p>
      <w:pPr>
        <w:spacing w:line="560" w:lineRule="exact"/>
        <w:ind w:firstLine="555"/>
        <w:rPr>
          <w:rFonts w:ascii="Times New Roman" w:hAnsi="Times New Roman" w:eastAsia="仿宋" w:cs="Times New Roman"/>
          <w:color w:val="auto"/>
          <w:kern w:val="0"/>
          <w:sz w:val="28"/>
          <w:szCs w:val="20"/>
        </w:rPr>
      </w:pPr>
    </w:p>
    <w:p>
      <w:pPr>
        <w:spacing w:line="560" w:lineRule="exact"/>
        <w:ind w:firstLine="555"/>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式中，TCr、SCr、HCr 为评估区所在生态分区参考点的乔木、灌木及草本植物覆盖度，按表 3.6.1-2 进行赋分。</w:t>
      </w:r>
    </w:p>
    <w:p>
      <w:pPr>
        <w:spacing w:line="560" w:lineRule="exact"/>
        <w:ind w:firstLine="843" w:firstLineChars="300"/>
        <w:jc w:val="left"/>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 xml:space="preserve">表 3.6.1-2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 xml:space="preserve">  河岸带植被覆盖度（RVS）赋分标准</w:t>
      </w:r>
    </w:p>
    <w:tbl>
      <w:tblPr>
        <w:tblStyle w:val="15"/>
        <w:tblW w:w="932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4320"/>
        <w:gridCol w:w="2835"/>
        <w:gridCol w:w="216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57" w:hRule="atLeast"/>
        </w:trPr>
        <w:tc>
          <w:tcPr>
            <w:tcW w:w="432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植被覆盖度 （乔木、灌木、草本）</w:t>
            </w:r>
          </w:p>
        </w:tc>
        <w:tc>
          <w:tcPr>
            <w:tcW w:w="2835"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说明</w:t>
            </w:r>
          </w:p>
        </w:tc>
        <w:tc>
          <w:tcPr>
            <w:tcW w:w="2165"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赋分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trPr>
        <w:tc>
          <w:tcPr>
            <w:tcW w:w="432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0-10%</w:t>
            </w:r>
          </w:p>
        </w:tc>
        <w:tc>
          <w:tcPr>
            <w:tcW w:w="2835"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植被稀疏</w:t>
            </w:r>
          </w:p>
        </w:tc>
        <w:tc>
          <w:tcPr>
            <w:tcW w:w="2165"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trPr>
        <w:tc>
          <w:tcPr>
            <w:tcW w:w="432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10%-40%</w:t>
            </w:r>
          </w:p>
        </w:tc>
        <w:tc>
          <w:tcPr>
            <w:tcW w:w="2835"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中度覆盖</w:t>
            </w:r>
          </w:p>
        </w:tc>
        <w:tc>
          <w:tcPr>
            <w:tcW w:w="2165"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30~60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trPr>
        <w:tc>
          <w:tcPr>
            <w:tcW w:w="432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40%-75%</w:t>
            </w:r>
          </w:p>
        </w:tc>
        <w:tc>
          <w:tcPr>
            <w:tcW w:w="2835"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重度覆盖</w:t>
            </w:r>
          </w:p>
        </w:tc>
        <w:tc>
          <w:tcPr>
            <w:tcW w:w="2165"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60~100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9" w:hRule="atLeast"/>
        </w:trPr>
        <w:tc>
          <w:tcPr>
            <w:tcW w:w="432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&gt;75%</w:t>
            </w:r>
          </w:p>
        </w:tc>
        <w:tc>
          <w:tcPr>
            <w:tcW w:w="2835"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极重度覆盖</w:t>
            </w:r>
          </w:p>
        </w:tc>
        <w:tc>
          <w:tcPr>
            <w:tcW w:w="2165"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100</w:t>
            </w:r>
          </w:p>
        </w:tc>
      </w:tr>
    </w:tbl>
    <w:p>
      <w:pPr>
        <w:spacing w:line="560" w:lineRule="exact"/>
        <w:ind w:firstLine="560" w:firstLineChars="200"/>
        <w:rPr>
          <w:rFonts w:ascii="Times New Roman" w:hAnsi="Times New Roman" w:eastAsia="仿宋" w:cs="Times New Roman"/>
          <w:color w:val="auto"/>
          <w:kern w:val="0"/>
          <w:sz w:val="28"/>
          <w:szCs w:val="20"/>
        </w:rPr>
      </w:pPr>
      <w:r>
        <w:rPr>
          <w:rFonts w:hint="eastAsia" w:ascii="宋体" w:hAnsi="宋体" w:eastAsia="宋体" w:cs="宋体"/>
          <w:color w:val="auto"/>
          <w:kern w:val="0"/>
          <w:sz w:val="28"/>
          <w:szCs w:val="20"/>
        </w:rPr>
        <w:t>③</w:t>
      </w:r>
      <w:r>
        <w:rPr>
          <w:rFonts w:ascii="Times New Roman" w:hAnsi="Times New Roman" w:eastAsia="仿宋" w:cs="Times New Roman"/>
          <w:color w:val="auto"/>
          <w:kern w:val="0"/>
          <w:sz w:val="28"/>
          <w:szCs w:val="20"/>
        </w:rPr>
        <w:t>河岸带人工干扰程度（RD）</w:t>
      </w:r>
    </w:p>
    <w:p>
      <w:pPr>
        <w:spacing w:line="560" w:lineRule="exact"/>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重点调查评估在河岸带及其邻近陆域进行的 9</w:t>
      </w:r>
      <w:bookmarkStart w:id="58" w:name="page47"/>
      <w:bookmarkEnd w:id="58"/>
      <w:r>
        <w:rPr>
          <w:rFonts w:ascii="Times New Roman" w:hAnsi="Times New Roman" w:eastAsia="仿宋" w:cs="Times New Roman"/>
          <w:color w:val="auto"/>
          <w:kern w:val="0"/>
          <w:sz w:val="28"/>
          <w:szCs w:val="20"/>
        </w:rPr>
        <w:t xml:space="preserve"> 类人类活动包括：河岸</w:t>
      </w:r>
      <w:r>
        <w:rPr>
          <w:rFonts w:ascii="Times New Roman" w:hAnsi="Times New Roman" w:eastAsia="仿宋" w:cs="Times New Roman"/>
          <w:color w:val="auto"/>
          <w:kern w:val="0"/>
          <w:sz w:val="27"/>
          <w:szCs w:val="20"/>
        </w:rPr>
        <w:t>硬性砌护、采砂、沿岸建筑物（房屋）、公路（或铁路）、垃圾填埋场或垃</w:t>
      </w:r>
      <w:r>
        <w:rPr>
          <w:rFonts w:ascii="Times New Roman" w:hAnsi="Times New Roman" w:eastAsia="仿宋" w:cs="Times New Roman"/>
          <w:color w:val="auto"/>
          <w:kern w:val="0"/>
          <w:sz w:val="28"/>
          <w:szCs w:val="20"/>
        </w:rPr>
        <w:t>圾堆放、河滨公园、管道、采矿、农业耕种、畜牧养殖等。</w:t>
      </w:r>
    </w:p>
    <w:p>
      <w:pPr>
        <w:spacing w:line="560" w:lineRule="exact"/>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对评估区采用每出现一项人类活动减少其对应分值的方法进行河岸带人类影响评估。无上述 9 类活动的河段赋分为 100 分，根据所出现人类活动的类型及其位置减除相应的分值，直至 0分，具体如下表 3.6.1-3 所示。</w:t>
      </w:r>
    </w:p>
    <w:p>
      <w:pPr>
        <w:spacing w:line="560" w:lineRule="exact"/>
        <w:ind w:firstLine="562" w:firstLineChars="200"/>
        <w:jc w:val="left"/>
        <w:rPr>
          <w:rFonts w:ascii="Times New Roman" w:hAnsi="Times New Roman" w:eastAsia="仿宋" w:cs="Times New Roman"/>
          <w:b/>
          <w:color w:val="auto"/>
          <w:kern w:val="0"/>
          <w:sz w:val="28"/>
          <w:szCs w:val="20"/>
        </w:rPr>
      </w:pPr>
    </w:p>
    <w:p>
      <w:pPr>
        <w:pStyle w:val="2"/>
        <w:rPr>
          <w:rFonts w:ascii="Times New Roman" w:hAnsi="Times New Roman" w:eastAsia="仿宋" w:cs="Times New Roman"/>
          <w:b/>
          <w:color w:val="auto"/>
          <w:kern w:val="0"/>
          <w:sz w:val="28"/>
          <w:szCs w:val="20"/>
        </w:rPr>
      </w:pPr>
    </w:p>
    <w:p>
      <w:pPr>
        <w:pStyle w:val="2"/>
        <w:rPr>
          <w:rFonts w:ascii="Times New Roman" w:hAnsi="Times New Roman" w:eastAsia="仿宋" w:cs="Times New Roman"/>
          <w:b/>
          <w:color w:val="auto"/>
          <w:kern w:val="0"/>
          <w:sz w:val="28"/>
          <w:szCs w:val="20"/>
        </w:rPr>
      </w:pPr>
    </w:p>
    <w:p>
      <w:pPr>
        <w:spacing w:line="560" w:lineRule="exact"/>
        <w:ind w:firstLine="562" w:firstLineChars="200"/>
        <w:jc w:val="left"/>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 xml:space="preserve">表 3.6.1-3   </w:t>
      </w:r>
      <w:r>
        <w:rPr>
          <w:rFonts w:hint="eastAsia" w:ascii="Times New Roman" w:hAnsi="Times New Roman" w:eastAsia="仿宋" w:cs="Times New Roman"/>
          <w:b/>
          <w:color w:val="auto"/>
          <w:kern w:val="0"/>
          <w:sz w:val="28"/>
          <w:szCs w:val="20"/>
        </w:rPr>
        <w:t xml:space="preserve">  </w:t>
      </w:r>
      <w:r>
        <w:rPr>
          <w:rFonts w:hint="eastAsia" w:ascii="Times New Roman" w:hAnsi="Times New Roman" w:eastAsia="仿宋" w:cs="Times New Roman"/>
          <w:b/>
          <w:color w:val="auto"/>
          <w:kern w:val="0"/>
          <w:sz w:val="28"/>
          <w:szCs w:val="20"/>
          <w:lang w:val="en-US" w:eastAsia="zh-CN"/>
        </w:rPr>
        <w:t xml:space="preserve">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 xml:space="preserve"> 河岸带人工干扰程度（RD）赋分标准</w:t>
      </w:r>
    </w:p>
    <w:tbl>
      <w:tblPr>
        <w:tblStyle w:val="15"/>
        <w:tblW w:w="914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738"/>
        <w:gridCol w:w="3986"/>
        <w:gridCol w:w="342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37" w:hRule="atLeast"/>
        </w:trPr>
        <w:tc>
          <w:tcPr>
            <w:tcW w:w="1738"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序号</w:t>
            </w:r>
          </w:p>
        </w:tc>
        <w:tc>
          <w:tcPr>
            <w:tcW w:w="3986"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人类活动类型</w:t>
            </w:r>
          </w:p>
        </w:tc>
        <w:tc>
          <w:tcPr>
            <w:tcW w:w="3423"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赋分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4" w:hRule="atLeast"/>
        </w:trPr>
        <w:tc>
          <w:tcPr>
            <w:tcW w:w="1738"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1</w:t>
            </w:r>
          </w:p>
        </w:tc>
        <w:tc>
          <w:tcPr>
            <w:tcW w:w="3986"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河岸硬性砌护</w:t>
            </w:r>
          </w:p>
        </w:tc>
        <w:tc>
          <w:tcPr>
            <w:tcW w:w="3423"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hint="eastAsia" w:ascii="宋体" w:hAnsi="宋体" w:eastAsia="宋体" w:cs="宋体"/>
                <w:color w:val="auto"/>
                <w:kern w:val="0"/>
                <w:sz w:val="21"/>
                <w:szCs w:val="21"/>
              </w:rPr>
              <w:t>‐</w:t>
            </w:r>
            <w:r>
              <w:rPr>
                <w:rFonts w:ascii="Times New Roman" w:hAnsi="Times New Roman" w:eastAsia="仿宋" w:cs="Times New Roman"/>
                <w:color w:val="auto"/>
                <w:kern w:val="0"/>
                <w:sz w:val="21"/>
                <w:szCs w:val="21"/>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6" w:hRule="atLeast"/>
        </w:trPr>
        <w:tc>
          <w:tcPr>
            <w:tcW w:w="1738"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w:t>
            </w:r>
          </w:p>
        </w:tc>
        <w:tc>
          <w:tcPr>
            <w:tcW w:w="3986"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采砂</w:t>
            </w:r>
          </w:p>
        </w:tc>
        <w:tc>
          <w:tcPr>
            <w:tcW w:w="3423"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hint="eastAsia" w:ascii="宋体" w:hAnsi="宋体" w:eastAsia="宋体" w:cs="宋体"/>
                <w:color w:val="auto"/>
                <w:kern w:val="0"/>
                <w:sz w:val="21"/>
                <w:szCs w:val="21"/>
              </w:rPr>
              <w:t>‐</w:t>
            </w:r>
            <w:r>
              <w:rPr>
                <w:rFonts w:ascii="Times New Roman" w:hAnsi="Times New Roman" w:eastAsia="仿宋" w:cs="Times New Roman"/>
                <w:color w:val="auto"/>
                <w:kern w:val="0"/>
                <w:sz w:val="21"/>
                <w:szCs w:val="21"/>
              </w:rPr>
              <w:t>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4" w:hRule="atLeast"/>
        </w:trPr>
        <w:tc>
          <w:tcPr>
            <w:tcW w:w="1738"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3</w:t>
            </w:r>
          </w:p>
        </w:tc>
        <w:tc>
          <w:tcPr>
            <w:tcW w:w="3986"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沿岸建筑物（房屋）</w:t>
            </w:r>
          </w:p>
        </w:tc>
        <w:tc>
          <w:tcPr>
            <w:tcW w:w="3423"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hint="eastAsia" w:ascii="宋体" w:hAnsi="宋体" w:eastAsia="宋体" w:cs="宋体"/>
                <w:color w:val="auto"/>
                <w:kern w:val="0"/>
                <w:sz w:val="21"/>
                <w:szCs w:val="21"/>
              </w:rPr>
              <w:t>‐</w:t>
            </w:r>
            <w:r>
              <w:rPr>
                <w:rFonts w:ascii="Times New Roman" w:hAnsi="Times New Roman" w:eastAsia="仿宋" w:cs="Times New Roman"/>
                <w:color w:val="auto"/>
                <w:kern w:val="0"/>
                <w:sz w:val="21"/>
                <w:szCs w:val="21"/>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4" w:hRule="atLeast"/>
        </w:trPr>
        <w:tc>
          <w:tcPr>
            <w:tcW w:w="1738"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4</w:t>
            </w:r>
          </w:p>
        </w:tc>
        <w:tc>
          <w:tcPr>
            <w:tcW w:w="3986"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公路（或铁路）</w:t>
            </w:r>
          </w:p>
        </w:tc>
        <w:tc>
          <w:tcPr>
            <w:tcW w:w="3423"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hint="eastAsia" w:ascii="宋体" w:hAnsi="宋体" w:eastAsia="宋体" w:cs="宋体"/>
                <w:color w:val="auto"/>
                <w:kern w:val="0"/>
                <w:sz w:val="21"/>
                <w:szCs w:val="21"/>
              </w:rPr>
              <w:t>‐</w:t>
            </w:r>
            <w:r>
              <w:rPr>
                <w:rFonts w:ascii="Times New Roman" w:hAnsi="Times New Roman" w:eastAsia="仿宋" w:cs="Times New Roman"/>
                <w:color w:val="auto"/>
                <w:kern w:val="0"/>
                <w:sz w:val="21"/>
                <w:szCs w:val="21"/>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4" w:hRule="atLeast"/>
        </w:trPr>
        <w:tc>
          <w:tcPr>
            <w:tcW w:w="1738"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5</w:t>
            </w:r>
          </w:p>
        </w:tc>
        <w:tc>
          <w:tcPr>
            <w:tcW w:w="3986"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垃圾填埋场或垃圾堆放</w:t>
            </w:r>
          </w:p>
        </w:tc>
        <w:tc>
          <w:tcPr>
            <w:tcW w:w="3423"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hint="eastAsia" w:ascii="宋体" w:hAnsi="宋体" w:eastAsia="宋体" w:cs="宋体"/>
                <w:color w:val="auto"/>
                <w:kern w:val="0"/>
                <w:sz w:val="21"/>
                <w:szCs w:val="21"/>
              </w:rPr>
              <w:t>‐</w:t>
            </w:r>
            <w:r>
              <w:rPr>
                <w:rFonts w:ascii="Times New Roman" w:hAnsi="Times New Roman" w:eastAsia="仿宋" w:cs="Times New Roman"/>
                <w:color w:val="auto"/>
                <w:kern w:val="0"/>
                <w:sz w:val="21"/>
                <w:szCs w:val="21"/>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6" w:hRule="atLeast"/>
        </w:trPr>
        <w:tc>
          <w:tcPr>
            <w:tcW w:w="1738"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6</w:t>
            </w:r>
          </w:p>
        </w:tc>
        <w:tc>
          <w:tcPr>
            <w:tcW w:w="3986"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河滨公园</w:t>
            </w:r>
          </w:p>
        </w:tc>
        <w:tc>
          <w:tcPr>
            <w:tcW w:w="3423"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hint="eastAsia" w:ascii="宋体" w:hAnsi="宋体" w:eastAsia="宋体" w:cs="宋体"/>
                <w:color w:val="auto"/>
                <w:kern w:val="0"/>
                <w:sz w:val="21"/>
                <w:szCs w:val="21"/>
              </w:rPr>
              <w:t>‐</w:t>
            </w:r>
            <w:r>
              <w:rPr>
                <w:rFonts w:ascii="Times New Roman" w:hAnsi="Times New Roman" w:eastAsia="仿宋" w:cs="Times New Roman"/>
                <w:color w:val="auto"/>
                <w:kern w:val="0"/>
                <w:sz w:val="21"/>
                <w:szCs w:val="21"/>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4" w:hRule="atLeast"/>
        </w:trPr>
        <w:tc>
          <w:tcPr>
            <w:tcW w:w="1738"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7</w:t>
            </w:r>
          </w:p>
        </w:tc>
        <w:tc>
          <w:tcPr>
            <w:tcW w:w="3986"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管道</w:t>
            </w:r>
          </w:p>
        </w:tc>
        <w:tc>
          <w:tcPr>
            <w:tcW w:w="3423"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hint="eastAsia" w:ascii="宋体" w:hAnsi="宋体" w:eastAsia="宋体" w:cs="宋体"/>
                <w:color w:val="auto"/>
                <w:kern w:val="0"/>
                <w:sz w:val="21"/>
                <w:szCs w:val="21"/>
              </w:rPr>
              <w:t>‐</w:t>
            </w:r>
            <w:r>
              <w:rPr>
                <w:rFonts w:ascii="Times New Roman" w:hAnsi="Times New Roman" w:eastAsia="仿宋" w:cs="Times New Roman"/>
                <w:color w:val="auto"/>
                <w:kern w:val="0"/>
                <w:sz w:val="21"/>
                <w:szCs w:val="21"/>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4" w:hRule="atLeast"/>
        </w:trPr>
        <w:tc>
          <w:tcPr>
            <w:tcW w:w="1738"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8</w:t>
            </w:r>
          </w:p>
        </w:tc>
        <w:tc>
          <w:tcPr>
            <w:tcW w:w="3986"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农业耕种</w:t>
            </w:r>
          </w:p>
        </w:tc>
        <w:tc>
          <w:tcPr>
            <w:tcW w:w="3423"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hint="eastAsia" w:ascii="宋体" w:hAnsi="宋体" w:eastAsia="宋体" w:cs="宋体"/>
                <w:color w:val="auto"/>
                <w:kern w:val="0"/>
                <w:sz w:val="21"/>
                <w:szCs w:val="21"/>
              </w:rPr>
              <w:t>‐</w:t>
            </w:r>
            <w:r>
              <w:rPr>
                <w:rFonts w:ascii="Times New Roman" w:hAnsi="Times New Roman" w:eastAsia="仿宋" w:cs="Times New Roman"/>
                <w:color w:val="auto"/>
                <w:kern w:val="0"/>
                <w:sz w:val="21"/>
                <w:szCs w:val="21"/>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4" w:hRule="atLeast"/>
        </w:trPr>
        <w:tc>
          <w:tcPr>
            <w:tcW w:w="1738"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9</w:t>
            </w:r>
          </w:p>
        </w:tc>
        <w:tc>
          <w:tcPr>
            <w:tcW w:w="3986"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畜牧养殖</w:t>
            </w:r>
          </w:p>
        </w:tc>
        <w:tc>
          <w:tcPr>
            <w:tcW w:w="3423"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hint="eastAsia" w:ascii="宋体" w:hAnsi="宋体" w:eastAsia="宋体" w:cs="宋体"/>
                <w:color w:val="auto"/>
                <w:kern w:val="0"/>
                <w:sz w:val="21"/>
                <w:szCs w:val="21"/>
              </w:rPr>
              <w:t>‐</w:t>
            </w:r>
            <w:r>
              <w:rPr>
                <w:rFonts w:ascii="Times New Roman" w:hAnsi="Times New Roman" w:eastAsia="仿宋" w:cs="Times New Roman"/>
                <w:color w:val="auto"/>
                <w:kern w:val="0"/>
                <w:sz w:val="21"/>
                <w:szCs w:val="21"/>
              </w:rPr>
              <w:t>10</w:t>
            </w:r>
          </w:p>
        </w:tc>
      </w:tr>
    </w:tbl>
    <w:p>
      <w:pPr>
        <w:spacing w:line="560" w:lineRule="exact"/>
        <w:jc w:val="left"/>
        <w:rPr>
          <w:rFonts w:ascii="宋体" w:hAnsi="宋体" w:eastAsia="宋体" w:cs="宋体"/>
          <w:color w:val="auto"/>
          <w:kern w:val="0"/>
          <w:sz w:val="28"/>
          <w:szCs w:val="20"/>
        </w:rPr>
      </w:pPr>
    </w:p>
    <w:p>
      <w:pPr>
        <w:spacing w:line="360" w:lineRule="auto"/>
        <w:ind w:firstLine="560" w:firstLineChars="200"/>
        <w:jc w:val="left"/>
        <w:rPr>
          <w:rFonts w:ascii="Times New Roman" w:hAnsi="Times New Roman" w:eastAsia="仿宋" w:cs="Times New Roman"/>
          <w:color w:val="auto"/>
          <w:kern w:val="0"/>
          <w:sz w:val="28"/>
          <w:szCs w:val="20"/>
        </w:rPr>
      </w:pPr>
      <w:r>
        <w:rPr>
          <w:rFonts w:hint="eastAsia" w:ascii="宋体" w:hAnsi="宋体" w:eastAsia="宋体" w:cs="宋体"/>
          <w:color w:val="auto"/>
          <w:kern w:val="0"/>
          <w:sz w:val="28"/>
          <w:szCs w:val="20"/>
        </w:rPr>
        <w:t>④</w:t>
      </w:r>
      <w:r>
        <w:rPr>
          <w:rFonts w:ascii="Times New Roman" w:hAnsi="Times New Roman" w:eastAsia="仿宋" w:cs="Times New Roman"/>
          <w:color w:val="auto"/>
          <w:kern w:val="0"/>
          <w:sz w:val="28"/>
          <w:szCs w:val="20"/>
        </w:rPr>
        <w:t>河岸带状况分数计算</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河岸带状况分数在上述三个指标的基础上计算，公式为：</w:t>
      </w:r>
    </w:p>
    <w:p>
      <w:pPr>
        <w:spacing w:line="360" w:lineRule="auto"/>
        <w:ind w:firstLine="2240" w:firstLineChars="8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RSr= BKSr × BKSw+RVSr × RVSw+RDr × RDw</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8"/>
        </w:rPr>
        <w:t>式中，BKSw、RVSw、RDw 分别为岸坡稳定性指数、河岸带植被覆盖度与河岸带人工干扰程度的指标权重，分别取 0.25、0.5 与 0.25。式中变量如</w:t>
      </w:r>
      <w:r>
        <w:rPr>
          <w:rFonts w:ascii="Times New Roman" w:hAnsi="Times New Roman" w:eastAsia="仿宋" w:cs="Times New Roman"/>
          <w:color w:val="auto"/>
          <w:kern w:val="0"/>
          <w:sz w:val="28"/>
          <w:szCs w:val="20"/>
        </w:rPr>
        <w:t>表 3.6.1-4 所示。</w:t>
      </w:r>
    </w:p>
    <w:p>
      <w:pPr>
        <w:spacing w:line="360" w:lineRule="auto"/>
        <w:ind w:firstLine="562" w:firstLineChars="200"/>
        <w:jc w:val="left"/>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 xml:space="preserve">表 3.6.1-4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 xml:space="preserve">  河岸带状况指标赋分公式变量说明表</w:t>
      </w:r>
    </w:p>
    <w:tbl>
      <w:tblPr>
        <w:tblStyle w:val="15"/>
        <w:tblW w:w="914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755"/>
        <w:gridCol w:w="1212"/>
        <w:gridCol w:w="2924"/>
        <w:gridCol w:w="1628"/>
        <w:gridCol w:w="162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2" w:hRule="atLeast"/>
        </w:trPr>
        <w:tc>
          <w:tcPr>
            <w:tcW w:w="1755"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指标</w:t>
            </w:r>
          </w:p>
        </w:tc>
        <w:tc>
          <w:tcPr>
            <w:tcW w:w="1212" w:type="dxa"/>
            <w:shd w:val="clear" w:color="auto" w:fill="auto"/>
            <w:vAlign w:val="bottom"/>
          </w:tcPr>
          <w:p>
            <w:pPr>
              <w:spacing w:line="380" w:lineRule="exact"/>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标记</w:t>
            </w:r>
          </w:p>
        </w:tc>
        <w:tc>
          <w:tcPr>
            <w:tcW w:w="2924"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分指标</w:t>
            </w:r>
          </w:p>
        </w:tc>
        <w:tc>
          <w:tcPr>
            <w:tcW w:w="1628" w:type="dxa"/>
            <w:shd w:val="clear" w:color="auto" w:fill="auto"/>
            <w:vAlign w:val="bottom"/>
          </w:tcPr>
          <w:p>
            <w:pPr>
              <w:spacing w:line="380" w:lineRule="exact"/>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标记</w:t>
            </w:r>
          </w:p>
        </w:tc>
        <w:tc>
          <w:tcPr>
            <w:tcW w:w="1628"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建议权重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2" w:hRule="atLeast"/>
        </w:trPr>
        <w:tc>
          <w:tcPr>
            <w:tcW w:w="1755" w:type="dxa"/>
            <w:vMerge w:val="restart"/>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河岸带状况</w:t>
            </w:r>
          </w:p>
        </w:tc>
        <w:tc>
          <w:tcPr>
            <w:tcW w:w="1212" w:type="dxa"/>
            <w:vMerge w:val="restart"/>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RSr</w:t>
            </w:r>
          </w:p>
        </w:tc>
        <w:tc>
          <w:tcPr>
            <w:tcW w:w="2924"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岸坡稳定性</w:t>
            </w:r>
          </w:p>
        </w:tc>
        <w:tc>
          <w:tcPr>
            <w:tcW w:w="1628"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BKSr</w:t>
            </w:r>
          </w:p>
        </w:tc>
        <w:tc>
          <w:tcPr>
            <w:tcW w:w="1628"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2" w:hRule="atLeast"/>
        </w:trPr>
        <w:tc>
          <w:tcPr>
            <w:tcW w:w="1755" w:type="dxa"/>
            <w:vMerge w:val="continue"/>
            <w:shd w:val="clear" w:color="auto" w:fill="auto"/>
            <w:vAlign w:val="center"/>
          </w:tcPr>
          <w:p>
            <w:pPr>
              <w:spacing w:line="380" w:lineRule="exact"/>
              <w:jc w:val="center"/>
              <w:rPr>
                <w:rFonts w:ascii="Times New Roman" w:hAnsi="Times New Roman" w:eastAsia="仿宋" w:cs="Times New Roman"/>
                <w:color w:val="auto"/>
                <w:kern w:val="0"/>
                <w:sz w:val="21"/>
                <w:szCs w:val="21"/>
              </w:rPr>
            </w:pPr>
          </w:p>
        </w:tc>
        <w:tc>
          <w:tcPr>
            <w:tcW w:w="1212" w:type="dxa"/>
            <w:vMerge w:val="continue"/>
            <w:shd w:val="clear" w:color="auto" w:fill="auto"/>
            <w:vAlign w:val="center"/>
          </w:tcPr>
          <w:p>
            <w:pPr>
              <w:spacing w:line="380" w:lineRule="exact"/>
              <w:jc w:val="center"/>
              <w:rPr>
                <w:rFonts w:ascii="Times New Roman" w:hAnsi="Times New Roman" w:eastAsia="仿宋" w:cs="Times New Roman"/>
                <w:color w:val="auto"/>
                <w:kern w:val="0"/>
                <w:sz w:val="21"/>
                <w:szCs w:val="21"/>
              </w:rPr>
            </w:pPr>
          </w:p>
        </w:tc>
        <w:tc>
          <w:tcPr>
            <w:tcW w:w="2924"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河岸植被覆盖率</w:t>
            </w:r>
          </w:p>
        </w:tc>
        <w:tc>
          <w:tcPr>
            <w:tcW w:w="1628"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BVCr</w:t>
            </w:r>
          </w:p>
        </w:tc>
        <w:tc>
          <w:tcPr>
            <w:tcW w:w="1628"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2" w:hRule="atLeast"/>
        </w:trPr>
        <w:tc>
          <w:tcPr>
            <w:tcW w:w="1755" w:type="dxa"/>
            <w:vMerge w:val="continue"/>
            <w:shd w:val="clear" w:color="auto" w:fill="auto"/>
            <w:vAlign w:val="center"/>
          </w:tcPr>
          <w:p>
            <w:pPr>
              <w:spacing w:line="380" w:lineRule="exact"/>
              <w:jc w:val="center"/>
              <w:rPr>
                <w:rFonts w:ascii="Times New Roman" w:hAnsi="Times New Roman" w:eastAsia="仿宋" w:cs="Times New Roman"/>
                <w:color w:val="auto"/>
                <w:kern w:val="0"/>
                <w:sz w:val="21"/>
                <w:szCs w:val="21"/>
              </w:rPr>
            </w:pPr>
          </w:p>
        </w:tc>
        <w:tc>
          <w:tcPr>
            <w:tcW w:w="1212" w:type="dxa"/>
            <w:vMerge w:val="continue"/>
            <w:shd w:val="clear" w:color="auto" w:fill="auto"/>
            <w:vAlign w:val="center"/>
          </w:tcPr>
          <w:p>
            <w:pPr>
              <w:spacing w:line="380" w:lineRule="exact"/>
              <w:jc w:val="center"/>
              <w:rPr>
                <w:rFonts w:ascii="Times New Roman" w:hAnsi="Times New Roman" w:eastAsia="仿宋" w:cs="Times New Roman"/>
                <w:color w:val="auto"/>
                <w:kern w:val="0"/>
                <w:sz w:val="21"/>
                <w:szCs w:val="21"/>
              </w:rPr>
            </w:pPr>
          </w:p>
        </w:tc>
        <w:tc>
          <w:tcPr>
            <w:tcW w:w="2924"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河岸人工干扰程度</w:t>
            </w:r>
            <w:bookmarkStart w:id="59" w:name="page48"/>
            <w:bookmarkEnd w:id="59"/>
          </w:p>
        </w:tc>
        <w:tc>
          <w:tcPr>
            <w:tcW w:w="1628"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RDr</w:t>
            </w:r>
          </w:p>
        </w:tc>
        <w:tc>
          <w:tcPr>
            <w:tcW w:w="1628"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0.25</w:t>
            </w:r>
          </w:p>
        </w:tc>
      </w:tr>
    </w:tbl>
    <w:p>
      <w:pPr>
        <w:spacing w:line="360" w:lineRule="auto"/>
        <w:ind w:firstLine="560" w:firstLineChars="200"/>
        <w:jc w:val="left"/>
        <w:rPr>
          <w:rFonts w:ascii="Times New Roman" w:hAnsi="Times New Roman" w:eastAsia="仿宋" w:cs="Times New Roman"/>
          <w:color w:val="auto"/>
          <w:kern w:val="0"/>
          <w:sz w:val="28"/>
          <w:szCs w:val="20"/>
        </w:rPr>
      </w:pP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（2）河流连通阻隔状况（RC）</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河流连通阻隔状况主要调查评估河流对鱼类等生物物种迁徙及水流与营养物质传递阻断状况，重点调查评估断面以下至河口河段的特征。</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对评估区每个闸坝按照阻隔分类分别赋分，然后取所有闸坝的最小赋分，按照下式计算评估断面以下河流纵向连续性赋分。</w:t>
      </w:r>
    </w:p>
    <w:p>
      <w:pPr>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RCr = 100 + min[(DAMr)</w:t>
      </w:r>
      <w:r>
        <w:rPr>
          <w:rFonts w:ascii="Times New Roman" w:hAnsi="Times New Roman" w:eastAsia="仿宋" w:cs="Times New Roman"/>
          <w:color w:val="auto"/>
          <w:kern w:val="0"/>
          <w:sz w:val="28"/>
          <w:szCs w:val="28"/>
          <w:vertAlign w:val="subscript"/>
        </w:rPr>
        <w:t>i</w:t>
      </w:r>
      <w:r>
        <w:rPr>
          <w:rFonts w:ascii="Times New Roman" w:hAnsi="Times New Roman" w:eastAsia="仿宋" w:cs="Times New Roman"/>
          <w:color w:val="auto"/>
          <w:kern w:val="0"/>
          <w:sz w:val="28"/>
          <w:szCs w:val="28"/>
        </w:rPr>
        <w:t>]</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式中，RCr 为评估区连通阻隔状况赋分； (DAMr)</w:t>
      </w:r>
      <w:r>
        <w:rPr>
          <w:rFonts w:ascii="Times New Roman" w:hAnsi="Times New Roman" w:eastAsia="仿宋" w:cs="Times New Roman"/>
          <w:color w:val="auto"/>
          <w:kern w:val="0"/>
          <w:sz w:val="28"/>
          <w:szCs w:val="28"/>
          <w:vertAlign w:val="subscript"/>
        </w:rPr>
        <w:t>i</w:t>
      </w:r>
      <w:r>
        <w:rPr>
          <w:rFonts w:ascii="Times New Roman" w:hAnsi="Times New Roman" w:eastAsia="仿宋" w:cs="Times New Roman"/>
          <w:color w:val="auto"/>
          <w:kern w:val="0"/>
          <w:sz w:val="28"/>
          <w:szCs w:val="28"/>
        </w:rPr>
        <w:t>为评估区大坝阻隔赋分（i=1，n</w:t>
      </w:r>
      <w:r>
        <w:rPr>
          <w:rFonts w:ascii="Times New Roman" w:hAnsi="Times New Roman" w:eastAsia="仿宋" w:cs="Times New Roman"/>
          <w:color w:val="auto"/>
          <w:kern w:val="0"/>
          <w:sz w:val="28"/>
          <w:szCs w:val="28"/>
          <w:vertAlign w:val="subscript"/>
        </w:rPr>
        <w:t>Dam</w:t>
      </w:r>
      <w:r>
        <w:rPr>
          <w:rFonts w:ascii="Times New Roman" w:hAnsi="Times New Roman" w:eastAsia="仿宋" w:cs="Times New Roman"/>
          <w:color w:val="auto"/>
          <w:kern w:val="0"/>
          <w:sz w:val="28"/>
          <w:szCs w:val="28"/>
        </w:rPr>
        <w:t>），n</w:t>
      </w:r>
      <w:r>
        <w:rPr>
          <w:rFonts w:ascii="Times New Roman" w:hAnsi="Times New Roman" w:eastAsia="仿宋" w:cs="Times New Roman"/>
          <w:color w:val="auto"/>
          <w:kern w:val="0"/>
          <w:sz w:val="28"/>
          <w:szCs w:val="28"/>
          <w:vertAlign w:val="subscript"/>
        </w:rPr>
        <w:t>Dam</w:t>
      </w:r>
      <w:r>
        <w:rPr>
          <w:rFonts w:ascii="Times New Roman" w:hAnsi="Times New Roman" w:eastAsia="仿宋" w:cs="Times New Roman"/>
          <w:color w:val="auto"/>
          <w:kern w:val="0"/>
          <w:sz w:val="28"/>
          <w:szCs w:val="28"/>
        </w:rPr>
        <w:t>为大坝座数。(DAMr)</w:t>
      </w:r>
      <w:r>
        <w:rPr>
          <w:rFonts w:ascii="Times New Roman" w:hAnsi="Times New Roman" w:eastAsia="仿宋" w:cs="Times New Roman"/>
          <w:color w:val="auto"/>
          <w:kern w:val="0"/>
          <w:sz w:val="28"/>
          <w:szCs w:val="28"/>
          <w:vertAlign w:val="subscript"/>
        </w:rPr>
        <w:t>i</w:t>
      </w:r>
      <w:r>
        <w:rPr>
          <w:rFonts w:ascii="Times New Roman" w:hAnsi="Times New Roman" w:eastAsia="仿宋" w:cs="Times New Roman"/>
          <w:color w:val="auto"/>
          <w:kern w:val="0"/>
          <w:sz w:val="28"/>
          <w:szCs w:val="28"/>
        </w:rPr>
        <w:t xml:space="preserve"> 按下表 3.6.1-5 进行赋分。</w:t>
      </w:r>
    </w:p>
    <w:p>
      <w:pPr>
        <w:spacing w:line="360" w:lineRule="auto"/>
        <w:ind w:firstLine="560" w:firstLineChars="200"/>
        <w:rPr>
          <w:rFonts w:ascii="Times New Roman" w:hAnsi="Times New Roman" w:eastAsia="仿宋" w:cs="Times New Roman"/>
          <w:color w:val="auto"/>
          <w:kern w:val="0"/>
          <w:sz w:val="28"/>
          <w:szCs w:val="28"/>
        </w:rPr>
      </w:pPr>
    </w:p>
    <w:p>
      <w:pPr>
        <w:spacing w:line="360" w:lineRule="auto"/>
        <w:ind w:firstLine="984" w:firstLineChars="350"/>
        <w:jc w:val="left"/>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 xml:space="preserve">表 3.6.1-5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 xml:space="preserve">    闸坝阻隔赋分表</w:t>
      </w:r>
    </w:p>
    <w:tbl>
      <w:tblPr>
        <w:tblStyle w:val="15"/>
        <w:tblW w:w="914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3416"/>
        <w:gridCol w:w="4500"/>
        <w:gridCol w:w="123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29" w:hRule="atLeast"/>
          <w:jc w:val="center"/>
        </w:trPr>
        <w:tc>
          <w:tcPr>
            <w:tcW w:w="3416"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鱼类迁移阻隔特征</w:t>
            </w:r>
          </w:p>
        </w:tc>
        <w:tc>
          <w:tcPr>
            <w:tcW w:w="4500"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水量及物质流通阻隔特征</w:t>
            </w:r>
          </w:p>
        </w:tc>
        <w:tc>
          <w:tcPr>
            <w:tcW w:w="1231"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赋分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 w:hRule="atLeast"/>
          <w:jc w:val="center"/>
        </w:trPr>
        <w:tc>
          <w:tcPr>
            <w:tcW w:w="3416"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无阻隔</w:t>
            </w:r>
          </w:p>
        </w:tc>
        <w:tc>
          <w:tcPr>
            <w:tcW w:w="4500"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对径流没有调节作用</w:t>
            </w:r>
          </w:p>
        </w:tc>
        <w:tc>
          <w:tcPr>
            <w:tcW w:w="1231"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 w:hRule="atLeast"/>
          <w:jc w:val="center"/>
        </w:trPr>
        <w:tc>
          <w:tcPr>
            <w:tcW w:w="3416" w:type="dxa"/>
            <w:tcBorders>
              <w:bottom w:val="single" w:color="auto" w:sz="8" w:space="0"/>
            </w:tcBorders>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有鱼道，且正常运行</w:t>
            </w:r>
          </w:p>
        </w:tc>
        <w:tc>
          <w:tcPr>
            <w:tcW w:w="4500" w:type="dxa"/>
            <w:tcBorders>
              <w:bottom w:val="single" w:color="auto" w:sz="8" w:space="0"/>
            </w:tcBorders>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对径流有调节，下泄流量满足生态基流</w:t>
            </w:r>
          </w:p>
        </w:tc>
        <w:tc>
          <w:tcPr>
            <w:tcW w:w="1231"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06" w:hRule="atLeast"/>
          <w:jc w:val="center"/>
        </w:trPr>
        <w:tc>
          <w:tcPr>
            <w:tcW w:w="3416" w:type="dxa"/>
            <w:tcBorders>
              <w:bottom w:val="single" w:color="auto" w:sz="8" w:space="0"/>
            </w:tcBorders>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无鱼道，对部分鱼类迁移有阻隔作用</w:t>
            </w:r>
          </w:p>
        </w:tc>
        <w:tc>
          <w:tcPr>
            <w:tcW w:w="4500" w:type="dxa"/>
            <w:tcBorders>
              <w:bottom w:val="single" w:color="auto" w:sz="8" w:space="0"/>
            </w:tcBorders>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对径流有调节，下泄流量不满足生态基流</w:t>
            </w:r>
          </w:p>
        </w:tc>
        <w:tc>
          <w:tcPr>
            <w:tcW w:w="1231"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-75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7" w:hRule="atLeast"/>
          <w:jc w:val="center"/>
        </w:trPr>
        <w:tc>
          <w:tcPr>
            <w:tcW w:w="3416"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迁移通道完全阻隔</w:t>
            </w:r>
          </w:p>
        </w:tc>
        <w:tc>
          <w:tcPr>
            <w:tcW w:w="4500"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部分时间导致断流</w:t>
            </w:r>
          </w:p>
        </w:tc>
        <w:tc>
          <w:tcPr>
            <w:tcW w:w="1231"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-100</w:t>
            </w:r>
          </w:p>
        </w:tc>
      </w:tr>
    </w:tbl>
    <w:p>
      <w:pPr>
        <w:spacing w:line="360" w:lineRule="auto"/>
        <w:ind w:firstLine="560" w:firstLineChars="200"/>
        <w:jc w:val="left"/>
        <w:rPr>
          <w:rFonts w:hint="eastAsia" w:ascii="Times New Roman" w:hAnsi="Times New Roman" w:eastAsia="仿宋" w:cs="Times New Roman"/>
          <w:color w:val="auto"/>
          <w:kern w:val="0"/>
          <w:sz w:val="28"/>
          <w:szCs w:val="20"/>
        </w:rPr>
      </w:pPr>
    </w:p>
    <w:p>
      <w:pPr>
        <w:spacing w:line="360" w:lineRule="auto"/>
        <w:ind w:firstLine="560" w:firstLineChars="200"/>
        <w:jc w:val="left"/>
        <w:rPr>
          <w:rFonts w:ascii="Times New Roman" w:hAnsi="Times New Roman" w:eastAsia="仿宋" w:cs="Times New Roman"/>
          <w:color w:val="auto"/>
          <w:kern w:val="0"/>
          <w:sz w:val="28"/>
          <w:szCs w:val="20"/>
        </w:rPr>
      </w:pPr>
      <w:r>
        <w:rPr>
          <w:rFonts w:hint="eastAsia" w:ascii="Times New Roman" w:hAnsi="Times New Roman" w:eastAsia="仿宋" w:cs="Times New Roman"/>
          <w:color w:val="auto"/>
          <w:kern w:val="0"/>
          <w:sz w:val="28"/>
          <w:szCs w:val="20"/>
        </w:rPr>
        <w:t>（3）天然湿地保留率（NWL）</w:t>
      </w:r>
    </w:p>
    <w:p>
      <w:pPr>
        <w:spacing w:line="360" w:lineRule="auto"/>
        <w:ind w:firstLine="560" w:firstLineChars="200"/>
        <w:jc w:val="left"/>
        <w:rPr>
          <w:rFonts w:ascii="Times New Roman" w:hAnsi="Times New Roman" w:eastAsia="仿宋" w:cs="Times New Roman"/>
          <w:color w:val="auto"/>
          <w:kern w:val="0"/>
          <w:sz w:val="28"/>
          <w:szCs w:val="20"/>
        </w:rPr>
      </w:pPr>
      <w:r>
        <w:rPr>
          <w:rFonts w:hint="eastAsia" w:ascii="Times New Roman" w:hAnsi="Times New Roman" w:eastAsia="仿宋" w:cs="Times New Roman"/>
          <w:color w:val="auto"/>
          <w:kern w:val="0"/>
          <w:sz w:val="28"/>
          <w:szCs w:val="20"/>
        </w:rPr>
        <w:t>天然湿地保留率指国家、地方等湿地面积与历史（1980s）状况湿地面积的比例。</w:t>
      </w:r>
    </w:p>
    <w:p>
      <w:pPr>
        <w:spacing w:line="360" w:lineRule="auto"/>
        <w:ind w:firstLine="560" w:firstLineChars="200"/>
        <w:jc w:val="left"/>
        <w:rPr>
          <w:rFonts w:ascii="Times New Roman" w:hAnsi="Times New Roman" w:eastAsia="仿宋" w:cs="Times New Roman"/>
          <w:color w:val="auto"/>
          <w:kern w:val="0"/>
          <w:sz w:val="28"/>
          <w:szCs w:val="20"/>
        </w:rPr>
      </w:pPr>
      <w:r>
        <w:rPr>
          <w:rFonts w:hint="eastAsia" w:ascii="Times New Roman" w:hAnsi="Times New Roman" w:eastAsia="仿宋" w:cs="Times New Roman"/>
          <w:color w:val="auto"/>
          <w:kern w:val="0"/>
          <w:sz w:val="28"/>
          <w:szCs w:val="20"/>
        </w:rPr>
        <w:t>天然湿地保留率指标计算公式如下：</w:t>
      </w:r>
    </w:p>
    <w:p>
      <w:pPr>
        <w:spacing w:line="360" w:lineRule="auto"/>
        <w:jc w:val="left"/>
        <w:rPr>
          <w:rFonts w:ascii="Times New Roman" w:hAnsi="Times New Roman" w:eastAsia="仿宋" w:cs="Times New Roman"/>
          <w:color w:val="auto"/>
          <w:kern w:val="0"/>
          <w:sz w:val="28"/>
          <w:szCs w:val="20"/>
        </w:rPr>
      </w:pPr>
      <m:oMathPara>
        <m:oMath>
          <m:r>
            <m:rPr>
              <m:sty m:val="p"/>
            </m:rPr>
            <w:rPr>
              <w:rFonts w:ascii="Cambria Math" w:hAnsi="Cambria Math" w:eastAsia="仿宋" w:cs="Times New Roman"/>
              <w:color w:val="auto"/>
              <w:kern w:val="0"/>
              <w:sz w:val="28"/>
              <w:szCs w:val="20"/>
            </w:rPr>
            <m:t>NWL=</m:t>
          </m:r>
          <m:f>
            <m:fPr>
              <m:ctrlPr>
                <w:rPr>
                  <w:rFonts w:ascii="Cambria Math" w:hAnsi="Cambria Math" w:eastAsia="仿宋" w:cs="Times New Roman"/>
                  <w:color w:val="auto"/>
                  <w:kern w:val="0"/>
                  <w:sz w:val="28"/>
                  <w:szCs w:val="20"/>
                </w:rPr>
              </m:ctrlPr>
            </m:fPr>
            <m:num>
              <m:nary>
                <m:naryPr>
                  <m:chr m:val="∑"/>
                  <m:limLoc m:val="undOvr"/>
                  <m:ctrlPr>
                    <w:rPr>
                      <w:rFonts w:ascii="Cambria Math" w:hAnsi="Cambria Math" w:eastAsia="仿宋" w:cs="Times New Roman"/>
                      <w:color w:val="auto"/>
                      <w:kern w:val="0"/>
                      <w:sz w:val="28"/>
                      <w:szCs w:val="20"/>
                    </w:rPr>
                  </m:ctrlPr>
                </m:naryPr>
                <m:sub>
                  <m:r>
                    <m:rPr/>
                    <w:rPr>
                      <w:rFonts w:ascii="Cambria Math" w:hAnsi="Cambria Math" w:eastAsia="仿宋" w:cs="Times New Roman"/>
                      <w:color w:val="auto"/>
                      <w:kern w:val="0"/>
                      <w:sz w:val="28"/>
                      <w:szCs w:val="20"/>
                    </w:rPr>
                    <m:t>n=1</m:t>
                  </m:r>
                  <m:ctrlPr>
                    <w:rPr>
                      <w:rFonts w:ascii="Cambria Math" w:hAnsi="Cambria Math" w:eastAsia="仿宋" w:cs="Times New Roman"/>
                      <w:color w:val="auto"/>
                      <w:kern w:val="0"/>
                      <w:sz w:val="28"/>
                      <w:szCs w:val="20"/>
                    </w:rPr>
                  </m:ctrlPr>
                </m:sub>
                <m:sup>
                  <m:r>
                    <m:rPr/>
                    <w:rPr>
                      <w:rFonts w:ascii="Cambria Math" w:hAnsi="Cambria Math" w:eastAsia="仿宋" w:cs="Times New Roman"/>
                      <w:color w:val="auto"/>
                      <w:kern w:val="0"/>
                      <w:sz w:val="28"/>
                      <w:szCs w:val="20"/>
                    </w:rPr>
                    <m:t>Ns</m:t>
                  </m:r>
                  <m:ctrlPr>
                    <w:rPr>
                      <w:rFonts w:ascii="Cambria Math" w:hAnsi="Cambria Math" w:eastAsia="仿宋" w:cs="Times New Roman"/>
                      <w:color w:val="auto"/>
                      <w:kern w:val="0"/>
                      <w:sz w:val="28"/>
                      <w:szCs w:val="20"/>
                    </w:rPr>
                  </m:ctrlPr>
                </m:sup>
                <m:e>
                  <m:r>
                    <m:rPr/>
                    <w:rPr>
                      <w:rFonts w:ascii="Cambria Math" w:hAnsi="Cambria Math" w:eastAsia="仿宋" w:cs="Times New Roman"/>
                      <w:color w:val="auto"/>
                      <w:kern w:val="0"/>
                      <w:sz w:val="28"/>
                      <w:szCs w:val="20"/>
                    </w:rPr>
                    <m:t>A</m:t>
                  </m:r>
                  <m:sSub>
                    <m:sSubPr>
                      <m:ctrlPr>
                        <w:rPr>
                          <w:rFonts w:ascii="Cambria Math" w:hAnsi="Cambria Math" w:eastAsia="仿宋" w:cs="Times New Roman"/>
                          <w:i/>
                          <w:color w:val="auto"/>
                          <w:kern w:val="0"/>
                          <w:sz w:val="28"/>
                          <w:szCs w:val="20"/>
                        </w:rPr>
                      </m:ctrlPr>
                    </m:sSubPr>
                    <m:e>
                      <m:r>
                        <m:rPr/>
                        <w:rPr>
                          <w:rFonts w:ascii="Cambria Math" w:hAnsi="Cambria Math" w:eastAsia="仿宋" w:cs="Times New Roman"/>
                          <w:color w:val="auto"/>
                          <w:kern w:val="0"/>
                          <w:sz w:val="28"/>
                          <w:szCs w:val="20"/>
                        </w:rPr>
                        <m:t>W</m:t>
                      </m:r>
                      <m:ctrlPr>
                        <w:rPr>
                          <w:rFonts w:ascii="Cambria Math" w:hAnsi="Cambria Math" w:eastAsia="仿宋" w:cs="Times New Roman"/>
                          <w:i/>
                          <w:color w:val="auto"/>
                          <w:kern w:val="0"/>
                          <w:sz w:val="28"/>
                          <w:szCs w:val="20"/>
                        </w:rPr>
                      </m:ctrlPr>
                    </m:e>
                    <m:sub>
                      <m:r>
                        <m:rPr/>
                        <w:rPr>
                          <w:rFonts w:ascii="Cambria Math" w:hAnsi="Cambria Math" w:eastAsia="仿宋" w:cs="Times New Roman"/>
                          <w:color w:val="auto"/>
                          <w:kern w:val="0"/>
                          <w:sz w:val="28"/>
                          <w:szCs w:val="20"/>
                        </w:rPr>
                        <m:t>n</m:t>
                      </m:r>
                      <m:ctrlPr>
                        <w:rPr>
                          <w:rFonts w:ascii="Cambria Math" w:hAnsi="Cambria Math" w:eastAsia="仿宋" w:cs="Times New Roman"/>
                          <w:i/>
                          <w:color w:val="auto"/>
                          <w:kern w:val="0"/>
                          <w:sz w:val="28"/>
                          <w:szCs w:val="20"/>
                        </w:rPr>
                      </m:ctrlPr>
                    </m:sub>
                  </m:sSub>
                  <m:ctrlPr>
                    <w:rPr>
                      <w:rFonts w:ascii="Cambria Math" w:hAnsi="Cambria Math" w:eastAsia="仿宋" w:cs="Times New Roman"/>
                      <w:color w:val="auto"/>
                      <w:kern w:val="0"/>
                      <w:sz w:val="28"/>
                      <w:szCs w:val="20"/>
                    </w:rPr>
                  </m:ctrlPr>
                </m:e>
              </m:nary>
              <m:ctrlPr>
                <w:rPr>
                  <w:rFonts w:ascii="Cambria Math" w:hAnsi="Cambria Math" w:eastAsia="仿宋" w:cs="Times New Roman"/>
                  <w:color w:val="auto"/>
                  <w:kern w:val="0"/>
                  <w:sz w:val="28"/>
                  <w:szCs w:val="20"/>
                </w:rPr>
              </m:ctrlPr>
            </m:num>
            <m:den>
              <m:nary>
                <m:naryPr>
                  <m:chr m:val="∑"/>
                  <m:limLoc m:val="undOvr"/>
                  <m:ctrlPr>
                    <w:rPr>
                      <w:rFonts w:ascii="Cambria Math" w:hAnsi="Cambria Math" w:eastAsia="仿宋" w:cs="Times New Roman"/>
                      <w:i/>
                      <w:color w:val="auto"/>
                      <w:kern w:val="0"/>
                      <w:sz w:val="28"/>
                      <w:szCs w:val="20"/>
                    </w:rPr>
                  </m:ctrlPr>
                </m:naryPr>
                <m:sub>
                  <m:r>
                    <m:rPr/>
                    <w:rPr>
                      <w:rFonts w:ascii="Cambria Math" w:hAnsi="Cambria Math" w:eastAsia="仿宋" w:cs="Times New Roman"/>
                      <w:color w:val="auto"/>
                      <w:kern w:val="0"/>
                      <w:sz w:val="28"/>
                      <w:szCs w:val="20"/>
                    </w:rPr>
                    <m:t>n=1</m:t>
                  </m:r>
                  <m:ctrlPr>
                    <w:rPr>
                      <w:rFonts w:ascii="Cambria Math" w:hAnsi="Cambria Math" w:eastAsia="仿宋" w:cs="Times New Roman"/>
                      <w:i/>
                      <w:color w:val="auto"/>
                      <w:kern w:val="0"/>
                      <w:sz w:val="28"/>
                      <w:szCs w:val="20"/>
                    </w:rPr>
                  </m:ctrlPr>
                </m:sub>
                <m:sup>
                  <m:r>
                    <m:rPr/>
                    <w:rPr>
                      <w:rFonts w:ascii="Cambria Math" w:hAnsi="Cambria Math" w:eastAsia="仿宋" w:cs="Times New Roman"/>
                      <w:color w:val="auto"/>
                      <w:kern w:val="0"/>
                      <w:sz w:val="28"/>
                      <w:szCs w:val="20"/>
                    </w:rPr>
                    <m:t>Ns</m:t>
                  </m:r>
                  <m:ctrlPr>
                    <w:rPr>
                      <w:rFonts w:ascii="Cambria Math" w:hAnsi="Cambria Math" w:eastAsia="仿宋" w:cs="Times New Roman"/>
                      <w:i/>
                      <w:color w:val="auto"/>
                      <w:kern w:val="0"/>
                      <w:sz w:val="28"/>
                      <w:szCs w:val="20"/>
                    </w:rPr>
                  </m:ctrlPr>
                </m:sup>
                <m:e>
                  <m:r>
                    <m:rPr/>
                    <w:rPr>
                      <w:rFonts w:ascii="Cambria Math" w:hAnsi="Cambria Math" w:eastAsia="仿宋" w:cs="Times New Roman"/>
                      <w:color w:val="auto"/>
                      <w:kern w:val="0"/>
                      <w:sz w:val="28"/>
                      <w:szCs w:val="20"/>
                    </w:rPr>
                    <m:t>A</m:t>
                  </m:r>
                  <m:ctrlPr>
                    <w:rPr>
                      <w:rFonts w:ascii="Cambria Math" w:hAnsi="Cambria Math" w:eastAsia="仿宋" w:cs="Times New Roman"/>
                      <w:i/>
                      <w:color w:val="auto"/>
                      <w:kern w:val="0"/>
                      <w:sz w:val="28"/>
                      <w:szCs w:val="20"/>
                    </w:rPr>
                  </m:ctrlPr>
                </m:e>
              </m:nary>
              <m:r>
                <m:rPr/>
                <w:rPr>
                  <w:rFonts w:ascii="Cambria Math" w:hAnsi="Cambria Math" w:eastAsia="仿宋" w:cs="Times New Roman"/>
                  <w:color w:val="auto"/>
                  <w:kern w:val="0"/>
                  <w:sz w:val="28"/>
                  <w:szCs w:val="20"/>
                </w:rPr>
                <m:t>W</m:t>
              </m:r>
              <m:sSub>
                <m:sSubPr>
                  <m:ctrlPr>
                    <w:rPr>
                      <w:rFonts w:ascii="Cambria Math" w:hAnsi="Cambria Math" w:eastAsia="仿宋" w:cs="Times New Roman"/>
                      <w:i/>
                      <w:color w:val="auto"/>
                      <w:kern w:val="0"/>
                      <w:sz w:val="28"/>
                      <w:szCs w:val="20"/>
                    </w:rPr>
                  </m:ctrlPr>
                </m:sSubPr>
                <m:e>
                  <m:r>
                    <m:rPr/>
                    <w:rPr>
                      <w:rFonts w:ascii="Cambria Math" w:hAnsi="Cambria Math" w:eastAsia="仿宋" w:cs="Times New Roman"/>
                      <w:color w:val="auto"/>
                      <w:kern w:val="0"/>
                      <w:sz w:val="28"/>
                      <w:szCs w:val="20"/>
                    </w:rPr>
                    <m:t>R</m:t>
                  </m:r>
                  <m:ctrlPr>
                    <w:rPr>
                      <w:rFonts w:ascii="Cambria Math" w:hAnsi="Cambria Math" w:eastAsia="仿宋" w:cs="Times New Roman"/>
                      <w:i/>
                      <w:color w:val="auto"/>
                      <w:kern w:val="0"/>
                      <w:sz w:val="28"/>
                      <w:szCs w:val="20"/>
                    </w:rPr>
                  </m:ctrlPr>
                </m:e>
                <m:sub>
                  <m:r>
                    <m:rPr/>
                    <w:rPr>
                      <w:rFonts w:ascii="Cambria Math" w:hAnsi="Cambria Math" w:eastAsia="仿宋" w:cs="Times New Roman"/>
                      <w:color w:val="auto"/>
                      <w:kern w:val="0"/>
                      <w:sz w:val="28"/>
                      <w:szCs w:val="20"/>
                    </w:rPr>
                    <m:t>n</m:t>
                  </m:r>
                  <m:ctrlPr>
                    <w:rPr>
                      <w:rFonts w:ascii="Cambria Math" w:hAnsi="Cambria Math" w:eastAsia="仿宋" w:cs="Times New Roman"/>
                      <w:i/>
                      <w:color w:val="auto"/>
                      <w:kern w:val="0"/>
                      <w:sz w:val="28"/>
                      <w:szCs w:val="20"/>
                    </w:rPr>
                  </m:ctrlPr>
                </m:sub>
              </m:sSub>
              <m:ctrlPr>
                <w:rPr>
                  <w:rFonts w:ascii="Cambria Math" w:hAnsi="Cambria Math" w:eastAsia="仿宋" w:cs="Times New Roman"/>
                  <w:color w:val="auto"/>
                  <w:kern w:val="0"/>
                  <w:sz w:val="28"/>
                  <w:szCs w:val="20"/>
                </w:rPr>
              </m:ctrlPr>
            </m:den>
          </m:f>
        </m:oMath>
      </m:oMathPara>
    </w:p>
    <w:p>
      <w:pPr>
        <w:spacing w:line="360" w:lineRule="auto"/>
        <w:ind w:firstLine="560" w:firstLineChars="200"/>
        <w:jc w:val="left"/>
        <w:rPr>
          <w:rFonts w:ascii="Times New Roman" w:hAnsi="Times New Roman" w:eastAsia="仿宋" w:cs="Times New Roman"/>
          <w:color w:val="auto"/>
          <w:kern w:val="0"/>
          <w:sz w:val="28"/>
          <w:szCs w:val="20"/>
        </w:rPr>
      </w:pPr>
      <w:r>
        <w:rPr>
          <w:rFonts w:hint="eastAsia" w:ascii="Times New Roman" w:hAnsi="Times New Roman" w:eastAsia="仿宋" w:cs="Times New Roman"/>
          <w:color w:val="auto"/>
          <w:kern w:val="0"/>
          <w:sz w:val="28"/>
          <w:szCs w:val="20"/>
        </w:rPr>
        <w:t>式中，NWL为天然湿地保留率，AW为评估基准年天然湿地面积（km</w:t>
      </w:r>
      <w:r>
        <w:rPr>
          <w:rFonts w:hint="eastAsia" w:ascii="Times New Roman" w:hAnsi="Times New Roman" w:eastAsia="仿宋" w:cs="Times New Roman"/>
          <w:color w:val="auto"/>
          <w:kern w:val="0"/>
          <w:sz w:val="28"/>
          <w:szCs w:val="20"/>
          <w:vertAlign w:val="superscript"/>
        </w:rPr>
        <w:t>2</w:t>
      </w:r>
      <w:r>
        <w:rPr>
          <w:rFonts w:hint="eastAsia" w:ascii="Times New Roman" w:hAnsi="Times New Roman" w:eastAsia="仿宋" w:cs="Times New Roman"/>
          <w:color w:val="auto"/>
          <w:kern w:val="0"/>
          <w:sz w:val="28"/>
          <w:szCs w:val="20"/>
        </w:rPr>
        <w:t>），AWR为历史（1980s）以前的湿地面积（km</w:t>
      </w:r>
      <w:r>
        <w:rPr>
          <w:rFonts w:hint="eastAsia" w:ascii="Times New Roman" w:hAnsi="Times New Roman" w:eastAsia="仿宋" w:cs="Times New Roman"/>
          <w:color w:val="auto"/>
          <w:kern w:val="0"/>
          <w:sz w:val="28"/>
          <w:szCs w:val="20"/>
          <w:vertAlign w:val="superscript"/>
        </w:rPr>
        <w:t>2</w:t>
      </w:r>
      <w:r>
        <w:rPr>
          <w:rFonts w:hint="eastAsia" w:ascii="Times New Roman" w:hAnsi="Times New Roman" w:eastAsia="仿宋" w:cs="Times New Roman"/>
          <w:color w:val="auto"/>
          <w:kern w:val="0"/>
          <w:sz w:val="28"/>
          <w:szCs w:val="20"/>
        </w:rPr>
        <w:t>），NS为与评估河段有水力联系的湿地个数。</w:t>
      </w:r>
    </w:p>
    <w:p>
      <w:pPr>
        <w:spacing w:line="360" w:lineRule="auto"/>
        <w:ind w:firstLine="560" w:firstLineChars="200"/>
        <w:jc w:val="left"/>
        <w:rPr>
          <w:rFonts w:ascii="Times New Roman" w:hAnsi="Times New Roman" w:eastAsia="仿宋" w:cs="Times New Roman"/>
          <w:color w:val="auto"/>
          <w:kern w:val="0"/>
          <w:sz w:val="28"/>
          <w:szCs w:val="20"/>
        </w:rPr>
      </w:pPr>
      <w:r>
        <w:rPr>
          <w:rFonts w:hint="eastAsia" w:ascii="Times New Roman" w:hAnsi="Times New Roman" w:eastAsia="仿宋" w:cs="Times New Roman"/>
          <w:color w:val="auto"/>
          <w:kern w:val="0"/>
          <w:sz w:val="28"/>
          <w:szCs w:val="20"/>
        </w:rPr>
        <w:t>其赋分标准如表3.6.1-6所示。</w:t>
      </w:r>
    </w:p>
    <w:p>
      <w:pPr>
        <w:spacing w:line="360" w:lineRule="auto"/>
        <w:ind w:firstLine="562" w:firstLineChars="200"/>
        <w:jc w:val="left"/>
        <w:rPr>
          <w:rFonts w:ascii="Times New Roman" w:hAnsi="Times New Roman" w:eastAsia="仿宋" w:cs="Times New Roman"/>
          <w:b/>
          <w:color w:val="auto"/>
          <w:kern w:val="0"/>
          <w:sz w:val="28"/>
          <w:szCs w:val="20"/>
        </w:rPr>
      </w:pPr>
      <w:r>
        <w:rPr>
          <w:rFonts w:hint="eastAsia" w:ascii="Times New Roman" w:hAnsi="Times New Roman" w:eastAsia="仿宋" w:cs="Times New Roman"/>
          <w:b/>
          <w:color w:val="auto"/>
          <w:kern w:val="0"/>
          <w:sz w:val="28"/>
          <w:szCs w:val="20"/>
        </w:rPr>
        <w:t>表3.6.1-6              天然湿地保留率赋分标准表</w:t>
      </w:r>
    </w:p>
    <w:tbl>
      <w:tblPr>
        <w:tblStyle w:val="16"/>
        <w:tblW w:w="9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47"/>
        <w:gridCol w:w="3046"/>
        <w:gridCol w:w="3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047" w:type="dxa"/>
          </w:tcPr>
          <w:p>
            <w:pPr>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rPr>
              <w:t>天然湿地保留率</w:t>
            </w:r>
          </w:p>
        </w:tc>
        <w:tc>
          <w:tcPr>
            <w:tcW w:w="3046" w:type="dxa"/>
          </w:tcPr>
          <w:p>
            <w:pPr>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rPr>
              <w:t>赋分</w:t>
            </w:r>
          </w:p>
        </w:tc>
        <w:tc>
          <w:tcPr>
            <w:tcW w:w="3044" w:type="dxa"/>
          </w:tcPr>
          <w:p>
            <w:pPr>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047" w:type="dxa"/>
          </w:tcPr>
          <w:p>
            <w:pPr>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rPr>
              <w:t>93%</w:t>
            </w:r>
          </w:p>
        </w:tc>
        <w:tc>
          <w:tcPr>
            <w:tcW w:w="3046" w:type="dxa"/>
          </w:tcPr>
          <w:p>
            <w:pPr>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rPr>
              <w:t>100</w:t>
            </w:r>
          </w:p>
        </w:tc>
        <w:tc>
          <w:tcPr>
            <w:tcW w:w="3044" w:type="dxa"/>
          </w:tcPr>
          <w:p>
            <w:pPr>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rPr>
              <w:t>接近参考状况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047" w:type="dxa"/>
          </w:tcPr>
          <w:p>
            <w:pPr>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rPr>
              <w:t>86%</w:t>
            </w:r>
          </w:p>
        </w:tc>
        <w:tc>
          <w:tcPr>
            <w:tcW w:w="3046" w:type="dxa"/>
          </w:tcPr>
          <w:p>
            <w:pPr>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rPr>
              <w:t>75</w:t>
            </w:r>
          </w:p>
        </w:tc>
        <w:tc>
          <w:tcPr>
            <w:tcW w:w="3044" w:type="dxa"/>
          </w:tcPr>
          <w:p>
            <w:pPr>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rPr>
              <w:t>与参考状况有较小差异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047" w:type="dxa"/>
          </w:tcPr>
          <w:p>
            <w:pPr>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rPr>
              <w:t>72%</w:t>
            </w:r>
          </w:p>
        </w:tc>
        <w:tc>
          <w:tcPr>
            <w:tcW w:w="3046" w:type="dxa"/>
          </w:tcPr>
          <w:p>
            <w:pPr>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rPr>
              <w:t>50</w:t>
            </w:r>
          </w:p>
        </w:tc>
        <w:tc>
          <w:tcPr>
            <w:tcW w:w="3044" w:type="dxa"/>
          </w:tcPr>
          <w:p>
            <w:pPr>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rPr>
              <w:t>与参考状况有中度差异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047" w:type="dxa"/>
          </w:tcPr>
          <w:p>
            <w:pPr>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rPr>
              <w:t>44%</w:t>
            </w:r>
          </w:p>
        </w:tc>
        <w:tc>
          <w:tcPr>
            <w:tcW w:w="3046" w:type="dxa"/>
          </w:tcPr>
          <w:p>
            <w:pPr>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rPr>
              <w:t>25</w:t>
            </w:r>
          </w:p>
        </w:tc>
        <w:tc>
          <w:tcPr>
            <w:tcW w:w="3044" w:type="dxa"/>
          </w:tcPr>
          <w:p>
            <w:pPr>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rPr>
              <w:t>与参考状况有较大差异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047" w:type="dxa"/>
          </w:tcPr>
          <w:p>
            <w:pPr>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rPr>
              <w:t>16%</w:t>
            </w:r>
          </w:p>
        </w:tc>
        <w:tc>
          <w:tcPr>
            <w:tcW w:w="3046" w:type="dxa"/>
          </w:tcPr>
          <w:p>
            <w:pPr>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rPr>
              <w:t>0</w:t>
            </w:r>
          </w:p>
        </w:tc>
        <w:tc>
          <w:tcPr>
            <w:tcW w:w="3044" w:type="dxa"/>
          </w:tcPr>
          <w:p>
            <w:pPr>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rPr>
              <w:t>与参考状况有显著差异</w:t>
            </w:r>
          </w:p>
        </w:tc>
      </w:tr>
    </w:tbl>
    <w:p>
      <w:pPr>
        <w:spacing w:line="360" w:lineRule="auto"/>
        <w:ind w:firstLine="560" w:firstLineChars="200"/>
        <w:jc w:val="left"/>
        <w:rPr>
          <w:rFonts w:ascii="Times New Roman" w:hAnsi="Times New Roman" w:eastAsia="仿宋" w:cs="Times New Roman"/>
          <w:color w:val="auto"/>
          <w:kern w:val="0"/>
          <w:sz w:val="28"/>
          <w:szCs w:val="20"/>
        </w:rPr>
      </w:pP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w:t>
      </w:r>
      <w:r>
        <w:rPr>
          <w:rFonts w:hint="eastAsia" w:ascii="Times New Roman" w:hAnsi="Times New Roman" w:eastAsia="仿宋" w:cs="Times New Roman"/>
          <w:color w:val="auto"/>
          <w:kern w:val="0"/>
          <w:sz w:val="28"/>
          <w:szCs w:val="20"/>
        </w:rPr>
        <w:t>4</w:t>
      </w:r>
      <w:r>
        <w:rPr>
          <w:rFonts w:ascii="Times New Roman" w:hAnsi="Times New Roman" w:eastAsia="仿宋" w:cs="Times New Roman"/>
          <w:color w:val="auto"/>
          <w:kern w:val="0"/>
          <w:sz w:val="28"/>
          <w:szCs w:val="20"/>
        </w:rPr>
        <w:t>）物理结构准则层（PF）赋分方法</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 xml:space="preserve">物理结构准则层（PF）包括 </w:t>
      </w:r>
      <w:r>
        <w:rPr>
          <w:rFonts w:hint="eastAsia" w:ascii="Times New Roman" w:hAnsi="Times New Roman" w:eastAsia="仿宋" w:cs="Times New Roman"/>
          <w:color w:val="auto"/>
          <w:kern w:val="0"/>
          <w:sz w:val="28"/>
          <w:szCs w:val="20"/>
        </w:rPr>
        <w:t>3</w:t>
      </w:r>
      <w:r>
        <w:rPr>
          <w:rFonts w:ascii="Times New Roman" w:hAnsi="Times New Roman" w:eastAsia="仿宋" w:cs="Times New Roman"/>
          <w:color w:val="auto"/>
          <w:kern w:val="0"/>
          <w:sz w:val="28"/>
          <w:szCs w:val="20"/>
        </w:rPr>
        <w:t xml:space="preserve"> 个指标，其赋分（PFr）下式计算：</w:t>
      </w:r>
    </w:p>
    <w:p>
      <w:pPr>
        <w:spacing w:line="360" w:lineRule="auto"/>
        <w:jc w:val="center"/>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PFr=RSr × RSw+RCr × RCw</w:t>
      </w:r>
      <w:r>
        <w:rPr>
          <w:rFonts w:hint="eastAsia" w:ascii="Times New Roman" w:hAnsi="Times New Roman" w:eastAsia="仿宋" w:cs="Times New Roman"/>
          <w:color w:val="auto"/>
          <w:kern w:val="0"/>
          <w:sz w:val="28"/>
          <w:szCs w:val="20"/>
        </w:rPr>
        <w:t>+NWLr</w:t>
      </w:r>
      <w:r>
        <w:rPr>
          <w:rFonts w:ascii="Times New Roman" w:hAnsi="Times New Roman" w:eastAsia="仿宋" w:cs="Times New Roman"/>
          <w:color w:val="auto"/>
          <w:kern w:val="0"/>
          <w:sz w:val="28"/>
          <w:szCs w:val="20"/>
        </w:rPr>
        <w:t>×</w:t>
      </w:r>
      <w:r>
        <w:rPr>
          <w:rFonts w:hint="eastAsia" w:ascii="Times New Roman" w:hAnsi="Times New Roman" w:eastAsia="仿宋" w:cs="Times New Roman"/>
          <w:color w:val="auto"/>
          <w:kern w:val="0"/>
          <w:sz w:val="28"/>
          <w:szCs w:val="20"/>
        </w:rPr>
        <w:t>NWLw</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式中，RSr </w:t>
      </w:r>
      <w:r>
        <w:rPr>
          <w:rFonts w:hint="eastAsia" w:ascii="Times New Roman" w:hAnsi="Times New Roman" w:eastAsia="仿宋" w:cs="Times New Roman"/>
          <w:color w:val="auto"/>
          <w:kern w:val="0"/>
          <w:sz w:val="28"/>
          <w:szCs w:val="28"/>
        </w:rPr>
        <w:t>、</w:t>
      </w:r>
      <w:r>
        <w:rPr>
          <w:rFonts w:ascii="Times New Roman" w:hAnsi="Times New Roman" w:eastAsia="仿宋" w:cs="Times New Roman"/>
          <w:color w:val="auto"/>
          <w:kern w:val="0"/>
          <w:sz w:val="28"/>
          <w:szCs w:val="28"/>
        </w:rPr>
        <w:t xml:space="preserve">RCr </w:t>
      </w:r>
      <w:r>
        <w:rPr>
          <w:rFonts w:hint="eastAsia" w:ascii="Times New Roman" w:hAnsi="Times New Roman" w:eastAsia="仿宋" w:cs="Times New Roman"/>
          <w:color w:val="auto"/>
          <w:kern w:val="0"/>
          <w:sz w:val="28"/>
          <w:szCs w:val="28"/>
        </w:rPr>
        <w:t>和</w:t>
      </w:r>
      <w:r>
        <w:rPr>
          <w:rFonts w:hint="eastAsia" w:ascii="Times New Roman" w:hAnsi="Times New Roman" w:eastAsia="仿宋" w:cs="Times New Roman"/>
          <w:color w:val="auto"/>
          <w:kern w:val="0"/>
          <w:sz w:val="28"/>
          <w:szCs w:val="20"/>
        </w:rPr>
        <w:t>NWLr</w:t>
      </w:r>
      <w:r>
        <w:rPr>
          <w:rFonts w:ascii="Times New Roman" w:hAnsi="Times New Roman" w:eastAsia="仿宋" w:cs="Times New Roman"/>
          <w:color w:val="auto"/>
          <w:kern w:val="0"/>
          <w:sz w:val="28"/>
          <w:szCs w:val="28"/>
        </w:rPr>
        <w:t>分别为河岸带状况</w:t>
      </w:r>
      <w:r>
        <w:rPr>
          <w:rFonts w:hint="eastAsia" w:ascii="Times New Roman" w:hAnsi="Times New Roman" w:eastAsia="仿宋" w:cs="Times New Roman"/>
          <w:color w:val="auto"/>
          <w:kern w:val="0"/>
          <w:sz w:val="28"/>
          <w:szCs w:val="28"/>
        </w:rPr>
        <w:t>、</w:t>
      </w:r>
      <w:r>
        <w:rPr>
          <w:rFonts w:ascii="Times New Roman" w:hAnsi="Times New Roman" w:eastAsia="仿宋" w:cs="Times New Roman"/>
          <w:color w:val="auto"/>
          <w:kern w:val="0"/>
          <w:sz w:val="28"/>
          <w:szCs w:val="28"/>
        </w:rPr>
        <w:t>河流连通阻隔状况</w:t>
      </w:r>
      <w:r>
        <w:rPr>
          <w:rFonts w:hint="eastAsia" w:ascii="Times New Roman" w:hAnsi="Times New Roman" w:eastAsia="仿宋" w:cs="Times New Roman"/>
          <w:color w:val="auto"/>
          <w:kern w:val="0"/>
          <w:sz w:val="28"/>
          <w:szCs w:val="28"/>
        </w:rPr>
        <w:t>和湿地保留率</w:t>
      </w:r>
      <w:r>
        <w:rPr>
          <w:rFonts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rPr>
        <w:t>变量如表3.6.1-7所示。</w:t>
      </w:r>
    </w:p>
    <w:p>
      <w:pPr>
        <w:spacing w:line="360" w:lineRule="auto"/>
        <w:ind w:firstLine="562" w:firstLineChars="200"/>
        <w:jc w:val="left"/>
        <w:rPr>
          <w:rFonts w:ascii="Times New Roman" w:hAnsi="Times New Roman" w:eastAsia="仿宋" w:cs="Times New Roman"/>
          <w:b/>
          <w:color w:val="auto"/>
          <w:kern w:val="0"/>
          <w:sz w:val="28"/>
          <w:szCs w:val="20"/>
        </w:rPr>
      </w:pPr>
      <w:r>
        <w:rPr>
          <w:rFonts w:hint="eastAsia" w:ascii="Times New Roman" w:hAnsi="Times New Roman" w:eastAsia="仿宋" w:cs="Times New Roman"/>
          <w:b/>
          <w:color w:val="auto"/>
          <w:kern w:val="0"/>
          <w:sz w:val="28"/>
          <w:szCs w:val="20"/>
        </w:rPr>
        <w:t xml:space="preserve">表3.6.1-7        </w:t>
      </w:r>
      <w:r>
        <w:rPr>
          <w:rFonts w:hint="eastAsia" w:ascii="Times New Roman" w:hAnsi="Times New Roman" w:eastAsia="仿宋" w:cs="Times New Roman"/>
          <w:b/>
          <w:color w:val="auto"/>
          <w:kern w:val="0"/>
          <w:sz w:val="28"/>
          <w:szCs w:val="20"/>
          <w:lang w:val="en-US" w:eastAsia="zh-CN"/>
        </w:rPr>
        <w:t xml:space="preserve">   </w:t>
      </w:r>
      <w:r>
        <w:rPr>
          <w:rFonts w:hint="eastAsia" w:ascii="Times New Roman" w:hAnsi="Times New Roman" w:eastAsia="仿宋" w:cs="Times New Roman"/>
          <w:b/>
          <w:color w:val="auto"/>
          <w:kern w:val="0"/>
          <w:sz w:val="28"/>
          <w:szCs w:val="20"/>
        </w:rPr>
        <w:t xml:space="preserve">  水文水资源准则层赋分公式变量说明</w:t>
      </w:r>
    </w:p>
    <w:tbl>
      <w:tblPr>
        <w:tblStyle w:val="16"/>
        <w:tblW w:w="9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29"/>
        <w:gridCol w:w="1827"/>
        <w:gridCol w:w="1827"/>
        <w:gridCol w:w="1827"/>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29" w:type="dxa"/>
          </w:tcPr>
          <w:p>
            <w:pPr>
              <w:spacing w:line="380" w:lineRule="exact"/>
              <w:jc w:val="center"/>
              <w:rPr>
                <w:rFonts w:ascii="Times New Roman" w:hAnsi="Times New Roman" w:eastAsia="仿宋" w:cs="Times New Roman"/>
                <w:color w:val="auto"/>
                <w:kern w:val="0"/>
                <w:sz w:val="20"/>
                <w:szCs w:val="21"/>
              </w:rPr>
            </w:pPr>
            <w:r>
              <w:rPr>
                <w:rFonts w:hint="eastAsia" w:ascii="Times New Roman" w:hAnsi="Times New Roman" w:eastAsia="仿宋" w:cs="Times New Roman"/>
                <w:color w:val="auto"/>
                <w:kern w:val="0"/>
                <w:sz w:val="20"/>
                <w:szCs w:val="21"/>
              </w:rPr>
              <w:t>河流指标层</w:t>
            </w:r>
          </w:p>
        </w:tc>
        <w:tc>
          <w:tcPr>
            <w:tcW w:w="1827" w:type="dxa"/>
          </w:tcPr>
          <w:p>
            <w:pPr>
              <w:spacing w:line="380" w:lineRule="exact"/>
              <w:jc w:val="center"/>
              <w:rPr>
                <w:rFonts w:ascii="Times New Roman" w:hAnsi="Times New Roman" w:eastAsia="仿宋" w:cs="Times New Roman"/>
                <w:color w:val="auto"/>
                <w:kern w:val="0"/>
                <w:sz w:val="20"/>
                <w:szCs w:val="21"/>
              </w:rPr>
            </w:pPr>
            <w:r>
              <w:rPr>
                <w:rFonts w:hint="eastAsia" w:ascii="Times New Roman" w:hAnsi="Times New Roman" w:eastAsia="仿宋" w:cs="Times New Roman"/>
                <w:color w:val="auto"/>
                <w:kern w:val="0"/>
                <w:sz w:val="20"/>
                <w:szCs w:val="21"/>
              </w:rPr>
              <w:t>赋分</w:t>
            </w:r>
          </w:p>
        </w:tc>
        <w:tc>
          <w:tcPr>
            <w:tcW w:w="1827" w:type="dxa"/>
          </w:tcPr>
          <w:p>
            <w:pPr>
              <w:spacing w:line="380" w:lineRule="exact"/>
              <w:jc w:val="center"/>
              <w:rPr>
                <w:rFonts w:ascii="Times New Roman" w:hAnsi="Times New Roman" w:eastAsia="仿宋" w:cs="Times New Roman"/>
                <w:color w:val="auto"/>
                <w:kern w:val="0"/>
                <w:szCs w:val="21"/>
              </w:rPr>
            </w:pPr>
            <w:r>
              <w:rPr>
                <w:rFonts w:hint="eastAsia" w:ascii="Times New Roman" w:hAnsi="Times New Roman" w:eastAsia="仿宋" w:cs="Times New Roman"/>
                <w:color w:val="auto"/>
                <w:kern w:val="0"/>
                <w:szCs w:val="21"/>
              </w:rPr>
              <w:t>赋分范围</w:t>
            </w:r>
          </w:p>
        </w:tc>
        <w:tc>
          <w:tcPr>
            <w:tcW w:w="1827" w:type="dxa"/>
          </w:tcPr>
          <w:p>
            <w:pPr>
              <w:spacing w:line="380" w:lineRule="exact"/>
              <w:jc w:val="center"/>
              <w:rPr>
                <w:rFonts w:ascii="Times New Roman" w:hAnsi="Times New Roman" w:eastAsia="仿宋" w:cs="Times New Roman"/>
                <w:color w:val="auto"/>
                <w:kern w:val="0"/>
                <w:szCs w:val="21"/>
              </w:rPr>
            </w:pPr>
            <w:r>
              <w:rPr>
                <w:rFonts w:hint="eastAsia" w:ascii="Times New Roman" w:hAnsi="Times New Roman" w:eastAsia="仿宋" w:cs="Times New Roman"/>
                <w:color w:val="auto"/>
                <w:kern w:val="0"/>
                <w:szCs w:val="21"/>
              </w:rPr>
              <w:t>权重</w:t>
            </w:r>
          </w:p>
        </w:tc>
        <w:tc>
          <w:tcPr>
            <w:tcW w:w="1827" w:type="dxa"/>
          </w:tcPr>
          <w:p>
            <w:pPr>
              <w:spacing w:line="380" w:lineRule="exact"/>
              <w:jc w:val="center"/>
              <w:rPr>
                <w:rFonts w:ascii="Times New Roman" w:hAnsi="Times New Roman" w:eastAsia="仿宋" w:cs="Times New Roman"/>
                <w:color w:val="auto"/>
                <w:kern w:val="0"/>
                <w:szCs w:val="21"/>
              </w:rPr>
            </w:pPr>
            <w:r>
              <w:rPr>
                <w:rFonts w:hint="eastAsia" w:ascii="Times New Roman" w:hAnsi="Times New Roman" w:eastAsia="仿宋" w:cs="Times New Roman"/>
                <w:color w:val="auto"/>
                <w:kern w:val="0"/>
                <w:szCs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29" w:type="dxa"/>
          </w:tcPr>
          <w:p>
            <w:pPr>
              <w:spacing w:line="380" w:lineRule="exact"/>
              <w:jc w:val="center"/>
              <w:rPr>
                <w:rFonts w:ascii="Times New Roman" w:hAnsi="Times New Roman" w:eastAsia="仿宋" w:cs="Times New Roman"/>
                <w:color w:val="auto"/>
                <w:kern w:val="0"/>
                <w:sz w:val="20"/>
                <w:szCs w:val="21"/>
              </w:rPr>
            </w:pPr>
            <w:r>
              <w:rPr>
                <w:rFonts w:hint="eastAsia" w:ascii="Times New Roman" w:hAnsi="Times New Roman" w:eastAsia="仿宋" w:cs="Times New Roman"/>
                <w:color w:val="auto"/>
                <w:kern w:val="0"/>
                <w:sz w:val="20"/>
                <w:szCs w:val="21"/>
              </w:rPr>
              <w:t>河岸带状况</w:t>
            </w:r>
          </w:p>
        </w:tc>
        <w:tc>
          <w:tcPr>
            <w:tcW w:w="1827" w:type="dxa"/>
          </w:tcPr>
          <w:p>
            <w:pPr>
              <w:spacing w:line="380" w:lineRule="exact"/>
              <w:jc w:val="center"/>
              <w:rPr>
                <w:rFonts w:ascii="Times New Roman" w:hAnsi="Times New Roman" w:eastAsia="仿宋" w:cs="Times New Roman"/>
                <w:color w:val="auto"/>
                <w:kern w:val="0"/>
                <w:sz w:val="20"/>
                <w:szCs w:val="21"/>
              </w:rPr>
            </w:pPr>
            <w:r>
              <w:rPr>
                <w:rFonts w:ascii="Times New Roman" w:hAnsi="Times New Roman" w:eastAsia="仿宋" w:cs="Times New Roman"/>
                <w:color w:val="auto"/>
                <w:kern w:val="0"/>
                <w:sz w:val="20"/>
                <w:szCs w:val="21"/>
              </w:rPr>
              <w:t>RSr</w:t>
            </w:r>
          </w:p>
        </w:tc>
        <w:tc>
          <w:tcPr>
            <w:tcW w:w="1827" w:type="dxa"/>
          </w:tcPr>
          <w:p>
            <w:pPr>
              <w:spacing w:line="380" w:lineRule="exact"/>
              <w:jc w:val="center"/>
              <w:rPr>
                <w:rFonts w:ascii="Times New Roman" w:hAnsi="Times New Roman" w:eastAsia="仿宋" w:cs="Times New Roman"/>
                <w:color w:val="auto"/>
                <w:kern w:val="0"/>
                <w:szCs w:val="21"/>
              </w:rPr>
            </w:pPr>
            <w:r>
              <w:rPr>
                <w:rFonts w:hint="eastAsia" w:ascii="Times New Roman" w:hAnsi="Times New Roman" w:eastAsia="仿宋" w:cs="Times New Roman"/>
                <w:color w:val="auto"/>
                <w:kern w:val="0"/>
                <w:szCs w:val="21"/>
              </w:rPr>
              <w:t>0-100</w:t>
            </w:r>
          </w:p>
        </w:tc>
        <w:tc>
          <w:tcPr>
            <w:tcW w:w="1827" w:type="dxa"/>
          </w:tcPr>
          <w:p>
            <w:pPr>
              <w:spacing w:line="380" w:lineRule="exact"/>
              <w:jc w:val="center"/>
              <w:rPr>
                <w:rFonts w:ascii="Times New Roman" w:hAnsi="Times New Roman" w:eastAsia="仿宋" w:cs="Times New Roman"/>
                <w:color w:val="auto"/>
                <w:kern w:val="0"/>
                <w:sz w:val="20"/>
                <w:szCs w:val="21"/>
              </w:rPr>
            </w:pPr>
            <w:r>
              <w:rPr>
                <w:rFonts w:ascii="Times New Roman" w:hAnsi="Times New Roman" w:eastAsia="仿宋" w:cs="Times New Roman"/>
                <w:color w:val="auto"/>
                <w:kern w:val="0"/>
                <w:sz w:val="20"/>
                <w:szCs w:val="21"/>
              </w:rPr>
              <w:t>RS</w:t>
            </w:r>
            <w:r>
              <w:rPr>
                <w:rFonts w:hint="eastAsia" w:ascii="Times New Roman" w:hAnsi="Times New Roman" w:eastAsia="仿宋" w:cs="Times New Roman"/>
                <w:color w:val="auto"/>
                <w:kern w:val="0"/>
                <w:sz w:val="20"/>
                <w:szCs w:val="21"/>
              </w:rPr>
              <w:t>w</w:t>
            </w:r>
          </w:p>
        </w:tc>
        <w:tc>
          <w:tcPr>
            <w:tcW w:w="1827" w:type="dxa"/>
          </w:tcPr>
          <w:p>
            <w:pPr>
              <w:spacing w:line="380" w:lineRule="exact"/>
              <w:jc w:val="center"/>
              <w:rPr>
                <w:rFonts w:ascii="Times New Roman" w:hAnsi="Times New Roman" w:eastAsia="仿宋" w:cs="Times New Roman"/>
                <w:color w:val="auto"/>
                <w:kern w:val="0"/>
                <w:szCs w:val="21"/>
              </w:rPr>
            </w:pPr>
            <w:r>
              <w:rPr>
                <w:rFonts w:hint="eastAsia" w:ascii="Times New Roman" w:hAnsi="Times New Roman" w:eastAsia="仿宋" w:cs="Times New Roman"/>
                <w:color w:val="auto"/>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29" w:type="dxa"/>
          </w:tcPr>
          <w:p>
            <w:pPr>
              <w:spacing w:line="380" w:lineRule="exact"/>
              <w:jc w:val="center"/>
              <w:rPr>
                <w:rFonts w:ascii="Times New Roman" w:hAnsi="Times New Roman" w:eastAsia="仿宋" w:cs="Times New Roman"/>
                <w:color w:val="auto"/>
                <w:kern w:val="0"/>
                <w:sz w:val="20"/>
                <w:szCs w:val="21"/>
              </w:rPr>
            </w:pPr>
            <w:r>
              <w:rPr>
                <w:rFonts w:hint="eastAsia" w:ascii="Times New Roman" w:hAnsi="Times New Roman" w:eastAsia="仿宋" w:cs="Times New Roman"/>
                <w:color w:val="auto"/>
                <w:kern w:val="0"/>
                <w:sz w:val="20"/>
                <w:szCs w:val="21"/>
              </w:rPr>
              <w:t>河流连通阻隔状况</w:t>
            </w:r>
          </w:p>
        </w:tc>
        <w:tc>
          <w:tcPr>
            <w:tcW w:w="1827" w:type="dxa"/>
          </w:tcPr>
          <w:p>
            <w:pPr>
              <w:spacing w:line="380" w:lineRule="exact"/>
              <w:jc w:val="center"/>
              <w:rPr>
                <w:rFonts w:ascii="Times New Roman" w:hAnsi="Times New Roman" w:eastAsia="仿宋" w:cs="Times New Roman"/>
                <w:color w:val="auto"/>
                <w:kern w:val="0"/>
                <w:sz w:val="20"/>
                <w:szCs w:val="21"/>
              </w:rPr>
            </w:pPr>
            <w:r>
              <w:rPr>
                <w:rFonts w:ascii="Times New Roman" w:hAnsi="Times New Roman" w:eastAsia="仿宋" w:cs="Times New Roman"/>
                <w:color w:val="auto"/>
                <w:kern w:val="0"/>
                <w:sz w:val="20"/>
                <w:szCs w:val="21"/>
              </w:rPr>
              <w:t>RCr</w:t>
            </w:r>
          </w:p>
        </w:tc>
        <w:tc>
          <w:tcPr>
            <w:tcW w:w="1827" w:type="dxa"/>
          </w:tcPr>
          <w:p>
            <w:pPr>
              <w:spacing w:line="380" w:lineRule="exact"/>
              <w:jc w:val="center"/>
              <w:rPr>
                <w:rFonts w:ascii="Times New Roman" w:hAnsi="Times New Roman" w:eastAsia="仿宋" w:cs="Times New Roman"/>
                <w:color w:val="auto"/>
                <w:kern w:val="0"/>
                <w:szCs w:val="21"/>
              </w:rPr>
            </w:pPr>
            <w:r>
              <w:rPr>
                <w:rFonts w:hint="eastAsia" w:ascii="Times New Roman" w:hAnsi="Times New Roman" w:eastAsia="仿宋" w:cs="Times New Roman"/>
                <w:color w:val="auto"/>
                <w:kern w:val="0"/>
                <w:szCs w:val="21"/>
              </w:rPr>
              <w:t>0-100</w:t>
            </w:r>
          </w:p>
        </w:tc>
        <w:tc>
          <w:tcPr>
            <w:tcW w:w="1827" w:type="dxa"/>
          </w:tcPr>
          <w:p>
            <w:pPr>
              <w:spacing w:line="380" w:lineRule="exact"/>
              <w:jc w:val="center"/>
              <w:rPr>
                <w:rFonts w:ascii="Times New Roman" w:hAnsi="Times New Roman" w:eastAsia="仿宋" w:cs="Times New Roman"/>
                <w:color w:val="auto"/>
                <w:kern w:val="0"/>
                <w:sz w:val="20"/>
                <w:szCs w:val="21"/>
              </w:rPr>
            </w:pPr>
            <w:r>
              <w:rPr>
                <w:rFonts w:ascii="Times New Roman" w:hAnsi="Times New Roman" w:eastAsia="仿宋" w:cs="Times New Roman"/>
                <w:color w:val="auto"/>
                <w:kern w:val="0"/>
                <w:sz w:val="20"/>
                <w:szCs w:val="21"/>
              </w:rPr>
              <w:t>RC</w:t>
            </w:r>
            <w:r>
              <w:rPr>
                <w:rFonts w:hint="eastAsia" w:ascii="Times New Roman" w:hAnsi="Times New Roman" w:eastAsia="仿宋" w:cs="Times New Roman"/>
                <w:color w:val="auto"/>
                <w:kern w:val="0"/>
                <w:sz w:val="20"/>
                <w:szCs w:val="21"/>
              </w:rPr>
              <w:t>w</w:t>
            </w:r>
          </w:p>
        </w:tc>
        <w:tc>
          <w:tcPr>
            <w:tcW w:w="1827" w:type="dxa"/>
          </w:tcPr>
          <w:p>
            <w:pPr>
              <w:spacing w:line="380" w:lineRule="exact"/>
              <w:jc w:val="center"/>
              <w:rPr>
                <w:rFonts w:ascii="Times New Roman" w:hAnsi="Times New Roman" w:eastAsia="仿宋" w:cs="Times New Roman"/>
                <w:color w:val="auto"/>
                <w:kern w:val="0"/>
                <w:szCs w:val="21"/>
              </w:rPr>
            </w:pPr>
            <w:r>
              <w:rPr>
                <w:rFonts w:hint="eastAsia" w:ascii="Times New Roman" w:hAnsi="Times New Roman" w:eastAsia="仿宋" w:cs="Times New Roman"/>
                <w:color w:val="auto"/>
                <w:kern w:val="0"/>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29" w:type="dxa"/>
          </w:tcPr>
          <w:p>
            <w:pPr>
              <w:spacing w:line="380" w:lineRule="exact"/>
              <w:jc w:val="center"/>
              <w:rPr>
                <w:rFonts w:ascii="Times New Roman" w:hAnsi="Times New Roman" w:eastAsia="仿宋" w:cs="Times New Roman"/>
                <w:color w:val="auto"/>
                <w:kern w:val="0"/>
                <w:sz w:val="20"/>
                <w:szCs w:val="21"/>
              </w:rPr>
            </w:pPr>
            <w:r>
              <w:rPr>
                <w:rFonts w:hint="eastAsia" w:ascii="Times New Roman" w:hAnsi="Times New Roman" w:eastAsia="仿宋" w:cs="Times New Roman"/>
                <w:color w:val="auto"/>
                <w:kern w:val="0"/>
                <w:sz w:val="20"/>
                <w:szCs w:val="21"/>
              </w:rPr>
              <w:t>湿地保留率</w:t>
            </w:r>
          </w:p>
        </w:tc>
        <w:tc>
          <w:tcPr>
            <w:tcW w:w="1827" w:type="dxa"/>
          </w:tcPr>
          <w:p>
            <w:pPr>
              <w:spacing w:line="380" w:lineRule="exact"/>
              <w:jc w:val="center"/>
              <w:rPr>
                <w:rFonts w:ascii="Times New Roman" w:hAnsi="Times New Roman" w:eastAsia="仿宋" w:cs="Times New Roman"/>
                <w:color w:val="auto"/>
                <w:kern w:val="0"/>
                <w:sz w:val="20"/>
                <w:szCs w:val="21"/>
              </w:rPr>
            </w:pPr>
            <w:r>
              <w:rPr>
                <w:rFonts w:hint="eastAsia" w:ascii="Times New Roman" w:hAnsi="Times New Roman" w:eastAsia="仿宋" w:cs="Times New Roman"/>
                <w:color w:val="auto"/>
                <w:kern w:val="0"/>
                <w:sz w:val="20"/>
                <w:szCs w:val="21"/>
              </w:rPr>
              <w:t>NWLr</w:t>
            </w:r>
          </w:p>
        </w:tc>
        <w:tc>
          <w:tcPr>
            <w:tcW w:w="1827" w:type="dxa"/>
          </w:tcPr>
          <w:p>
            <w:pPr>
              <w:spacing w:line="380" w:lineRule="exact"/>
              <w:jc w:val="center"/>
              <w:rPr>
                <w:rFonts w:ascii="Times New Roman" w:hAnsi="Times New Roman" w:eastAsia="仿宋" w:cs="Times New Roman"/>
                <w:color w:val="auto"/>
                <w:kern w:val="0"/>
                <w:szCs w:val="21"/>
              </w:rPr>
            </w:pPr>
            <w:r>
              <w:rPr>
                <w:rFonts w:hint="eastAsia" w:ascii="Times New Roman" w:hAnsi="Times New Roman" w:eastAsia="仿宋" w:cs="Times New Roman"/>
                <w:color w:val="auto"/>
                <w:kern w:val="0"/>
                <w:szCs w:val="21"/>
              </w:rPr>
              <w:t>0-100</w:t>
            </w:r>
          </w:p>
        </w:tc>
        <w:tc>
          <w:tcPr>
            <w:tcW w:w="1827" w:type="dxa"/>
          </w:tcPr>
          <w:p>
            <w:pPr>
              <w:spacing w:line="380" w:lineRule="exact"/>
              <w:jc w:val="center"/>
              <w:rPr>
                <w:rFonts w:ascii="Times New Roman" w:hAnsi="Times New Roman" w:eastAsia="仿宋" w:cs="Times New Roman"/>
                <w:color w:val="auto"/>
                <w:kern w:val="0"/>
                <w:sz w:val="20"/>
                <w:szCs w:val="21"/>
              </w:rPr>
            </w:pPr>
            <w:r>
              <w:rPr>
                <w:rFonts w:hint="eastAsia" w:ascii="Times New Roman" w:hAnsi="Times New Roman" w:eastAsia="仿宋" w:cs="Times New Roman"/>
                <w:color w:val="auto"/>
                <w:kern w:val="0"/>
                <w:sz w:val="20"/>
                <w:szCs w:val="21"/>
              </w:rPr>
              <w:t>NWLw</w:t>
            </w:r>
          </w:p>
        </w:tc>
        <w:tc>
          <w:tcPr>
            <w:tcW w:w="1827" w:type="dxa"/>
          </w:tcPr>
          <w:p>
            <w:pPr>
              <w:spacing w:line="380" w:lineRule="exact"/>
              <w:jc w:val="center"/>
              <w:rPr>
                <w:rFonts w:ascii="Times New Roman" w:hAnsi="Times New Roman" w:eastAsia="仿宋" w:cs="Times New Roman"/>
                <w:color w:val="auto"/>
                <w:kern w:val="0"/>
                <w:szCs w:val="21"/>
              </w:rPr>
            </w:pPr>
            <w:r>
              <w:rPr>
                <w:rFonts w:hint="eastAsia" w:ascii="Times New Roman" w:hAnsi="Times New Roman" w:eastAsia="仿宋" w:cs="Times New Roman"/>
                <w:color w:val="auto"/>
                <w:kern w:val="0"/>
                <w:szCs w:val="21"/>
              </w:rPr>
              <w:t>0.25</w:t>
            </w:r>
          </w:p>
        </w:tc>
      </w:tr>
    </w:tbl>
    <w:p>
      <w:pPr>
        <w:spacing w:line="360" w:lineRule="auto"/>
        <w:outlineLvl w:val="9"/>
        <w:rPr>
          <w:rFonts w:ascii="Times New Roman" w:hAnsi="Times New Roman" w:eastAsia="仿宋" w:cs="Times New Roman"/>
          <w:color w:val="auto"/>
          <w:kern w:val="0"/>
          <w:sz w:val="28"/>
          <w:szCs w:val="20"/>
        </w:rPr>
      </w:pPr>
    </w:p>
    <w:p>
      <w:pPr>
        <w:spacing w:line="360" w:lineRule="auto"/>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3.6.2 水文水资源指标（HD）</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（1）生态流量保障程度（</w:t>
      </w:r>
      <w:bookmarkStart w:id="60" w:name="page49"/>
      <w:bookmarkEnd w:id="60"/>
      <w:r>
        <w:rPr>
          <w:rFonts w:ascii="Times New Roman" w:hAnsi="Times New Roman" w:eastAsia="仿宋" w:cs="Times New Roman"/>
          <w:color w:val="auto"/>
          <w:kern w:val="0"/>
          <w:sz w:val="28"/>
          <w:szCs w:val="20"/>
        </w:rPr>
        <w:t>EF）</w:t>
      </w:r>
    </w:p>
    <w:p>
      <w:pPr>
        <w:spacing w:line="360" w:lineRule="auto"/>
        <w:ind w:firstLine="840" w:firstLineChars="3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1）指标说明</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河流生态流量是指为维持河流生态系统的不同程度生态系统结构、功能而必须维持的流量过程，采用最小生态流量进行表征。</w:t>
      </w:r>
    </w:p>
    <w:p>
      <w:pPr>
        <w:spacing w:line="360" w:lineRule="auto"/>
        <w:ind w:firstLine="840" w:firstLineChars="3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2）计算方法</w:t>
      </w:r>
    </w:p>
    <w:p>
      <w:pPr>
        <w:spacing w:line="360" w:lineRule="auto"/>
        <w:jc w:val="center"/>
        <w:rPr>
          <w:rFonts w:ascii="Times New Roman" w:hAnsi="Times New Roman" w:eastAsia="仿宋" w:cs="Times New Roman"/>
          <w:color w:val="auto"/>
          <w:kern w:val="0"/>
          <w:sz w:val="28"/>
          <w:szCs w:val="20"/>
        </w:rPr>
      </w:pPr>
      <m:oMath>
        <m:r>
          <m:rPr>
            <m:sty m:val="p"/>
          </m:rPr>
          <w:rPr>
            <w:rFonts w:ascii="Cambria Math" w:hAnsi="Cambria Math" w:eastAsia="仿宋" w:cs="Times New Roman"/>
            <w:color w:val="auto"/>
            <w:kern w:val="0"/>
            <w:sz w:val="28"/>
            <w:szCs w:val="20"/>
          </w:rPr>
          <m:t>EF1=min</m:t>
        </m:r>
        <m:sSubSup>
          <m:sSubSupPr>
            <m:ctrlPr>
              <w:rPr>
                <w:rFonts w:ascii="Cambria Math" w:hAnsi="Cambria Math" w:eastAsia="仿宋" w:cs="Times New Roman"/>
                <w:color w:val="auto"/>
                <w:kern w:val="0"/>
                <w:sz w:val="28"/>
                <w:szCs w:val="20"/>
              </w:rPr>
            </m:ctrlPr>
          </m:sSubSupPr>
          <m:e>
            <m:d>
              <m:dPr>
                <m:begChr m:val="["/>
                <m:endChr m:val="]"/>
                <m:ctrlPr>
                  <w:rPr>
                    <w:rFonts w:ascii="Cambria Math" w:hAnsi="Cambria Math" w:eastAsia="仿宋" w:cs="Times New Roman"/>
                    <w:color w:val="auto"/>
                    <w:kern w:val="0"/>
                    <w:sz w:val="28"/>
                    <w:szCs w:val="20"/>
                  </w:rPr>
                </m:ctrlPr>
              </m:dPr>
              <m:e>
                <m:f>
                  <m:fPr>
                    <m:ctrlPr>
                      <w:rPr>
                        <w:rFonts w:ascii="Cambria Math" w:hAnsi="Cambria Math" w:eastAsia="仿宋" w:cs="Times New Roman"/>
                        <w:i/>
                        <w:color w:val="auto"/>
                        <w:kern w:val="0"/>
                        <w:sz w:val="28"/>
                        <w:szCs w:val="20"/>
                      </w:rPr>
                    </m:ctrlPr>
                  </m:fPr>
                  <m:num>
                    <m:sSub>
                      <m:sSubPr>
                        <m:ctrlPr>
                          <w:rPr>
                            <w:rFonts w:ascii="Cambria Math" w:hAnsi="Cambria Math" w:eastAsia="仿宋" w:cs="Times New Roman"/>
                            <w:i/>
                            <w:color w:val="auto"/>
                            <w:kern w:val="0"/>
                            <w:sz w:val="28"/>
                            <w:szCs w:val="20"/>
                          </w:rPr>
                        </m:ctrlPr>
                      </m:sSubPr>
                      <m:e>
                        <m:r>
                          <m:rPr/>
                          <w:rPr>
                            <w:rFonts w:ascii="Cambria Math" w:hAnsi="Cambria Math" w:eastAsia="仿宋" w:cs="Times New Roman"/>
                            <w:color w:val="auto"/>
                            <w:kern w:val="0"/>
                            <w:sz w:val="28"/>
                            <w:szCs w:val="20"/>
                          </w:rPr>
                          <m:t>q</m:t>
                        </m:r>
                        <m:ctrlPr>
                          <w:rPr>
                            <w:rFonts w:ascii="Cambria Math" w:hAnsi="Cambria Math" w:eastAsia="仿宋" w:cs="Times New Roman"/>
                            <w:i/>
                            <w:color w:val="auto"/>
                            <w:kern w:val="0"/>
                            <w:sz w:val="28"/>
                            <w:szCs w:val="20"/>
                          </w:rPr>
                        </m:ctrlPr>
                      </m:e>
                      <m:sub>
                        <m:r>
                          <m:rPr/>
                          <w:rPr>
                            <w:rFonts w:ascii="Cambria Math" w:hAnsi="Cambria Math" w:eastAsia="仿宋" w:cs="Times New Roman"/>
                            <w:color w:val="auto"/>
                            <w:kern w:val="0"/>
                            <w:sz w:val="28"/>
                            <w:szCs w:val="20"/>
                          </w:rPr>
                          <m:t>d</m:t>
                        </m:r>
                        <m:ctrlPr>
                          <w:rPr>
                            <w:rFonts w:ascii="Cambria Math" w:hAnsi="Cambria Math" w:eastAsia="仿宋" w:cs="Times New Roman"/>
                            <w:i/>
                            <w:color w:val="auto"/>
                            <w:kern w:val="0"/>
                            <w:sz w:val="28"/>
                            <w:szCs w:val="20"/>
                          </w:rPr>
                        </m:ctrlPr>
                      </m:sub>
                    </m:sSub>
                    <m:ctrlPr>
                      <w:rPr>
                        <w:rFonts w:ascii="Cambria Math" w:hAnsi="Cambria Math" w:eastAsia="仿宋" w:cs="Times New Roman"/>
                        <w:i/>
                        <w:color w:val="auto"/>
                        <w:kern w:val="0"/>
                        <w:sz w:val="28"/>
                        <w:szCs w:val="20"/>
                      </w:rPr>
                    </m:ctrlPr>
                  </m:num>
                  <m:den>
                    <m:acc>
                      <m:accPr>
                        <m:chr m:val="̅"/>
                        <m:ctrlPr>
                          <w:rPr>
                            <w:rFonts w:ascii="Cambria Math" w:hAnsi="Cambria Math" w:eastAsia="仿宋" w:cs="Times New Roman"/>
                            <w:i/>
                            <w:color w:val="auto"/>
                            <w:kern w:val="0"/>
                            <w:sz w:val="28"/>
                            <w:szCs w:val="20"/>
                          </w:rPr>
                        </m:ctrlPr>
                      </m:accPr>
                      <m:e>
                        <m:r>
                          <m:rPr/>
                          <w:rPr>
                            <w:rFonts w:ascii="Cambria Math" w:hAnsi="Cambria Math" w:eastAsia="仿宋" w:cs="Times New Roman"/>
                            <w:color w:val="auto"/>
                            <w:kern w:val="0"/>
                            <w:sz w:val="28"/>
                            <w:szCs w:val="20"/>
                          </w:rPr>
                          <m:t>Q</m:t>
                        </m:r>
                        <m:ctrlPr>
                          <w:rPr>
                            <w:rFonts w:ascii="Cambria Math" w:hAnsi="Cambria Math" w:eastAsia="仿宋" w:cs="Times New Roman"/>
                            <w:i/>
                            <w:color w:val="auto"/>
                            <w:kern w:val="0"/>
                            <w:sz w:val="28"/>
                            <w:szCs w:val="20"/>
                          </w:rPr>
                        </m:ctrlPr>
                      </m:e>
                    </m:acc>
                    <m:ctrlPr>
                      <w:rPr>
                        <w:rFonts w:ascii="Cambria Math" w:hAnsi="Cambria Math" w:eastAsia="仿宋" w:cs="Times New Roman"/>
                        <w:i/>
                        <w:color w:val="auto"/>
                        <w:kern w:val="0"/>
                        <w:sz w:val="28"/>
                        <w:szCs w:val="20"/>
                      </w:rPr>
                    </m:ctrlPr>
                  </m:den>
                </m:f>
                <m:ctrlPr>
                  <w:rPr>
                    <w:rFonts w:ascii="Cambria Math" w:hAnsi="Cambria Math" w:eastAsia="仿宋" w:cs="Times New Roman"/>
                    <w:color w:val="auto"/>
                    <w:kern w:val="0"/>
                    <w:sz w:val="28"/>
                    <w:szCs w:val="20"/>
                  </w:rPr>
                </m:ctrlPr>
              </m:e>
            </m:d>
            <m:ctrlPr>
              <w:rPr>
                <w:rFonts w:ascii="Cambria Math" w:hAnsi="Cambria Math" w:eastAsia="仿宋" w:cs="Times New Roman"/>
                <w:color w:val="auto"/>
                <w:kern w:val="0"/>
                <w:sz w:val="28"/>
                <w:szCs w:val="20"/>
              </w:rPr>
            </m:ctrlPr>
          </m:e>
          <m:sub>
            <m:r>
              <m:rPr/>
              <w:rPr>
                <w:rFonts w:ascii="Cambria Math" w:hAnsi="Cambria Math" w:eastAsia="仿宋" w:cs="Times New Roman"/>
                <w:color w:val="auto"/>
                <w:kern w:val="0"/>
                <w:sz w:val="28"/>
                <w:szCs w:val="20"/>
              </w:rPr>
              <m:t>m=4</m:t>
            </m:r>
            <m:ctrlPr>
              <w:rPr>
                <w:rFonts w:ascii="Cambria Math" w:hAnsi="Cambria Math" w:eastAsia="仿宋" w:cs="Times New Roman"/>
                <w:color w:val="auto"/>
                <w:kern w:val="0"/>
                <w:sz w:val="28"/>
                <w:szCs w:val="20"/>
              </w:rPr>
            </m:ctrlPr>
          </m:sub>
          <m:sup>
            <m:r>
              <m:rPr/>
              <w:rPr>
                <w:rFonts w:ascii="Cambria Math" w:hAnsi="Cambria Math" w:eastAsia="仿宋" w:cs="Times New Roman"/>
                <w:color w:val="auto"/>
                <w:kern w:val="0"/>
                <w:sz w:val="28"/>
                <w:szCs w:val="20"/>
              </w:rPr>
              <m:t>9</m:t>
            </m:r>
            <m:ctrlPr>
              <w:rPr>
                <w:rFonts w:ascii="Cambria Math" w:hAnsi="Cambria Math" w:eastAsia="仿宋" w:cs="Times New Roman"/>
                <w:color w:val="auto"/>
                <w:kern w:val="0"/>
                <w:sz w:val="28"/>
                <w:szCs w:val="20"/>
              </w:rPr>
            </m:ctrlPr>
          </m:sup>
        </m:sSubSup>
      </m:oMath>
      <w:r>
        <w:rPr>
          <w:rFonts w:hint="eastAsia" w:ascii="Times New Roman" w:hAnsi="Times New Roman" w:eastAsia="仿宋" w:cs="Times New Roman"/>
          <w:color w:val="auto"/>
          <w:kern w:val="0"/>
          <w:sz w:val="28"/>
          <w:szCs w:val="20"/>
        </w:rPr>
        <w:t>，</w:t>
      </w:r>
      <m:oMath>
        <m:r>
          <m:rPr>
            <m:sty m:val="p"/>
          </m:rPr>
          <w:rPr>
            <w:rFonts w:ascii="Cambria Math" w:hAnsi="Cambria Math" w:eastAsia="仿宋" w:cs="Times New Roman"/>
            <w:color w:val="auto"/>
            <w:kern w:val="0"/>
            <w:sz w:val="28"/>
            <w:szCs w:val="20"/>
          </w:rPr>
          <m:t>EF2=min</m:t>
        </m:r>
        <m:sSubSup>
          <m:sSubSupPr>
            <m:ctrlPr>
              <w:rPr>
                <w:rFonts w:ascii="Cambria Math" w:hAnsi="Cambria Math" w:eastAsia="仿宋" w:cs="Times New Roman"/>
                <w:color w:val="auto"/>
                <w:kern w:val="0"/>
                <w:sz w:val="28"/>
                <w:szCs w:val="20"/>
              </w:rPr>
            </m:ctrlPr>
          </m:sSubSupPr>
          <m:e>
            <m:d>
              <m:dPr>
                <m:begChr m:val="["/>
                <m:endChr m:val="]"/>
                <m:ctrlPr>
                  <w:rPr>
                    <w:rFonts w:ascii="Cambria Math" w:hAnsi="Cambria Math" w:eastAsia="仿宋" w:cs="Times New Roman"/>
                    <w:color w:val="auto"/>
                    <w:kern w:val="0"/>
                    <w:sz w:val="28"/>
                    <w:szCs w:val="20"/>
                  </w:rPr>
                </m:ctrlPr>
              </m:dPr>
              <m:e>
                <m:f>
                  <m:fPr>
                    <m:ctrlPr>
                      <w:rPr>
                        <w:rFonts w:ascii="Cambria Math" w:hAnsi="Cambria Math" w:eastAsia="仿宋" w:cs="Times New Roman"/>
                        <w:i/>
                        <w:color w:val="auto"/>
                        <w:kern w:val="0"/>
                        <w:sz w:val="28"/>
                        <w:szCs w:val="20"/>
                      </w:rPr>
                    </m:ctrlPr>
                  </m:fPr>
                  <m:num>
                    <m:sSub>
                      <m:sSubPr>
                        <m:ctrlPr>
                          <w:rPr>
                            <w:rFonts w:ascii="Cambria Math" w:hAnsi="Cambria Math" w:eastAsia="仿宋" w:cs="Times New Roman"/>
                            <w:i/>
                            <w:color w:val="auto"/>
                            <w:kern w:val="0"/>
                            <w:sz w:val="28"/>
                            <w:szCs w:val="20"/>
                          </w:rPr>
                        </m:ctrlPr>
                      </m:sSubPr>
                      <m:e>
                        <m:r>
                          <m:rPr/>
                          <w:rPr>
                            <w:rFonts w:ascii="Cambria Math" w:hAnsi="Cambria Math" w:eastAsia="仿宋" w:cs="Times New Roman"/>
                            <w:color w:val="auto"/>
                            <w:kern w:val="0"/>
                            <w:sz w:val="28"/>
                            <w:szCs w:val="20"/>
                          </w:rPr>
                          <m:t>q</m:t>
                        </m:r>
                        <m:ctrlPr>
                          <w:rPr>
                            <w:rFonts w:ascii="Cambria Math" w:hAnsi="Cambria Math" w:eastAsia="仿宋" w:cs="Times New Roman"/>
                            <w:i/>
                            <w:color w:val="auto"/>
                            <w:kern w:val="0"/>
                            <w:sz w:val="28"/>
                            <w:szCs w:val="20"/>
                          </w:rPr>
                        </m:ctrlPr>
                      </m:e>
                      <m:sub>
                        <m:r>
                          <m:rPr/>
                          <w:rPr>
                            <w:rFonts w:ascii="Cambria Math" w:hAnsi="Cambria Math" w:eastAsia="仿宋" w:cs="Times New Roman"/>
                            <w:color w:val="auto"/>
                            <w:kern w:val="0"/>
                            <w:sz w:val="28"/>
                            <w:szCs w:val="20"/>
                          </w:rPr>
                          <m:t>d</m:t>
                        </m:r>
                        <m:ctrlPr>
                          <w:rPr>
                            <w:rFonts w:ascii="Cambria Math" w:hAnsi="Cambria Math" w:eastAsia="仿宋" w:cs="Times New Roman"/>
                            <w:i/>
                            <w:color w:val="auto"/>
                            <w:kern w:val="0"/>
                            <w:sz w:val="28"/>
                            <w:szCs w:val="20"/>
                          </w:rPr>
                        </m:ctrlPr>
                      </m:sub>
                    </m:sSub>
                    <m:ctrlPr>
                      <w:rPr>
                        <w:rFonts w:ascii="Cambria Math" w:hAnsi="Cambria Math" w:eastAsia="仿宋" w:cs="Times New Roman"/>
                        <w:i/>
                        <w:color w:val="auto"/>
                        <w:kern w:val="0"/>
                        <w:sz w:val="28"/>
                        <w:szCs w:val="20"/>
                      </w:rPr>
                    </m:ctrlPr>
                  </m:num>
                  <m:den>
                    <m:acc>
                      <m:accPr>
                        <m:chr m:val="̅"/>
                        <m:ctrlPr>
                          <w:rPr>
                            <w:rFonts w:ascii="Cambria Math" w:hAnsi="Cambria Math" w:eastAsia="仿宋" w:cs="Times New Roman"/>
                            <w:i/>
                            <w:color w:val="auto"/>
                            <w:kern w:val="0"/>
                            <w:sz w:val="28"/>
                            <w:szCs w:val="20"/>
                          </w:rPr>
                        </m:ctrlPr>
                      </m:accPr>
                      <m:e>
                        <m:r>
                          <m:rPr/>
                          <w:rPr>
                            <w:rFonts w:ascii="Cambria Math" w:hAnsi="Cambria Math" w:eastAsia="仿宋" w:cs="Times New Roman"/>
                            <w:color w:val="auto"/>
                            <w:kern w:val="0"/>
                            <w:sz w:val="28"/>
                            <w:szCs w:val="20"/>
                          </w:rPr>
                          <m:t>Q</m:t>
                        </m:r>
                        <m:ctrlPr>
                          <w:rPr>
                            <w:rFonts w:ascii="Cambria Math" w:hAnsi="Cambria Math" w:eastAsia="仿宋" w:cs="Times New Roman"/>
                            <w:i/>
                            <w:color w:val="auto"/>
                            <w:kern w:val="0"/>
                            <w:sz w:val="28"/>
                            <w:szCs w:val="20"/>
                          </w:rPr>
                        </m:ctrlPr>
                      </m:e>
                    </m:acc>
                    <m:ctrlPr>
                      <w:rPr>
                        <w:rFonts w:ascii="Cambria Math" w:hAnsi="Cambria Math" w:eastAsia="仿宋" w:cs="Times New Roman"/>
                        <w:i/>
                        <w:color w:val="auto"/>
                        <w:kern w:val="0"/>
                        <w:sz w:val="28"/>
                        <w:szCs w:val="20"/>
                      </w:rPr>
                    </m:ctrlPr>
                  </m:den>
                </m:f>
                <m:ctrlPr>
                  <w:rPr>
                    <w:rFonts w:ascii="Cambria Math" w:hAnsi="Cambria Math" w:eastAsia="仿宋" w:cs="Times New Roman"/>
                    <w:color w:val="auto"/>
                    <w:kern w:val="0"/>
                    <w:sz w:val="28"/>
                    <w:szCs w:val="20"/>
                  </w:rPr>
                </m:ctrlPr>
              </m:e>
            </m:d>
            <m:ctrlPr>
              <w:rPr>
                <w:rFonts w:ascii="Cambria Math" w:hAnsi="Cambria Math" w:eastAsia="仿宋" w:cs="Times New Roman"/>
                <w:color w:val="auto"/>
                <w:kern w:val="0"/>
                <w:sz w:val="28"/>
                <w:szCs w:val="20"/>
              </w:rPr>
            </m:ctrlPr>
          </m:e>
          <m:sub>
            <m:r>
              <m:rPr/>
              <w:rPr>
                <w:rFonts w:ascii="Cambria Math" w:hAnsi="Cambria Math" w:eastAsia="仿宋" w:cs="Times New Roman"/>
                <w:color w:val="auto"/>
                <w:kern w:val="0"/>
                <w:sz w:val="28"/>
                <w:szCs w:val="20"/>
              </w:rPr>
              <m:t>m=10</m:t>
            </m:r>
            <m:ctrlPr>
              <w:rPr>
                <w:rFonts w:ascii="Cambria Math" w:hAnsi="Cambria Math" w:eastAsia="仿宋" w:cs="Times New Roman"/>
                <w:color w:val="auto"/>
                <w:kern w:val="0"/>
                <w:sz w:val="28"/>
                <w:szCs w:val="20"/>
              </w:rPr>
            </m:ctrlPr>
          </m:sub>
          <m:sup>
            <m:r>
              <m:rPr/>
              <w:rPr>
                <w:rFonts w:ascii="Cambria Math" w:hAnsi="Cambria Math" w:eastAsia="仿宋" w:cs="Times New Roman"/>
                <w:color w:val="auto"/>
                <w:kern w:val="0"/>
                <w:sz w:val="28"/>
                <w:szCs w:val="20"/>
              </w:rPr>
              <m:t>3</m:t>
            </m:r>
            <m:ctrlPr>
              <w:rPr>
                <w:rFonts w:ascii="Cambria Math" w:hAnsi="Cambria Math" w:eastAsia="仿宋" w:cs="Times New Roman"/>
                <w:color w:val="auto"/>
                <w:kern w:val="0"/>
                <w:sz w:val="28"/>
                <w:szCs w:val="20"/>
              </w:rPr>
            </m:ctrlPr>
          </m:sup>
        </m:sSubSup>
      </m:oMath>
    </w:p>
    <w:p>
      <w:pPr>
        <w:tabs>
          <w:tab w:val="left" w:pos="5100"/>
        </w:tabs>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式中：q</w:t>
      </w:r>
      <w:r>
        <w:rPr>
          <w:rFonts w:ascii="Times New Roman" w:hAnsi="Times New Roman" w:eastAsia="仿宋" w:cs="Times New Roman"/>
          <w:color w:val="auto"/>
          <w:kern w:val="0"/>
          <w:sz w:val="28"/>
          <w:szCs w:val="28"/>
          <w:vertAlign w:val="subscript"/>
        </w:rPr>
        <w:t>d</w:t>
      </w:r>
      <w:r>
        <w:rPr>
          <w:rFonts w:ascii="Times New Roman" w:hAnsi="Times New Roman" w:eastAsia="仿宋" w:cs="Times New Roman"/>
          <w:color w:val="auto"/>
          <w:kern w:val="0"/>
          <w:sz w:val="28"/>
          <w:szCs w:val="28"/>
        </w:rPr>
        <w:t xml:space="preserve"> 为评估年实测日径流量， </w:t>
      </w:r>
      <m:oMath>
        <m:acc>
          <m:accPr>
            <m:chr m:val="̅"/>
            <m:ctrlPr>
              <w:rPr>
                <w:rFonts w:ascii="Cambria Math" w:hAnsi="Cambria Math" w:eastAsia="仿宋" w:cs="Times New Roman"/>
                <w:color w:val="auto"/>
                <w:kern w:val="0"/>
                <w:sz w:val="28"/>
                <w:szCs w:val="28"/>
              </w:rPr>
            </m:ctrlPr>
          </m:accPr>
          <m:e>
            <m:r>
              <m:rPr/>
              <w:rPr>
                <w:rFonts w:ascii="Cambria Math" w:hAnsi="Cambria Math" w:eastAsia="仿宋" w:cs="Times New Roman"/>
                <w:color w:val="auto"/>
                <w:kern w:val="0"/>
                <w:sz w:val="28"/>
                <w:szCs w:val="28"/>
              </w:rPr>
              <m:t>Q</m:t>
            </m:r>
            <m:ctrlPr>
              <w:rPr>
                <w:rFonts w:ascii="Cambria Math" w:hAnsi="Cambria Math" w:eastAsia="仿宋" w:cs="Times New Roman"/>
                <w:color w:val="auto"/>
                <w:kern w:val="0"/>
                <w:sz w:val="28"/>
                <w:szCs w:val="28"/>
              </w:rPr>
            </m:ctrlPr>
          </m:e>
        </m:acc>
      </m:oMath>
      <w:r>
        <w:rPr>
          <w:rFonts w:ascii="Times New Roman" w:hAnsi="Times New Roman" w:eastAsia="仿宋" w:cs="Times New Roman"/>
          <w:color w:val="auto"/>
          <w:kern w:val="0"/>
          <w:sz w:val="28"/>
          <w:szCs w:val="28"/>
        </w:rPr>
        <w:t>为多年平均径流量，EF1 为4</w:t>
      </w:r>
      <w:r>
        <w:rPr>
          <w:rFonts w:hint="eastAsia" w:ascii="宋体" w:hAnsi="宋体" w:eastAsia="宋体" w:cs="宋体"/>
          <w:color w:val="auto"/>
          <w:kern w:val="0"/>
          <w:sz w:val="28"/>
          <w:szCs w:val="28"/>
        </w:rPr>
        <w:t>‐</w:t>
      </w:r>
      <w:r>
        <w:rPr>
          <w:rFonts w:ascii="Times New Roman" w:hAnsi="Times New Roman" w:eastAsia="仿宋" w:cs="Times New Roman"/>
          <w:color w:val="auto"/>
          <w:kern w:val="0"/>
          <w:sz w:val="28"/>
          <w:szCs w:val="28"/>
        </w:rPr>
        <w:t>9月份日均流量占多年平均流量的最低百分比；EF2 为 10</w:t>
      </w:r>
      <w:r>
        <w:rPr>
          <w:rFonts w:hint="eastAsia" w:ascii="宋体" w:hAnsi="宋体" w:eastAsia="宋体" w:cs="宋体"/>
          <w:color w:val="auto"/>
          <w:kern w:val="0"/>
          <w:sz w:val="28"/>
          <w:szCs w:val="28"/>
        </w:rPr>
        <w:t>‐</w:t>
      </w:r>
      <w:r>
        <w:rPr>
          <w:rFonts w:ascii="Times New Roman" w:hAnsi="Times New Roman" w:eastAsia="仿宋" w:cs="Times New Roman"/>
          <w:color w:val="auto"/>
          <w:kern w:val="0"/>
          <w:sz w:val="28"/>
          <w:szCs w:val="28"/>
        </w:rPr>
        <w:t>3 月份日均流量占多年平均流量的最低百分比。</w:t>
      </w:r>
    </w:p>
    <w:p>
      <w:pPr>
        <w:spacing w:line="360" w:lineRule="auto"/>
        <w:ind w:firstLine="840" w:firstLineChars="3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3）评估标准</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生态流量保障程度指标赋分标准如表 3.6.2-1 所示。</w:t>
      </w:r>
    </w:p>
    <w:p>
      <w:pPr>
        <w:spacing w:line="360" w:lineRule="auto"/>
        <w:ind w:firstLine="562" w:firstLineChars="200"/>
        <w:jc w:val="left"/>
        <w:rPr>
          <w:rFonts w:ascii="Times New Roman" w:hAnsi="Times New Roman" w:eastAsia="仿宋" w:cs="Times New Roman"/>
          <w:b/>
          <w:color w:val="auto"/>
          <w:kern w:val="0"/>
          <w:sz w:val="28"/>
          <w:szCs w:val="20"/>
        </w:rPr>
        <w:sectPr>
          <w:headerReference r:id="rId6" w:type="default"/>
          <w:pgSz w:w="11906" w:h="16838"/>
          <w:pgMar w:top="1361" w:right="1361" w:bottom="1474" w:left="1418" w:header="1021" w:footer="964" w:gutter="0"/>
          <w:cols w:space="425" w:num="1"/>
          <w:docGrid w:linePitch="312" w:charSpace="0"/>
        </w:sectPr>
      </w:pPr>
    </w:p>
    <w:p>
      <w:pPr>
        <w:spacing w:line="360" w:lineRule="auto"/>
        <w:ind w:firstLine="562" w:firstLineChars="200"/>
        <w:jc w:val="left"/>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 xml:space="preserve">表 3.6.2-1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 xml:space="preserve">  生态流量保证程度赋分方法</w:t>
      </w:r>
    </w:p>
    <w:tbl>
      <w:tblPr>
        <w:tblStyle w:val="15"/>
        <w:tblW w:w="914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007"/>
        <w:gridCol w:w="3504"/>
        <w:gridCol w:w="2958"/>
        <w:gridCol w:w="16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9" w:hRule="atLeast"/>
        </w:trPr>
        <w:tc>
          <w:tcPr>
            <w:tcW w:w="1007" w:type="dxa"/>
            <w:vMerge w:val="restart"/>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分级</w:t>
            </w:r>
          </w:p>
        </w:tc>
        <w:tc>
          <w:tcPr>
            <w:tcW w:w="6462" w:type="dxa"/>
            <w:gridSpan w:val="2"/>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推荐基流标准（年平均流量百分数）</w:t>
            </w:r>
          </w:p>
        </w:tc>
        <w:tc>
          <w:tcPr>
            <w:tcW w:w="1678" w:type="dxa"/>
            <w:vMerge w:val="restart"/>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赋分（EFr）</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5" w:hRule="atLeast"/>
        </w:trPr>
        <w:tc>
          <w:tcPr>
            <w:tcW w:w="1007" w:type="dxa"/>
            <w:vMerge w:val="continue"/>
            <w:shd w:val="clear" w:color="auto" w:fill="auto"/>
            <w:vAlign w:val="center"/>
          </w:tcPr>
          <w:p>
            <w:pPr>
              <w:spacing w:line="380" w:lineRule="exact"/>
              <w:jc w:val="center"/>
              <w:rPr>
                <w:rFonts w:ascii="Times New Roman" w:hAnsi="Times New Roman" w:eastAsia="仿宋" w:cs="Times New Roman"/>
                <w:color w:val="auto"/>
                <w:kern w:val="0"/>
                <w:sz w:val="21"/>
                <w:szCs w:val="21"/>
              </w:rPr>
            </w:pPr>
          </w:p>
        </w:tc>
        <w:tc>
          <w:tcPr>
            <w:tcW w:w="3504" w:type="dxa"/>
            <w:shd w:val="clear" w:color="auto" w:fill="auto"/>
            <w:vAlign w:val="center"/>
          </w:tcPr>
          <w:p>
            <w:pPr>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EF1</w:t>
            </w:r>
          </w:p>
          <w:p>
            <w:pPr>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一般水期（10-3 月）</w:t>
            </w:r>
          </w:p>
        </w:tc>
        <w:tc>
          <w:tcPr>
            <w:tcW w:w="2958" w:type="dxa"/>
            <w:shd w:val="clear" w:color="auto" w:fill="auto"/>
            <w:vAlign w:val="center"/>
          </w:tcPr>
          <w:p>
            <w:pPr>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EF2</w:t>
            </w:r>
          </w:p>
          <w:p>
            <w:pPr>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幼育期（</w:t>
            </w:r>
            <w:r>
              <w:rPr>
                <w:rFonts w:hint="eastAsia" w:ascii="Times New Roman" w:hAnsi="Times New Roman" w:eastAsia="仿宋" w:cs="Times New Roman"/>
                <w:color w:val="auto"/>
                <w:kern w:val="0"/>
                <w:sz w:val="21"/>
                <w:szCs w:val="21"/>
              </w:rPr>
              <w:t>4</w:t>
            </w:r>
            <w:r>
              <w:rPr>
                <w:rFonts w:ascii="Times New Roman" w:hAnsi="Times New Roman" w:eastAsia="仿宋" w:cs="Times New Roman"/>
                <w:color w:val="auto"/>
                <w:kern w:val="0"/>
                <w:sz w:val="21"/>
                <w:szCs w:val="21"/>
              </w:rPr>
              <w:t>-</w:t>
            </w:r>
            <w:r>
              <w:rPr>
                <w:rFonts w:hint="eastAsia" w:ascii="Times New Roman" w:hAnsi="Times New Roman" w:eastAsia="仿宋" w:cs="Times New Roman"/>
                <w:color w:val="auto"/>
                <w:kern w:val="0"/>
                <w:sz w:val="21"/>
                <w:szCs w:val="21"/>
              </w:rPr>
              <w:t>9</w:t>
            </w:r>
            <w:r>
              <w:rPr>
                <w:rFonts w:ascii="Times New Roman" w:hAnsi="Times New Roman" w:eastAsia="仿宋" w:cs="Times New Roman"/>
                <w:color w:val="auto"/>
                <w:kern w:val="0"/>
                <w:sz w:val="21"/>
                <w:szCs w:val="21"/>
              </w:rPr>
              <w:t>月）</w:t>
            </w:r>
          </w:p>
        </w:tc>
        <w:tc>
          <w:tcPr>
            <w:tcW w:w="1678" w:type="dxa"/>
            <w:vMerge w:val="continue"/>
            <w:shd w:val="clear" w:color="auto" w:fill="auto"/>
            <w:vAlign w:val="center"/>
          </w:tcPr>
          <w:p>
            <w:pPr>
              <w:spacing w:line="380" w:lineRule="exact"/>
              <w:jc w:val="center"/>
              <w:rPr>
                <w:rFonts w:ascii="Times New Roman" w:hAnsi="Times New Roman" w:eastAsia="仿宋" w:cs="Times New Roman"/>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4" w:hRule="atLeast"/>
        </w:trPr>
        <w:tc>
          <w:tcPr>
            <w:tcW w:w="1007"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1</w:t>
            </w:r>
          </w:p>
        </w:tc>
        <w:tc>
          <w:tcPr>
            <w:tcW w:w="3504"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≥30%</w:t>
            </w:r>
          </w:p>
        </w:tc>
        <w:tc>
          <w:tcPr>
            <w:tcW w:w="2958"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≥50%</w:t>
            </w:r>
          </w:p>
        </w:tc>
        <w:tc>
          <w:tcPr>
            <w:tcW w:w="1678"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trPr>
        <w:tc>
          <w:tcPr>
            <w:tcW w:w="1007"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w:t>
            </w:r>
          </w:p>
        </w:tc>
        <w:tc>
          <w:tcPr>
            <w:tcW w:w="3504"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20%~30%</w:t>
            </w:r>
          </w:p>
        </w:tc>
        <w:tc>
          <w:tcPr>
            <w:tcW w:w="2958"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40%~50%</w:t>
            </w:r>
          </w:p>
        </w:tc>
        <w:tc>
          <w:tcPr>
            <w:tcW w:w="1678"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80~100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13" w:hRule="atLeast"/>
        </w:trPr>
        <w:tc>
          <w:tcPr>
            <w:tcW w:w="1007"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3</w:t>
            </w:r>
          </w:p>
        </w:tc>
        <w:tc>
          <w:tcPr>
            <w:tcW w:w="3504"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10%~20%</w:t>
            </w:r>
          </w:p>
        </w:tc>
        <w:tc>
          <w:tcPr>
            <w:tcW w:w="2958"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30%~40%</w:t>
            </w:r>
          </w:p>
        </w:tc>
        <w:tc>
          <w:tcPr>
            <w:tcW w:w="1678"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40~80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 w:hRule="atLeast"/>
        </w:trPr>
        <w:tc>
          <w:tcPr>
            <w:tcW w:w="1007"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4</w:t>
            </w:r>
          </w:p>
        </w:tc>
        <w:tc>
          <w:tcPr>
            <w:tcW w:w="3504" w:type="dxa"/>
            <w:vMerge w:val="restart"/>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&lt;10%</w:t>
            </w:r>
          </w:p>
        </w:tc>
        <w:tc>
          <w:tcPr>
            <w:tcW w:w="2958"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10%~30%</w:t>
            </w:r>
          </w:p>
        </w:tc>
        <w:tc>
          <w:tcPr>
            <w:tcW w:w="1678"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20~40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 w:hRule="atLeast"/>
        </w:trPr>
        <w:tc>
          <w:tcPr>
            <w:tcW w:w="1007" w:type="dxa"/>
            <w:tcBorders>
              <w:bottom w:val="single" w:color="auto" w:sz="8" w:space="0"/>
            </w:tcBorders>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5</w:t>
            </w:r>
          </w:p>
        </w:tc>
        <w:tc>
          <w:tcPr>
            <w:tcW w:w="3504" w:type="dxa"/>
            <w:vMerge w:val="continue"/>
            <w:tcBorders>
              <w:bottom w:val="single" w:color="auto" w:sz="8" w:space="0"/>
            </w:tcBorders>
            <w:shd w:val="clear" w:color="auto" w:fill="auto"/>
            <w:vAlign w:val="center"/>
          </w:tcPr>
          <w:p>
            <w:pPr>
              <w:spacing w:line="380" w:lineRule="exact"/>
              <w:jc w:val="center"/>
              <w:rPr>
                <w:rFonts w:ascii="Times New Roman" w:hAnsi="Times New Roman" w:eastAsia="仿宋" w:cs="Times New Roman"/>
                <w:color w:val="auto"/>
                <w:kern w:val="0"/>
                <w:sz w:val="21"/>
                <w:szCs w:val="21"/>
              </w:rPr>
            </w:pPr>
          </w:p>
        </w:tc>
        <w:tc>
          <w:tcPr>
            <w:tcW w:w="2958" w:type="dxa"/>
            <w:tcBorders>
              <w:bottom w:val="single" w:color="auto" w:sz="8" w:space="0"/>
            </w:tcBorders>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&lt;10%</w:t>
            </w:r>
          </w:p>
        </w:tc>
        <w:tc>
          <w:tcPr>
            <w:tcW w:w="1678" w:type="dxa"/>
            <w:tcBorders>
              <w:bottom w:val="single" w:color="auto" w:sz="8" w:space="0"/>
            </w:tcBorders>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0~20</w:t>
            </w:r>
          </w:p>
        </w:tc>
      </w:tr>
    </w:tbl>
    <w:p>
      <w:pPr>
        <w:spacing w:line="560" w:lineRule="exact"/>
        <w:ind w:firstLine="560" w:firstLineChars="200"/>
        <w:jc w:val="left"/>
        <w:rPr>
          <w:rFonts w:ascii="Times New Roman" w:hAnsi="Times New Roman" w:eastAsia="仿宋" w:cs="Times New Roman"/>
          <w:color w:val="auto"/>
          <w:kern w:val="0"/>
          <w:sz w:val="28"/>
          <w:szCs w:val="20"/>
        </w:rPr>
      </w:pP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（2）</w:t>
      </w:r>
      <w:r>
        <w:rPr>
          <w:rFonts w:hint="eastAsia" w:ascii="Times New Roman" w:hAnsi="Times New Roman" w:eastAsia="仿宋" w:cs="Times New Roman"/>
          <w:color w:val="auto"/>
          <w:kern w:val="0"/>
          <w:sz w:val="28"/>
          <w:szCs w:val="20"/>
        </w:rPr>
        <w:t xml:space="preserve"> </w:t>
      </w:r>
      <w:r>
        <w:rPr>
          <w:rFonts w:ascii="Times New Roman" w:hAnsi="Times New Roman" w:eastAsia="仿宋" w:cs="Times New Roman"/>
          <w:color w:val="auto"/>
          <w:kern w:val="0"/>
          <w:sz w:val="28"/>
          <w:szCs w:val="20"/>
        </w:rPr>
        <w:t>流量过程变异程度（FD）</w:t>
      </w:r>
    </w:p>
    <w:p>
      <w:pPr>
        <w:spacing w:line="360" w:lineRule="auto"/>
        <w:ind w:firstLine="980" w:firstLineChars="35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1）指标说明</w:t>
      </w:r>
    </w:p>
    <w:p>
      <w:pPr>
        <w:spacing w:line="360" w:lineRule="auto"/>
        <w:ind w:firstLine="54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7"/>
          <w:szCs w:val="20"/>
        </w:rPr>
        <w:t>流量过程变异程度指现状开发状态下， 评估河段评估年内实测月径流过程与天然月径流过程的差异。 反映评估河段监测断面以上流域水资源开</w:t>
      </w:r>
      <w:r>
        <w:rPr>
          <w:rFonts w:ascii="Times New Roman" w:hAnsi="Times New Roman" w:eastAsia="仿宋" w:cs="Times New Roman"/>
          <w:color w:val="auto"/>
          <w:kern w:val="0"/>
          <w:sz w:val="28"/>
          <w:szCs w:val="20"/>
        </w:rPr>
        <w:t>发利用对评估河段河流水文情势的影响</w:t>
      </w:r>
      <w:bookmarkStart w:id="61" w:name="page50"/>
      <w:bookmarkEnd w:id="61"/>
      <w:r>
        <w:rPr>
          <w:rFonts w:ascii="Times New Roman" w:hAnsi="Times New Roman" w:eastAsia="仿宋" w:cs="Times New Roman"/>
          <w:color w:val="auto"/>
          <w:kern w:val="0"/>
          <w:sz w:val="28"/>
          <w:szCs w:val="20"/>
        </w:rPr>
        <w:t>程度。</w:t>
      </w:r>
    </w:p>
    <w:p>
      <w:pPr>
        <w:spacing w:line="360" w:lineRule="auto"/>
        <w:ind w:firstLine="840" w:firstLineChars="3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2）计算方法</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流量过程变异程度由评估年逐月实测径流量与天然月径流量的平均偏离程度表达。计算公式如下：</w:t>
      </w:r>
    </w:p>
    <w:p>
      <w:pPr>
        <w:spacing w:line="360" w:lineRule="auto"/>
        <w:ind w:firstLine="700" w:firstLineChars="350"/>
        <w:jc w:val="left"/>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0"/>
          <w:szCs w:val="20"/>
        </w:rPr>
        <w:drawing>
          <wp:anchor distT="0" distB="0" distL="114300" distR="114300" simplePos="0" relativeHeight="251670528" behindDoc="0" locked="0" layoutInCell="1" allowOverlap="1">
            <wp:simplePos x="0" y="0"/>
            <wp:positionH relativeFrom="column">
              <wp:posOffset>3138170</wp:posOffset>
            </wp:positionH>
            <wp:positionV relativeFrom="paragraph">
              <wp:posOffset>129540</wp:posOffset>
            </wp:positionV>
            <wp:extent cx="1400175" cy="399415"/>
            <wp:effectExtent l="0" t="0" r="9525" b="63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400175" cy="399415"/>
                    </a:xfrm>
                    <a:prstGeom prst="rect">
                      <a:avLst/>
                    </a:prstGeom>
                    <a:noFill/>
                  </pic:spPr>
                </pic:pic>
              </a:graphicData>
            </a:graphic>
          </wp:anchor>
        </w:drawing>
      </w:r>
      <w:r>
        <w:rPr>
          <w:rFonts w:ascii="Times New Roman" w:hAnsi="Times New Roman" w:eastAsia="仿宋" w:cs="Times New Roman"/>
          <w:color w:val="auto"/>
          <w:kern w:val="0"/>
          <w:sz w:val="20"/>
          <w:szCs w:val="20"/>
        </w:rPr>
        <w:drawing>
          <wp:anchor distT="0" distB="0" distL="114300" distR="114300" simplePos="0" relativeHeight="251669504" behindDoc="0" locked="0" layoutInCell="1" allowOverlap="1">
            <wp:simplePos x="0" y="0"/>
            <wp:positionH relativeFrom="column">
              <wp:posOffset>807720</wp:posOffset>
            </wp:positionH>
            <wp:positionV relativeFrom="paragraph">
              <wp:posOffset>-3810</wp:posOffset>
            </wp:positionV>
            <wp:extent cx="2141855" cy="600710"/>
            <wp:effectExtent l="0" t="0" r="0" b="889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141855" cy="600710"/>
                    </a:xfrm>
                    <a:prstGeom prst="rect">
                      <a:avLst/>
                    </a:prstGeom>
                    <a:noFill/>
                  </pic:spPr>
                </pic:pic>
              </a:graphicData>
            </a:graphic>
          </wp:anchor>
        </w:drawing>
      </w:r>
      <w:r>
        <w:rPr>
          <w:rFonts w:hint="eastAsia" w:ascii="Times New Roman" w:hAnsi="Times New Roman" w:eastAsia="仿宋" w:cs="Times New Roman"/>
          <w:color w:val="auto"/>
          <w:kern w:val="0"/>
          <w:sz w:val="20"/>
          <w:szCs w:val="20"/>
        </w:rPr>
        <w:t xml:space="preserve">      </w:t>
      </w:r>
    </w:p>
    <w:p>
      <w:pPr>
        <w:spacing w:line="360" w:lineRule="auto"/>
        <w:ind w:firstLine="540" w:firstLineChars="200"/>
        <w:rPr>
          <w:rFonts w:ascii="Times New Roman" w:hAnsi="Times New Roman" w:eastAsia="仿宋" w:cs="Times New Roman"/>
          <w:color w:val="auto"/>
          <w:kern w:val="0"/>
          <w:sz w:val="27"/>
          <w:szCs w:val="20"/>
        </w:rPr>
      </w:pPr>
    </w:p>
    <w:p>
      <w:pPr>
        <w:spacing w:line="360" w:lineRule="auto"/>
        <w:ind w:firstLine="540" w:firstLineChars="200"/>
        <w:rPr>
          <w:rFonts w:ascii="Times New Roman" w:hAnsi="Times New Roman" w:eastAsia="仿宋" w:cs="Times New Roman"/>
          <w:color w:val="auto"/>
          <w:kern w:val="0"/>
          <w:sz w:val="27"/>
          <w:szCs w:val="20"/>
        </w:rPr>
      </w:pPr>
    </w:p>
    <w:p>
      <w:pPr>
        <w:spacing w:line="360" w:lineRule="auto"/>
        <w:ind w:firstLine="54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7"/>
          <w:szCs w:val="20"/>
        </w:rPr>
        <w:t>式中：q</w:t>
      </w:r>
      <w:r>
        <w:rPr>
          <w:rFonts w:ascii="Times New Roman" w:hAnsi="Times New Roman" w:eastAsia="仿宋" w:cs="Times New Roman"/>
          <w:color w:val="auto"/>
          <w:kern w:val="0"/>
          <w:sz w:val="35"/>
          <w:szCs w:val="20"/>
          <w:vertAlign w:val="subscript"/>
        </w:rPr>
        <w:t>m</w:t>
      </w:r>
      <w:r>
        <w:rPr>
          <w:rFonts w:ascii="Times New Roman" w:hAnsi="Times New Roman" w:eastAsia="仿宋" w:cs="Times New Roman"/>
          <w:color w:val="auto"/>
          <w:kern w:val="0"/>
          <w:sz w:val="27"/>
          <w:szCs w:val="20"/>
        </w:rPr>
        <w:t xml:space="preserve"> 为评估年实测月径流量，Qm 为评估年天然月径流量，Q</w:t>
      </w:r>
      <w:r>
        <w:rPr>
          <w:rFonts w:ascii="Times New Roman" w:hAnsi="Times New Roman" w:eastAsia="仿宋" w:cs="Times New Roman"/>
          <w:color w:val="auto"/>
          <w:kern w:val="0"/>
          <w:sz w:val="35"/>
          <w:szCs w:val="20"/>
          <w:vertAlign w:val="subscript"/>
        </w:rPr>
        <w:t>m</w:t>
      </w:r>
      <w:r>
        <w:rPr>
          <w:rFonts w:ascii="Times New Roman" w:hAnsi="Times New Roman" w:eastAsia="仿宋" w:cs="Times New Roman"/>
          <w:color w:val="auto"/>
          <w:kern w:val="0"/>
          <w:sz w:val="27"/>
          <w:szCs w:val="20"/>
        </w:rPr>
        <w:t>`为</w:t>
      </w:r>
      <w:r>
        <w:rPr>
          <w:rFonts w:ascii="Times New Roman" w:hAnsi="Times New Roman" w:eastAsia="仿宋" w:cs="Times New Roman"/>
          <w:color w:val="auto"/>
          <w:kern w:val="0"/>
          <w:sz w:val="28"/>
          <w:szCs w:val="20"/>
        </w:rPr>
        <w:t>评估年天然月径流量年均值，天然径流量按照水资源调查评估相关技术规划得到的还原量。</w:t>
      </w:r>
    </w:p>
    <w:p>
      <w:pPr>
        <w:spacing w:line="360" w:lineRule="auto"/>
        <w:ind w:firstLine="840" w:firstLineChars="3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3）评估标准</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流量过程变异程度指标（FD）值越大，说明相对天然水文情势的河流水文情势变化越大，对河流生态的影响也越大。 如表 3.6.2-2 所示</w:t>
      </w:r>
      <w:r>
        <w:rPr>
          <w:rFonts w:hint="eastAsia" w:ascii="Times New Roman" w:hAnsi="Times New Roman" w:eastAsia="仿宋" w:cs="Times New Roman"/>
          <w:color w:val="auto"/>
          <w:kern w:val="0"/>
          <w:sz w:val="28"/>
          <w:szCs w:val="20"/>
        </w:rPr>
        <w:t>。</w:t>
      </w:r>
    </w:p>
    <w:p>
      <w:pPr>
        <w:spacing w:line="360" w:lineRule="auto"/>
        <w:ind w:firstLine="560" w:firstLineChars="200"/>
        <w:rPr>
          <w:rFonts w:ascii="Times New Roman" w:hAnsi="Times New Roman" w:eastAsia="仿宋" w:cs="Times New Roman"/>
          <w:color w:val="auto"/>
          <w:kern w:val="0"/>
          <w:sz w:val="28"/>
          <w:szCs w:val="20"/>
        </w:rPr>
      </w:pPr>
    </w:p>
    <w:p>
      <w:pPr>
        <w:spacing w:line="360" w:lineRule="auto"/>
        <w:ind w:firstLine="562" w:firstLineChars="200"/>
        <w:jc w:val="left"/>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 xml:space="preserve">表 3.6.2-2          </w:t>
      </w:r>
      <w:r>
        <w:rPr>
          <w:rFonts w:hint="eastAsia" w:ascii="Times New Roman" w:hAnsi="Times New Roman" w:eastAsia="仿宋" w:cs="Times New Roman"/>
          <w:b/>
          <w:color w:val="auto"/>
          <w:kern w:val="0"/>
          <w:sz w:val="28"/>
          <w:szCs w:val="20"/>
          <w:lang w:val="en-US" w:eastAsia="zh-CN"/>
        </w:rPr>
        <w:t xml:space="preserve">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 xml:space="preserve">    流量过程变异程度指标赋分表</w:t>
      </w:r>
    </w:p>
    <w:tbl>
      <w:tblPr>
        <w:tblStyle w:val="15"/>
        <w:tblW w:w="932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4680"/>
        <w:gridCol w:w="464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6" w:hRule="atLeast"/>
        </w:trPr>
        <w:tc>
          <w:tcPr>
            <w:tcW w:w="468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流量过程变异程度（FD）</w:t>
            </w:r>
          </w:p>
        </w:tc>
        <w:tc>
          <w:tcPr>
            <w:tcW w:w="464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流量过程变异程度福分（FDr）</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9" w:hRule="atLeast"/>
        </w:trPr>
        <w:tc>
          <w:tcPr>
            <w:tcW w:w="468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0.05</w:t>
            </w:r>
          </w:p>
        </w:tc>
        <w:tc>
          <w:tcPr>
            <w:tcW w:w="464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7" w:hRule="atLeast"/>
        </w:trPr>
        <w:tc>
          <w:tcPr>
            <w:tcW w:w="468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0.1</w:t>
            </w:r>
          </w:p>
        </w:tc>
        <w:tc>
          <w:tcPr>
            <w:tcW w:w="464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75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6" w:hRule="atLeast"/>
        </w:trPr>
        <w:tc>
          <w:tcPr>
            <w:tcW w:w="468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0.3</w:t>
            </w:r>
          </w:p>
        </w:tc>
        <w:tc>
          <w:tcPr>
            <w:tcW w:w="464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69" w:hRule="atLeast"/>
        </w:trPr>
        <w:tc>
          <w:tcPr>
            <w:tcW w:w="468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1.5</w:t>
            </w:r>
          </w:p>
        </w:tc>
        <w:tc>
          <w:tcPr>
            <w:tcW w:w="464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6" w:hRule="atLeast"/>
        </w:trPr>
        <w:tc>
          <w:tcPr>
            <w:tcW w:w="468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3.5</w:t>
            </w:r>
          </w:p>
        </w:tc>
        <w:tc>
          <w:tcPr>
            <w:tcW w:w="464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6" w:hRule="atLeast"/>
        </w:trPr>
        <w:tc>
          <w:tcPr>
            <w:tcW w:w="468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5</w:t>
            </w:r>
          </w:p>
        </w:tc>
        <w:tc>
          <w:tcPr>
            <w:tcW w:w="464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w:t>
            </w:r>
          </w:p>
        </w:tc>
      </w:tr>
    </w:tbl>
    <w:p>
      <w:pPr>
        <w:spacing w:line="560" w:lineRule="exact"/>
        <w:ind w:firstLine="560" w:firstLineChars="200"/>
        <w:jc w:val="left"/>
        <w:rPr>
          <w:rFonts w:ascii="Times New Roman" w:hAnsi="Times New Roman" w:eastAsia="仿宋" w:cs="Times New Roman"/>
          <w:color w:val="auto"/>
          <w:kern w:val="0"/>
          <w:sz w:val="28"/>
          <w:szCs w:val="20"/>
        </w:rPr>
      </w:pP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（3）水文水资源准则层（HD）赋分方法</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水文水资源准则层（HD）包括 2 个指标，其赋分（HDr）下式计算：</w:t>
      </w:r>
    </w:p>
    <w:p>
      <w:pPr>
        <w:spacing w:line="360" w:lineRule="auto"/>
        <w:jc w:val="center"/>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HDr= FDr × FDw + Efr × EFw</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式中变量如表 3.6.2-3 所示。</w:t>
      </w:r>
    </w:p>
    <w:p>
      <w:pPr>
        <w:spacing w:line="360" w:lineRule="auto"/>
        <w:ind w:firstLine="562" w:firstLineChars="200"/>
        <w:jc w:val="left"/>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 xml:space="preserve">表 3.6.2-3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 xml:space="preserve">  水文水资源准则层赋分公式变量说明</w:t>
      </w:r>
    </w:p>
    <w:tbl>
      <w:tblPr>
        <w:tblStyle w:val="15"/>
        <w:tblW w:w="914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3001"/>
        <w:gridCol w:w="2181"/>
        <w:gridCol w:w="2181"/>
        <w:gridCol w:w="17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9" w:hRule="atLeast"/>
        </w:trPr>
        <w:tc>
          <w:tcPr>
            <w:tcW w:w="3001"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河流指标层</w:t>
            </w:r>
          </w:p>
        </w:tc>
        <w:tc>
          <w:tcPr>
            <w:tcW w:w="2181"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赋分</w:t>
            </w:r>
          </w:p>
        </w:tc>
        <w:tc>
          <w:tcPr>
            <w:tcW w:w="2181"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赋分范围</w:t>
            </w:r>
          </w:p>
        </w:tc>
        <w:tc>
          <w:tcPr>
            <w:tcW w:w="1784"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建议权重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3" w:hRule="atLeast"/>
        </w:trPr>
        <w:tc>
          <w:tcPr>
            <w:tcW w:w="3001"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流量变异程度</w:t>
            </w:r>
          </w:p>
        </w:tc>
        <w:tc>
          <w:tcPr>
            <w:tcW w:w="2181"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FDr</w:t>
            </w:r>
          </w:p>
        </w:tc>
        <w:tc>
          <w:tcPr>
            <w:tcW w:w="2181"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0-100</w:t>
            </w:r>
          </w:p>
        </w:tc>
        <w:tc>
          <w:tcPr>
            <w:tcW w:w="1784"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3001"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生态流量保障程度</w:t>
            </w:r>
          </w:p>
        </w:tc>
        <w:tc>
          <w:tcPr>
            <w:tcW w:w="2181"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Efr</w:t>
            </w:r>
          </w:p>
        </w:tc>
        <w:tc>
          <w:tcPr>
            <w:tcW w:w="2181" w:type="dxa"/>
            <w:shd w:val="clear" w:color="auto" w:fill="auto"/>
            <w:vAlign w:val="bottom"/>
          </w:tcPr>
          <w:p>
            <w:pPr>
              <w:spacing w:line="380" w:lineRule="exact"/>
              <w:jc w:val="center"/>
              <w:rPr>
                <w:rFonts w:ascii="Times New Roman" w:hAnsi="Times New Roman" w:eastAsia="仿宋" w:cs="Times New Roman"/>
                <w:color w:val="auto"/>
                <w:kern w:val="0"/>
                <w:szCs w:val="21"/>
              </w:rPr>
            </w:pPr>
            <w:bookmarkStart w:id="62" w:name="page51"/>
            <w:bookmarkEnd w:id="62"/>
            <w:r>
              <w:rPr>
                <w:rFonts w:ascii="Times New Roman" w:hAnsi="Times New Roman" w:eastAsia="仿宋" w:cs="Times New Roman"/>
                <w:color w:val="auto"/>
                <w:kern w:val="0"/>
                <w:szCs w:val="21"/>
              </w:rPr>
              <w:t>0-100</w:t>
            </w:r>
          </w:p>
        </w:tc>
        <w:tc>
          <w:tcPr>
            <w:tcW w:w="1784"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0.7</w:t>
            </w:r>
          </w:p>
        </w:tc>
      </w:tr>
    </w:tbl>
    <w:p>
      <w:pPr>
        <w:spacing w:line="360" w:lineRule="auto"/>
        <w:outlineLvl w:val="9"/>
        <w:rPr>
          <w:rFonts w:ascii="Times New Roman" w:hAnsi="Times New Roman" w:eastAsia="仿宋" w:cs="Times New Roman"/>
          <w:color w:val="auto"/>
          <w:kern w:val="0"/>
          <w:sz w:val="28"/>
          <w:szCs w:val="20"/>
        </w:rPr>
      </w:pPr>
    </w:p>
    <w:p>
      <w:pPr>
        <w:spacing w:line="360" w:lineRule="auto"/>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3.6.3 水质指标（WQ）</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水质状况指标采用《地表水环境质量标准（GB3838-2002）》中的基本项目指标。根据《方法（1.0版）》中的分类，将上述指标分为</w:t>
      </w:r>
      <w:r>
        <w:rPr>
          <w:rFonts w:hint="eastAsia" w:ascii="Times New Roman" w:hAnsi="Times New Roman" w:eastAsia="仿宋" w:cs="Times New Roman"/>
          <w:color w:val="auto"/>
          <w:kern w:val="0"/>
          <w:sz w:val="28"/>
          <w:szCs w:val="20"/>
        </w:rPr>
        <w:t>水温变异状况（WTC）、水质</w:t>
      </w:r>
      <w:r>
        <w:rPr>
          <w:rFonts w:ascii="Times New Roman" w:hAnsi="Times New Roman" w:eastAsia="仿宋" w:cs="Times New Roman"/>
          <w:color w:val="auto"/>
          <w:kern w:val="0"/>
          <w:sz w:val="28"/>
          <w:szCs w:val="20"/>
        </w:rPr>
        <w:t>状况（DO）、耗氧有机污染状况（OCP）和重金属污染状况（HMP）</w:t>
      </w:r>
      <w:r>
        <w:rPr>
          <w:rFonts w:hint="eastAsia" w:ascii="Times New Roman" w:hAnsi="Times New Roman" w:eastAsia="仿宋" w:cs="Times New Roman"/>
          <w:color w:val="auto"/>
          <w:kern w:val="0"/>
          <w:sz w:val="28"/>
          <w:szCs w:val="20"/>
        </w:rPr>
        <w:t>四</w:t>
      </w:r>
      <w:r>
        <w:rPr>
          <w:rFonts w:ascii="Times New Roman" w:hAnsi="Times New Roman" w:eastAsia="仿宋" w:cs="Times New Roman"/>
          <w:color w:val="auto"/>
          <w:kern w:val="0"/>
          <w:sz w:val="28"/>
          <w:szCs w:val="20"/>
        </w:rPr>
        <w:t>类。</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w:t>
      </w:r>
      <w:r>
        <w:rPr>
          <w:rFonts w:hint="eastAsia" w:ascii="Times New Roman" w:hAnsi="Times New Roman" w:eastAsia="仿宋" w:cs="Times New Roman"/>
          <w:color w:val="auto"/>
          <w:kern w:val="0"/>
          <w:sz w:val="28"/>
          <w:szCs w:val="20"/>
        </w:rPr>
        <w:t>1</w:t>
      </w:r>
      <w:r>
        <w:rPr>
          <w:rFonts w:ascii="Times New Roman" w:hAnsi="Times New Roman" w:eastAsia="仿宋" w:cs="Times New Roman"/>
          <w:color w:val="auto"/>
          <w:kern w:val="0"/>
          <w:sz w:val="28"/>
          <w:szCs w:val="20"/>
        </w:rPr>
        <w:t>）</w:t>
      </w:r>
      <w:r>
        <w:rPr>
          <w:rFonts w:hint="eastAsia" w:ascii="Times New Roman" w:hAnsi="Times New Roman" w:eastAsia="仿宋" w:cs="Times New Roman"/>
          <w:color w:val="auto"/>
          <w:kern w:val="0"/>
          <w:sz w:val="28"/>
          <w:szCs w:val="20"/>
        </w:rPr>
        <w:t>水温变异状况（WTC）</w:t>
      </w:r>
    </w:p>
    <w:p>
      <w:pPr>
        <w:spacing w:line="360" w:lineRule="auto"/>
        <w:ind w:firstLine="840" w:firstLineChars="3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1）指标说明</w:t>
      </w:r>
    </w:p>
    <w:p>
      <w:pPr>
        <w:spacing w:line="360" w:lineRule="auto"/>
        <w:ind w:firstLine="540" w:firstLineChars="200"/>
        <w:rPr>
          <w:rFonts w:ascii="Times New Roman" w:hAnsi="Times New Roman" w:eastAsia="仿宋" w:cs="Times New Roman"/>
          <w:color w:val="auto"/>
          <w:kern w:val="0"/>
          <w:sz w:val="28"/>
          <w:szCs w:val="20"/>
        </w:rPr>
      </w:pPr>
      <w:r>
        <w:rPr>
          <w:rFonts w:hint="eastAsia" w:ascii="Times New Roman" w:hAnsi="Times New Roman" w:eastAsia="仿宋" w:cs="Times New Roman"/>
          <w:color w:val="auto"/>
          <w:kern w:val="0"/>
          <w:sz w:val="27"/>
          <w:szCs w:val="20"/>
        </w:rPr>
        <w:t>水温变异是指现状水温月变化过程与多年平均水温月变化过程的变异程度，反映河流开发活动对河流水温的影响，重点反映水利水电工程造成的低温水影响。</w:t>
      </w:r>
    </w:p>
    <w:p>
      <w:pPr>
        <w:spacing w:line="360" w:lineRule="auto"/>
        <w:ind w:firstLine="840" w:firstLineChars="3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2）计算方法</w:t>
      </w:r>
    </w:p>
    <w:p>
      <w:pPr>
        <w:spacing w:line="360" w:lineRule="auto"/>
        <w:ind w:firstLine="560" w:firstLineChars="200"/>
        <w:rPr>
          <w:rFonts w:ascii="Times New Roman" w:hAnsi="Times New Roman" w:eastAsia="仿宋" w:cs="Times New Roman"/>
          <w:color w:val="auto"/>
          <w:kern w:val="0"/>
          <w:sz w:val="28"/>
          <w:szCs w:val="20"/>
        </w:rPr>
      </w:pPr>
      <w:r>
        <w:rPr>
          <w:rFonts w:hint="eastAsia" w:ascii="Times New Roman" w:hAnsi="Times New Roman" w:eastAsia="仿宋" w:cs="Times New Roman"/>
          <w:color w:val="auto"/>
          <w:kern w:val="0"/>
          <w:sz w:val="28"/>
          <w:szCs w:val="20"/>
        </w:rPr>
        <w:t>水温变异程度由评估年逐月实测平均水温与多年平均月均水温变异最大值表示</w:t>
      </w:r>
      <w:r>
        <w:rPr>
          <w:rFonts w:ascii="Times New Roman" w:hAnsi="Times New Roman" w:eastAsia="仿宋" w:cs="Times New Roman"/>
          <w:color w:val="auto"/>
          <w:kern w:val="0"/>
          <w:sz w:val="28"/>
          <w:szCs w:val="20"/>
        </w:rPr>
        <w:t>。</w:t>
      </w:r>
    </w:p>
    <w:p>
      <w:pPr>
        <w:spacing w:line="360" w:lineRule="auto"/>
        <w:ind w:firstLine="560" w:firstLineChars="200"/>
        <w:rPr>
          <w:rFonts w:ascii="Times New Roman" w:hAnsi="Times New Roman" w:eastAsia="仿宋" w:cs="Times New Roman"/>
          <w:color w:val="auto"/>
          <w:kern w:val="0"/>
          <w:sz w:val="28"/>
          <w:szCs w:val="20"/>
        </w:rPr>
      </w:pPr>
      <m:oMathPara>
        <m:oMath>
          <m:r>
            <m:rPr>
              <m:sty m:val="p"/>
            </m:rPr>
            <w:rPr>
              <w:rFonts w:ascii="Cambria Math" w:hAnsi="Cambria Math" w:eastAsia="仿宋" w:cs="Times New Roman"/>
              <w:color w:val="auto"/>
              <w:kern w:val="0"/>
              <w:sz w:val="28"/>
              <w:szCs w:val="20"/>
            </w:rPr>
            <m:t>WT1=Max（</m:t>
          </m:r>
          <m:d>
            <m:dPr>
              <m:begChr m:val="|"/>
              <m:endChr m:val="|"/>
              <m:ctrlPr>
                <w:rPr>
                  <w:rFonts w:ascii="Cambria Math" w:hAnsi="Cambria Math" w:eastAsia="仿宋" w:cs="Times New Roman"/>
                  <w:color w:val="auto"/>
                  <w:kern w:val="0"/>
                  <w:sz w:val="28"/>
                  <w:szCs w:val="20"/>
                </w:rPr>
              </m:ctrlPr>
            </m:dPr>
            <m:e>
              <m:r>
                <m:rPr>
                  <m:sty m:val="p"/>
                </m:rPr>
                <w:rPr>
                  <w:rFonts w:ascii="Cambria Math" w:hAnsi="Cambria Math" w:eastAsia="仿宋" w:cs="Times New Roman"/>
                  <w:color w:val="auto"/>
                  <w:kern w:val="0"/>
                  <w:sz w:val="28"/>
                  <w:szCs w:val="20"/>
                </w:rPr>
                <m:t>Tm−</m:t>
              </m:r>
              <m:bar>
                <m:barPr>
                  <m:pos m:val="top"/>
                  <m:ctrlPr>
                    <w:rPr>
                      <w:rFonts w:ascii="Cambria Math" w:hAnsi="Cambria Math" w:eastAsia="仿宋" w:cs="Times New Roman"/>
                      <w:color w:val="auto"/>
                      <w:kern w:val="0"/>
                      <w:sz w:val="28"/>
                      <w:szCs w:val="20"/>
                    </w:rPr>
                  </m:ctrlPr>
                </m:barPr>
                <m:e>
                  <m:r>
                    <m:rPr/>
                    <w:rPr>
                      <w:rFonts w:ascii="Cambria Math" w:hAnsi="Cambria Math" w:eastAsia="仿宋" w:cs="Times New Roman"/>
                      <w:color w:val="auto"/>
                      <w:kern w:val="0"/>
                      <w:sz w:val="28"/>
                      <w:szCs w:val="20"/>
                    </w:rPr>
                    <m:t>T</m:t>
                  </m:r>
                  <m:ctrlPr>
                    <w:rPr>
                      <w:rFonts w:ascii="Cambria Math" w:hAnsi="Cambria Math" w:eastAsia="仿宋" w:cs="Times New Roman"/>
                      <w:color w:val="auto"/>
                      <w:kern w:val="0"/>
                      <w:sz w:val="28"/>
                      <w:szCs w:val="20"/>
                    </w:rPr>
                  </m:ctrlPr>
                </m:e>
              </m:bar>
              <m:r>
                <m:rPr/>
                <w:rPr>
                  <w:rFonts w:ascii="Cambria Math" w:hAnsi="Cambria Math" w:eastAsia="仿宋" w:cs="Times New Roman"/>
                  <w:color w:val="auto"/>
                  <w:kern w:val="0"/>
                  <w:sz w:val="28"/>
                  <w:szCs w:val="20"/>
                </w:rPr>
                <m:t>m</m:t>
              </m:r>
              <m:ctrlPr>
                <w:rPr>
                  <w:rFonts w:ascii="Cambria Math" w:hAnsi="Cambria Math" w:eastAsia="仿宋" w:cs="Times New Roman"/>
                  <w:color w:val="auto"/>
                  <w:kern w:val="0"/>
                  <w:sz w:val="28"/>
                  <w:szCs w:val="20"/>
                </w:rPr>
              </m:ctrlPr>
            </m:e>
          </m:d>
          <m:r>
            <m:rPr/>
            <w:rPr>
              <w:rFonts w:ascii="Cambria Math" w:hAnsi="Cambria Math" w:eastAsia="仿宋" w:cs="Times New Roman"/>
              <w:color w:val="auto"/>
              <w:kern w:val="0"/>
              <w:sz w:val="28"/>
              <w:szCs w:val="20"/>
            </w:rPr>
            <m:t>)</m:t>
          </m:r>
        </m:oMath>
      </m:oMathPara>
    </w:p>
    <w:p>
      <w:pPr>
        <w:spacing w:line="360" w:lineRule="auto"/>
        <w:ind w:firstLine="560" w:firstLineChars="200"/>
        <w:rPr>
          <w:rFonts w:ascii="Times New Roman" w:hAnsi="Times New Roman" w:eastAsia="仿宋" w:cs="Times New Roman"/>
          <w:color w:val="auto"/>
          <w:kern w:val="0"/>
          <w:sz w:val="28"/>
          <w:szCs w:val="20"/>
        </w:rPr>
      </w:pPr>
      <w:r>
        <w:rPr>
          <w:rFonts w:hint="eastAsia" w:ascii="Times New Roman" w:hAnsi="Times New Roman" w:eastAsia="仿宋" w:cs="Times New Roman"/>
          <w:color w:val="auto"/>
          <w:kern w:val="0"/>
          <w:sz w:val="28"/>
          <w:szCs w:val="20"/>
        </w:rPr>
        <w:t>式中，Tm为评估年实测月均水温，</w:t>
      </w:r>
      <m:oMath>
        <m:bar>
          <m:barPr>
            <m:pos m:val="top"/>
            <m:ctrlPr>
              <w:rPr>
                <w:rFonts w:ascii="Cambria Math" w:hAnsi="Cambria Math" w:eastAsia="仿宋" w:cs="Times New Roman"/>
                <w:color w:val="auto"/>
                <w:kern w:val="0"/>
                <w:sz w:val="28"/>
                <w:szCs w:val="20"/>
              </w:rPr>
            </m:ctrlPr>
          </m:barPr>
          <m:e>
            <m:r>
              <m:rPr>
                <m:sty m:val="p"/>
              </m:rPr>
              <w:rPr>
                <w:rFonts w:ascii="Cambria Math" w:hAnsi="Cambria Math" w:eastAsia="仿宋" w:cs="Times New Roman"/>
                <w:color w:val="auto"/>
                <w:kern w:val="0"/>
                <w:sz w:val="28"/>
                <w:szCs w:val="20"/>
              </w:rPr>
              <m:t>T</m:t>
            </m:r>
            <m:ctrlPr>
              <w:rPr>
                <w:rFonts w:ascii="Cambria Math" w:hAnsi="Cambria Math" w:eastAsia="仿宋" w:cs="Times New Roman"/>
                <w:color w:val="auto"/>
                <w:kern w:val="0"/>
                <w:sz w:val="28"/>
                <w:szCs w:val="20"/>
              </w:rPr>
            </m:ctrlPr>
          </m:e>
        </m:bar>
        <m:r>
          <m:rPr/>
          <w:rPr>
            <w:rFonts w:ascii="Cambria Math" w:hAnsi="Cambria Math" w:eastAsia="仿宋" w:cs="Times New Roman"/>
            <w:color w:val="auto"/>
            <w:kern w:val="0"/>
            <w:sz w:val="28"/>
            <w:szCs w:val="20"/>
          </w:rPr>
          <m:t>m</m:t>
        </m:r>
      </m:oMath>
      <w:r>
        <w:rPr>
          <w:rFonts w:hint="eastAsia" w:ascii="Times New Roman" w:hAnsi="Times New Roman" w:eastAsia="仿宋" w:cs="Times New Roman"/>
          <w:color w:val="auto"/>
          <w:kern w:val="0"/>
          <w:sz w:val="28"/>
          <w:szCs w:val="20"/>
        </w:rPr>
        <w:t>为多年平均月均水温。</w:t>
      </w:r>
    </w:p>
    <w:p>
      <w:pPr>
        <w:spacing w:line="360" w:lineRule="auto"/>
        <w:ind w:firstLine="840" w:firstLineChars="3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3）指标赋分</w:t>
      </w:r>
    </w:p>
    <w:p>
      <w:pPr>
        <w:spacing w:line="360" w:lineRule="auto"/>
        <w:ind w:firstLine="560" w:firstLineChars="200"/>
        <w:rPr>
          <w:rFonts w:ascii="Times New Roman" w:hAnsi="Times New Roman" w:eastAsia="仿宋" w:cs="Times New Roman"/>
          <w:color w:val="auto"/>
          <w:kern w:val="0"/>
          <w:sz w:val="28"/>
          <w:szCs w:val="20"/>
        </w:rPr>
      </w:pPr>
      <w:r>
        <w:rPr>
          <w:rFonts w:hint="eastAsia" w:ascii="Times New Roman" w:hAnsi="Times New Roman" w:eastAsia="仿宋" w:cs="Times New Roman"/>
          <w:color w:val="auto"/>
          <w:kern w:val="0"/>
          <w:sz w:val="28"/>
          <w:szCs w:val="20"/>
        </w:rPr>
        <w:t>水温变异程度指标赋分如表3.6.3-1。</w:t>
      </w:r>
    </w:p>
    <w:p>
      <w:pPr>
        <w:spacing w:line="360" w:lineRule="auto"/>
        <w:ind w:firstLine="562" w:firstLineChars="200"/>
        <w:jc w:val="left"/>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 xml:space="preserve">表 3.6.3-1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 xml:space="preserve"> </w:t>
      </w:r>
      <w:r>
        <w:rPr>
          <w:rFonts w:hint="eastAsia" w:ascii="Times New Roman" w:hAnsi="Times New Roman" w:eastAsia="仿宋" w:cs="Times New Roman"/>
          <w:b/>
          <w:color w:val="auto"/>
          <w:kern w:val="0"/>
          <w:sz w:val="28"/>
          <w:szCs w:val="20"/>
        </w:rPr>
        <w:t>水温变异程度</w:t>
      </w:r>
      <w:r>
        <w:rPr>
          <w:rFonts w:ascii="Times New Roman" w:hAnsi="Times New Roman" w:eastAsia="仿宋" w:cs="Times New Roman"/>
          <w:b/>
          <w:color w:val="auto"/>
          <w:kern w:val="0"/>
          <w:sz w:val="28"/>
          <w:szCs w:val="20"/>
        </w:rPr>
        <w:t>指标赋分标准</w:t>
      </w:r>
    </w:p>
    <w:tbl>
      <w:tblPr>
        <w:tblStyle w:val="15"/>
        <w:tblW w:w="914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2801"/>
        <w:gridCol w:w="2801"/>
        <w:gridCol w:w="354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1" w:hRule="atLeast"/>
        </w:trPr>
        <w:tc>
          <w:tcPr>
            <w:tcW w:w="2801" w:type="dxa"/>
          </w:tcPr>
          <w:p>
            <w:pPr>
              <w:spacing w:line="380" w:lineRule="exact"/>
              <w:jc w:val="center"/>
              <w:rPr>
                <w:rFonts w:ascii="Times New Roman" w:hAnsi="Times New Roman" w:eastAsia="仿宋" w:cs="Times New Roman"/>
                <w:color w:val="auto"/>
                <w:kern w:val="0"/>
                <w:szCs w:val="21"/>
              </w:rPr>
            </w:pPr>
            <w:r>
              <w:rPr>
                <w:rFonts w:hint="eastAsia" w:ascii="Times New Roman" w:hAnsi="Times New Roman" w:eastAsia="仿宋" w:cs="Times New Roman"/>
                <w:color w:val="auto"/>
                <w:kern w:val="0"/>
                <w:szCs w:val="21"/>
              </w:rPr>
              <w:t>水温变异指标</w:t>
            </w:r>
          </w:p>
        </w:tc>
        <w:tc>
          <w:tcPr>
            <w:tcW w:w="2801"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hint="eastAsia" w:ascii="Times New Roman" w:hAnsi="Times New Roman" w:eastAsia="仿宋" w:cs="Times New Roman"/>
                <w:color w:val="auto"/>
                <w:kern w:val="0"/>
                <w:szCs w:val="21"/>
              </w:rPr>
              <w:t>WT1（</w:t>
            </w:r>
            <w:r>
              <w:rPr>
                <w:rFonts w:hint="eastAsia" w:ascii="仿宋_GB2312" w:hAnsi="Times New Roman" w:eastAsia="仿宋_GB2312" w:cs="Times New Roman"/>
                <w:color w:val="auto"/>
                <w:kern w:val="0"/>
                <w:szCs w:val="21"/>
              </w:rPr>
              <w:t>℃</w:t>
            </w:r>
            <w:r>
              <w:rPr>
                <w:rFonts w:hint="eastAsia" w:ascii="Times New Roman" w:hAnsi="Times New Roman" w:eastAsia="仿宋" w:cs="Times New Roman"/>
                <w:color w:val="auto"/>
                <w:kern w:val="0"/>
                <w:szCs w:val="21"/>
              </w:rPr>
              <w:t>）（&lt;）</w:t>
            </w:r>
          </w:p>
        </w:tc>
        <w:tc>
          <w:tcPr>
            <w:tcW w:w="3545"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赋分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1" w:hRule="atLeast"/>
        </w:trPr>
        <w:tc>
          <w:tcPr>
            <w:tcW w:w="2801" w:type="dxa"/>
            <w:vMerge w:val="restart"/>
            <w:vAlign w:val="center"/>
          </w:tcPr>
          <w:p>
            <w:pPr>
              <w:spacing w:line="380" w:lineRule="exact"/>
              <w:jc w:val="center"/>
              <w:rPr>
                <w:rFonts w:ascii="Times New Roman" w:hAnsi="Times New Roman" w:eastAsia="仿宋" w:cs="Times New Roman"/>
                <w:color w:val="auto"/>
                <w:kern w:val="0"/>
                <w:szCs w:val="21"/>
              </w:rPr>
            </w:pPr>
            <w:r>
              <w:rPr>
                <w:rFonts w:hint="eastAsia" w:ascii="Times New Roman" w:hAnsi="Times New Roman" w:eastAsia="仿宋" w:cs="Times New Roman"/>
                <w:color w:val="auto"/>
                <w:kern w:val="0"/>
                <w:szCs w:val="21"/>
              </w:rPr>
              <w:t>偏离程度</w:t>
            </w:r>
          </w:p>
        </w:tc>
        <w:tc>
          <w:tcPr>
            <w:tcW w:w="2801"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hint="eastAsia" w:ascii="Times New Roman" w:hAnsi="Times New Roman" w:eastAsia="仿宋" w:cs="Times New Roman"/>
                <w:color w:val="auto"/>
                <w:kern w:val="0"/>
                <w:szCs w:val="21"/>
              </w:rPr>
              <w:t>1</w:t>
            </w:r>
          </w:p>
        </w:tc>
        <w:tc>
          <w:tcPr>
            <w:tcW w:w="3545"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1" w:hRule="atLeast"/>
        </w:trPr>
        <w:tc>
          <w:tcPr>
            <w:tcW w:w="2801" w:type="dxa"/>
            <w:vMerge w:val="continue"/>
          </w:tcPr>
          <w:p>
            <w:pPr>
              <w:spacing w:line="380" w:lineRule="exact"/>
              <w:jc w:val="center"/>
              <w:rPr>
                <w:rFonts w:ascii="Times New Roman" w:hAnsi="Times New Roman" w:eastAsia="仿宋" w:cs="Times New Roman"/>
                <w:color w:val="auto"/>
                <w:kern w:val="0"/>
                <w:szCs w:val="21"/>
              </w:rPr>
            </w:pPr>
          </w:p>
        </w:tc>
        <w:tc>
          <w:tcPr>
            <w:tcW w:w="2801"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hint="eastAsia" w:ascii="Times New Roman" w:hAnsi="Times New Roman" w:eastAsia="仿宋" w:cs="Times New Roman"/>
                <w:color w:val="auto"/>
                <w:kern w:val="0"/>
                <w:szCs w:val="21"/>
              </w:rPr>
              <w:t>2</w:t>
            </w:r>
          </w:p>
        </w:tc>
        <w:tc>
          <w:tcPr>
            <w:tcW w:w="3545"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hint="eastAsia" w:ascii="Times New Roman" w:hAnsi="Times New Roman" w:eastAsia="仿宋" w:cs="Times New Roman"/>
                <w:color w:val="auto"/>
                <w:kern w:val="0"/>
                <w:szCs w:val="21"/>
              </w:rPr>
              <w:t>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3" w:hRule="atLeast"/>
        </w:trPr>
        <w:tc>
          <w:tcPr>
            <w:tcW w:w="2801" w:type="dxa"/>
            <w:vMerge w:val="continue"/>
          </w:tcPr>
          <w:p>
            <w:pPr>
              <w:spacing w:line="380" w:lineRule="exact"/>
              <w:jc w:val="center"/>
              <w:rPr>
                <w:rFonts w:ascii="Times New Roman" w:hAnsi="Times New Roman" w:eastAsia="仿宋" w:cs="Times New Roman"/>
                <w:color w:val="auto"/>
                <w:kern w:val="0"/>
                <w:szCs w:val="21"/>
              </w:rPr>
            </w:pPr>
          </w:p>
        </w:tc>
        <w:tc>
          <w:tcPr>
            <w:tcW w:w="2801"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hint="eastAsia" w:ascii="Times New Roman" w:hAnsi="Times New Roman" w:eastAsia="仿宋" w:cs="Times New Roman"/>
                <w:color w:val="auto"/>
                <w:kern w:val="0"/>
                <w:szCs w:val="21"/>
              </w:rPr>
              <w:t>3</w:t>
            </w:r>
          </w:p>
        </w:tc>
        <w:tc>
          <w:tcPr>
            <w:tcW w:w="3545"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hint="eastAsia" w:ascii="Times New Roman" w:hAnsi="Times New Roman" w:eastAsia="仿宋" w:cs="Times New Roman"/>
                <w:color w:val="auto"/>
                <w:kern w:val="0"/>
                <w:szCs w:val="21"/>
              </w:rPr>
              <w:t>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1" w:hRule="atLeast"/>
        </w:trPr>
        <w:tc>
          <w:tcPr>
            <w:tcW w:w="2801" w:type="dxa"/>
            <w:vMerge w:val="continue"/>
          </w:tcPr>
          <w:p>
            <w:pPr>
              <w:spacing w:line="380" w:lineRule="exact"/>
              <w:jc w:val="center"/>
              <w:rPr>
                <w:rFonts w:ascii="Times New Roman" w:hAnsi="Times New Roman" w:eastAsia="仿宋" w:cs="Times New Roman"/>
                <w:color w:val="auto"/>
                <w:kern w:val="0"/>
                <w:szCs w:val="21"/>
              </w:rPr>
            </w:pPr>
          </w:p>
        </w:tc>
        <w:tc>
          <w:tcPr>
            <w:tcW w:w="2801"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hint="eastAsia" w:ascii="Times New Roman" w:hAnsi="Times New Roman" w:eastAsia="仿宋" w:cs="Times New Roman"/>
                <w:color w:val="auto"/>
                <w:kern w:val="0"/>
                <w:szCs w:val="21"/>
              </w:rPr>
              <w:t>4</w:t>
            </w:r>
          </w:p>
        </w:tc>
        <w:tc>
          <w:tcPr>
            <w:tcW w:w="3545"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hint="eastAsia" w:ascii="Times New Roman" w:hAnsi="Times New Roman" w:eastAsia="仿宋" w:cs="Times New Roman"/>
                <w:color w:val="auto"/>
                <w:kern w:val="0"/>
                <w:szCs w:val="21"/>
              </w:rPr>
              <w:t>0</w:t>
            </w:r>
          </w:p>
        </w:tc>
      </w:tr>
    </w:tbl>
    <w:p>
      <w:pPr>
        <w:spacing w:line="560" w:lineRule="exact"/>
        <w:ind w:firstLine="560" w:firstLineChars="200"/>
        <w:rPr>
          <w:rFonts w:ascii="Times New Roman" w:hAnsi="Times New Roman" w:eastAsia="仿宋" w:cs="Times New Roman"/>
          <w:color w:val="auto"/>
          <w:kern w:val="0"/>
          <w:sz w:val="28"/>
          <w:szCs w:val="20"/>
        </w:rPr>
      </w:pP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w:t>
      </w:r>
      <w:r>
        <w:rPr>
          <w:rFonts w:hint="eastAsia" w:ascii="Times New Roman" w:hAnsi="Times New Roman" w:eastAsia="仿宋" w:cs="Times New Roman"/>
          <w:color w:val="auto"/>
          <w:kern w:val="0"/>
          <w:sz w:val="28"/>
          <w:szCs w:val="20"/>
        </w:rPr>
        <w:t>2</w:t>
      </w:r>
      <w:r>
        <w:rPr>
          <w:rFonts w:ascii="Times New Roman" w:hAnsi="Times New Roman" w:eastAsia="仿宋" w:cs="Times New Roman"/>
          <w:color w:val="auto"/>
          <w:kern w:val="0"/>
          <w:sz w:val="28"/>
          <w:szCs w:val="20"/>
        </w:rPr>
        <w:t>） DO 水质状况（DO）</w:t>
      </w:r>
    </w:p>
    <w:p>
      <w:pPr>
        <w:spacing w:line="360" w:lineRule="auto"/>
        <w:ind w:firstLine="840" w:firstLineChars="3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1）指标说明</w:t>
      </w:r>
    </w:p>
    <w:p>
      <w:pPr>
        <w:spacing w:line="360" w:lineRule="auto"/>
        <w:ind w:firstLine="54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7"/>
          <w:szCs w:val="20"/>
        </w:rPr>
        <w:t>DO 为水体中溶解氧浓度，单位 mg/L。溶解氧对水生动植物十分重要，</w:t>
      </w:r>
      <w:r>
        <w:rPr>
          <w:rFonts w:ascii="Times New Roman" w:hAnsi="Times New Roman" w:eastAsia="仿宋" w:cs="Times New Roman"/>
          <w:color w:val="auto"/>
          <w:kern w:val="0"/>
          <w:sz w:val="28"/>
          <w:szCs w:val="20"/>
        </w:rPr>
        <w:t>过高过低的 DO 对水生生物均造成危害，适宜值为 4-12mg/L。</w:t>
      </w:r>
    </w:p>
    <w:p>
      <w:pPr>
        <w:spacing w:line="360" w:lineRule="auto"/>
        <w:ind w:firstLine="840" w:firstLineChars="3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2）计算方法</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采用全年 12个月月均浓度，按照汛期和非汛期进行平均，分别评估汛期与非汛期赋分，取其最低赋分为指标的赋分。</w:t>
      </w:r>
    </w:p>
    <w:p>
      <w:pPr>
        <w:spacing w:line="360" w:lineRule="auto"/>
        <w:ind w:firstLine="840" w:firstLineChars="3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3）指标赋分</w:t>
      </w:r>
    </w:p>
    <w:p>
      <w:pPr>
        <w:spacing w:line="360" w:lineRule="auto"/>
        <w:ind w:firstLine="560" w:firstLineChars="200"/>
        <w:rPr>
          <w:rFonts w:ascii="Times New Roman" w:hAnsi="Times New Roman" w:eastAsia="仿宋" w:cs="Times New Roman"/>
          <w:color w:val="auto"/>
          <w:spacing w:val="-6"/>
          <w:kern w:val="0"/>
          <w:sz w:val="28"/>
          <w:szCs w:val="20"/>
        </w:rPr>
      </w:pPr>
      <w:r>
        <w:rPr>
          <w:rFonts w:ascii="Times New Roman" w:hAnsi="Times New Roman" w:eastAsia="仿宋" w:cs="Times New Roman"/>
          <w:color w:val="auto"/>
          <w:kern w:val="0"/>
          <w:sz w:val="28"/>
          <w:szCs w:val="20"/>
        </w:rPr>
        <w:t>《</w:t>
      </w:r>
      <w:r>
        <w:rPr>
          <w:rFonts w:ascii="Times New Roman" w:hAnsi="Times New Roman" w:eastAsia="仿宋" w:cs="Times New Roman"/>
          <w:color w:val="auto"/>
          <w:spacing w:val="-6"/>
          <w:kern w:val="0"/>
          <w:sz w:val="28"/>
          <w:szCs w:val="20"/>
        </w:rPr>
        <w:t>地面水环境质量标准》（GB3838</w:t>
      </w:r>
      <w:r>
        <w:rPr>
          <w:rFonts w:hint="eastAsia" w:ascii="宋体" w:hAnsi="宋体" w:eastAsia="宋体" w:cs="宋体"/>
          <w:color w:val="auto"/>
          <w:spacing w:val="-6"/>
          <w:kern w:val="0"/>
          <w:sz w:val="28"/>
          <w:szCs w:val="20"/>
        </w:rPr>
        <w:t>‐</w:t>
      </w:r>
      <w:r>
        <w:rPr>
          <w:rFonts w:ascii="Times New Roman" w:hAnsi="Times New Roman" w:eastAsia="仿宋" w:cs="Times New Roman"/>
          <w:color w:val="auto"/>
          <w:spacing w:val="-6"/>
          <w:kern w:val="0"/>
          <w:sz w:val="28"/>
          <w:szCs w:val="20"/>
        </w:rPr>
        <w:t>2002）按功能高低依次划分为五类：</w:t>
      </w:r>
    </w:p>
    <w:p>
      <w:pPr>
        <w:tabs>
          <w:tab w:val="left" w:pos="1820"/>
        </w:tabs>
        <w:spacing w:line="360" w:lineRule="auto"/>
        <w:ind w:firstLine="560" w:firstLineChars="200"/>
        <w:rPr>
          <w:rFonts w:ascii="Times New Roman" w:hAnsi="Times New Roman" w:eastAsia="仿宋" w:cs="Times New Roman"/>
          <w:color w:val="auto"/>
          <w:kern w:val="0"/>
          <w:sz w:val="27"/>
          <w:szCs w:val="20"/>
        </w:rPr>
      </w:pPr>
      <w:r>
        <w:rPr>
          <w:rFonts w:ascii="Times New Roman" w:hAnsi="Times New Roman" w:eastAsia="仿宋" w:cs="Times New Roman"/>
          <w:color w:val="auto"/>
          <w:kern w:val="0"/>
          <w:sz w:val="28"/>
          <w:szCs w:val="20"/>
        </w:rPr>
        <w:fldChar w:fldCharType="begin"/>
      </w:r>
      <w:r>
        <w:rPr>
          <w:rFonts w:ascii="Times New Roman" w:hAnsi="Times New Roman" w:eastAsia="仿宋" w:cs="Times New Roman"/>
          <w:color w:val="auto"/>
          <w:kern w:val="0"/>
          <w:sz w:val="28"/>
          <w:szCs w:val="20"/>
        </w:rPr>
        <w:instrText xml:space="preserve"> = 1 \* ROMAN </w:instrText>
      </w:r>
      <w:r>
        <w:rPr>
          <w:rFonts w:ascii="Times New Roman" w:hAnsi="Times New Roman" w:eastAsia="仿宋" w:cs="Times New Roman"/>
          <w:color w:val="auto"/>
          <w:kern w:val="0"/>
          <w:sz w:val="28"/>
          <w:szCs w:val="20"/>
        </w:rPr>
        <w:fldChar w:fldCharType="separate"/>
      </w:r>
      <w:r>
        <w:rPr>
          <w:rFonts w:ascii="Times New Roman" w:hAnsi="Times New Roman" w:eastAsia="仿宋" w:cs="Times New Roman"/>
          <w:color w:val="auto"/>
          <w:kern w:val="0"/>
          <w:sz w:val="28"/>
          <w:szCs w:val="20"/>
        </w:rPr>
        <w:t>I</w:t>
      </w:r>
      <w:r>
        <w:rPr>
          <w:rFonts w:ascii="Times New Roman" w:hAnsi="Times New Roman" w:eastAsia="仿宋" w:cs="Times New Roman"/>
          <w:color w:val="auto"/>
          <w:kern w:val="0"/>
          <w:sz w:val="28"/>
          <w:szCs w:val="20"/>
        </w:rPr>
        <w:fldChar w:fldCharType="end"/>
      </w:r>
      <w:r>
        <w:rPr>
          <w:rFonts w:ascii="Times New Roman" w:hAnsi="Times New Roman" w:eastAsia="仿宋" w:cs="Times New Roman"/>
          <w:color w:val="auto"/>
          <w:kern w:val="0"/>
          <w:sz w:val="28"/>
          <w:szCs w:val="20"/>
        </w:rPr>
        <w:t>类</w:t>
      </w:r>
      <w:r>
        <w:rPr>
          <w:rFonts w:ascii="Times New Roman" w:hAnsi="Times New Roman" w:eastAsia="仿宋" w:cs="Times New Roman"/>
          <w:color w:val="auto"/>
          <w:kern w:val="0"/>
          <w:sz w:val="27"/>
          <w:szCs w:val="20"/>
        </w:rPr>
        <w:t xml:space="preserve">  主要适用于源头水、国家自然保护区；</w:t>
      </w:r>
    </w:p>
    <w:p>
      <w:pPr>
        <w:tabs>
          <w:tab w:val="left" w:pos="1800"/>
        </w:tabs>
        <w:spacing w:line="360" w:lineRule="auto"/>
        <w:ind w:firstLine="560" w:firstLineChars="200"/>
        <w:rPr>
          <w:rFonts w:ascii="Times New Roman" w:hAnsi="Times New Roman" w:eastAsia="仿宋" w:cs="Times New Roman"/>
          <w:color w:val="auto"/>
          <w:kern w:val="0"/>
          <w:sz w:val="28"/>
          <w:szCs w:val="20"/>
        </w:rPr>
      </w:pPr>
      <w:r>
        <w:rPr>
          <w:rFonts w:hint="eastAsia" w:ascii="宋体" w:hAnsi="宋体" w:eastAsia="宋体" w:cs="宋体"/>
          <w:color w:val="auto"/>
          <w:kern w:val="0"/>
          <w:sz w:val="28"/>
          <w:szCs w:val="20"/>
        </w:rPr>
        <w:t>Ⅱ</w:t>
      </w:r>
      <w:r>
        <w:rPr>
          <w:rFonts w:ascii="Times New Roman" w:hAnsi="Times New Roman" w:eastAsia="仿宋" w:cs="Times New Roman"/>
          <w:color w:val="auto"/>
          <w:kern w:val="0"/>
          <w:sz w:val="28"/>
          <w:szCs w:val="20"/>
        </w:rPr>
        <w:t>类</w:t>
      </w:r>
      <w:r>
        <w:rPr>
          <w:rFonts w:ascii="Times New Roman" w:hAnsi="Times New Roman" w:eastAsia="仿宋" w:cs="Times New Roman"/>
          <w:color w:val="auto"/>
          <w:kern w:val="0"/>
          <w:sz w:val="20"/>
          <w:szCs w:val="20"/>
        </w:rPr>
        <w:t xml:space="preserve">  </w:t>
      </w:r>
      <w:r>
        <w:rPr>
          <w:rFonts w:ascii="Times New Roman" w:hAnsi="Times New Roman" w:eastAsia="仿宋" w:cs="Times New Roman"/>
          <w:color w:val="auto"/>
          <w:kern w:val="0"/>
          <w:sz w:val="27"/>
          <w:szCs w:val="20"/>
        </w:rPr>
        <w:t>主要适用于集中式生活饮用水地表水源地一级保护区、珍稀</w:t>
      </w:r>
      <w:r>
        <w:rPr>
          <w:rFonts w:ascii="Times New Roman" w:hAnsi="Times New Roman" w:eastAsia="仿宋" w:cs="Times New Roman"/>
          <w:color w:val="auto"/>
          <w:kern w:val="0"/>
          <w:sz w:val="28"/>
          <w:szCs w:val="20"/>
        </w:rPr>
        <w:t>水生生物栖息地、鱼虾类产卵场、仔稚幼鱼的索饵场等；</w:t>
      </w:r>
    </w:p>
    <w:p>
      <w:pPr>
        <w:tabs>
          <w:tab w:val="left" w:pos="1800"/>
        </w:tabs>
        <w:spacing w:line="360" w:lineRule="auto"/>
        <w:ind w:firstLine="560" w:firstLineChars="200"/>
        <w:rPr>
          <w:rFonts w:ascii="Times New Roman" w:hAnsi="Times New Roman" w:eastAsia="仿宋" w:cs="Times New Roman"/>
          <w:color w:val="auto"/>
          <w:kern w:val="0"/>
          <w:sz w:val="28"/>
          <w:szCs w:val="20"/>
        </w:rPr>
      </w:pPr>
      <w:r>
        <w:rPr>
          <w:rFonts w:hint="eastAsia" w:ascii="宋体" w:hAnsi="宋体" w:eastAsia="宋体" w:cs="宋体"/>
          <w:color w:val="auto"/>
          <w:kern w:val="0"/>
          <w:sz w:val="28"/>
          <w:szCs w:val="20"/>
        </w:rPr>
        <w:t>Ⅲ</w:t>
      </w:r>
      <w:r>
        <w:rPr>
          <w:rFonts w:ascii="Times New Roman" w:hAnsi="Times New Roman" w:eastAsia="仿宋" w:cs="Times New Roman"/>
          <w:color w:val="auto"/>
          <w:kern w:val="0"/>
          <w:sz w:val="28"/>
          <w:szCs w:val="20"/>
        </w:rPr>
        <w:t>类</w:t>
      </w:r>
      <w:r>
        <w:rPr>
          <w:rFonts w:ascii="Times New Roman" w:hAnsi="Times New Roman" w:eastAsia="仿宋" w:cs="Times New Roman"/>
          <w:color w:val="auto"/>
          <w:kern w:val="0"/>
          <w:sz w:val="20"/>
          <w:szCs w:val="20"/>
        </w:rPr>
        <w:t xml:space="preserve">  </w:t>
      </w:r>
      <w:r>
        <w:rPr>
          <w:rFonts w:ascii="Times New Roman" w:hAnsi="Times New Roman" w:eastAsia="仿宋" w:cs="Times New Roman"/>
          <w:color w:val="auto"/>
          <w:kern w:val="0"/>
          <w:sz w:val="27"/>
          <w:szCs w:val="20"/>
        </w:rPr>
        <w:t>主要适用于集中式生活饮用水地表水源地二级保护区、鱼虾</w:t>
      </w:r>
      <w:r>
        <w:rPr>
          <w:rFonts w:ascii="Times New Roman" w:hAnsi="Times New Roman" w:eastAsia="仿宋" w:cs="Times New Roman"/>
          <w:color w:val="auto"/>
          <w:kern w:val="0"/>
          <w:sz w:val="28"/>
          <w:szCs w:val="20"/>
        </w:rPr>
        <w:t>类越冬场、泅游通道、水产养殖区等渔业水域及游泳区；</w:t>
      </w:r>
    </w:p>
    <w:p>
      <w:pPr>
        <w:tabs>
          <w:tab w:val="left" w:pos="1800"/>
        </w:tabs>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fldChar w:fldCharType="begin"/>
      </w:r>
      <w:r>
        <w:rPr>
          <w:rFonts w:ascii="Times New Roman" w:hAnsi="Times New Roman" w:eastAsia="仿宋" w:cs="Times New Roman"/>
          <w:color w:val="auto"/>
          <w:kern w:val="0"/>
          <w:sz w:val="28"/>
          <w:szCs w:val="20"/>
        </w:rPr>
        <w:instrText xml:space="preserve"> = 4 \* ROMAN </w:instrText>
      </w:r>
      <w:r>
        <w:rPr>
          <w:rFonts w:ascii="Times New Roman" w:hAnsi="Times New Roman" w:eastAsia="仿宋" w:cs="Times New Roman"/>
          <w:color w:val="auto"/>
          <w:kern w:val="0"/>
          <w:sz w:val="28"/>
          <w:szCs w:val="20"/>
        </w:rPr>
        <w:fldChar w:fldCharType="separate"/>
      </w:r>
      <w:r>
        <w:rPr>
          <w:rFonts w:ascii="Times New Roman" w:hAnsi="Times New Roman" w:eastAsia="仿宋" w:cs="Times New Roman"/>
          <w:color w:val="auto"/>
          <w:kern w:val="0"/>
          <w:sz w:val="28"/>
          <w:szCs w:val="20"/>
        </w:rPr>
        <w:t>IV</w:t>
      </w:r>
      <w:r>
        <w:rPr>
          <w:rFonts w:ascii="Times New Roman" w:hAnsi="Times New Roman" w:eastAsia="仿宋" w:cs="Times New Roman"/>
          <w:color w:val="auto"/>
          <w:kern w:val="0"/>
          <w:sz w:val="28"/>
          <w:szCs w:val="20"/>
        </w:rPr>
        <w:fldChar w:fldCharType="end"/>
      </w:r>
      <w:r>
        <w:rPr>
          <w:rFonts w:ascii="Times New Roman" w:hAnsi="Times New Roman" w:eastAsia="仿宋" w:cs="Times New Roman"/>
          <w:color w:val="auto"/>
          <w:kern w:val="0"/>
          <w:sz w:val="28"/>
          <w:szCs w:val="20"/>
        </w:rPr>
        <w:t>类 主要适用于一般工业用水区及人体非直接接触的娱乐用水区；</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fldChar w:fldCharType="begin"/>
      </w:r>
      <w:r>
        <w:rPr>
          <w:rFonts w:ascii="Times New Roman" w:hAnsi="Times New Roman" w:eastAsia="仿宋" w:cs="Times New Roman"/>
          <w:color w:val="auto"/>
          <w:kern w:val="0"/>
          <w:sz w:val="28"/>
          <w:szCs w:val="20"/>
        </w:rPr>
        <w:instrText xml:space="preserve"> = 4 \* ROMAN </w:instrText>
      </w:r>
      <w:r>
        <w:rPr>
          <w:rFonts w:ascii="Times New Roman" w:hAnsi="Times New Roman" w:eastAsia="仿宋" w:cs="Times New Roman"/>
          <w:color w:val="auto"/>
          <w:kern w:val="0"/>
          <w:sz w:val="28"/>
          <w:szCs w:val="20"/>
        </w:rPr>
        <w:fldChar w:fldCharType="separate"/>
      </w:r>
      <w:r>
        <w:rPr>
          <w:rFonts w:ascii="Times New Roman" w:hAnsi="Times New Roman" w:eastAsia="仿宋" w:cs="Times New Roman"/>
          <w:color w:val="auto"/>
          <w:kern w:val="0"/>
          <w:sz w:val="28"/>
          <w:szCs w:val="20"/>
        </w:rPr>
        <w:t>V</w:t>
      </w:r>
      <w:r>
        <w:rPr>
          <w:rFonts w:ascii="Times New Roman" w:hAnsi="Times New Roman" w:eastAsia="仿宋" w:cs="Times New Roman"/>
          <w:color w:val="auto"/>
          <w:kern w:val="0"/>
          <w:sz w:val="28"/>
          <w:szCs w:val="20"/>
        </w:rPr>
        <w:fldChar w:fldCharType="end"/>
      </w:r>
      <w:r>
        <w:rPr>
          <w:rFonts w:ascii="Times New Roman" w:hAnsi="Times New Roman" w:eastAsia="仿宋" w:cs="Times New Roman"/>
          <w:color w:val="auto"/>
          <w:kern w:val="0"/>
          <w:sz w:val="28"/>
          <w:szCs w:val="20"/>
        </w:rPr>
        <w:t>类</w:t>
      </w:r>
      <w:r>
        <w:rPr>
          <w:rFonts w:ascii="Times New Roman" w:hAnsi="Times New Roman" w:eastAsia="仿宋" w:cs="Times New Roman"/>
          <w:color w:val="auto"/>
          <w:kern w:val="0"/>
          <w:sz w:val="20"/>
          <w:szCs w:val="20"/>
        </w:rPr>
        <w:tab/>
      </w:r>
      <w:r>
        <w:rPr>
          <w:rFonts w:ascii="Times New Roman" w:hAnsi="Times New Roman" w:eastAsia="仿宋" w:cs="Times New Roman"/>
          <w:color w:val="auto"/>
          <w:kern w:val="0"/>
          <w:sz w:val="27"/>
          <w:szCs w:val="20"/>
        </w:rPr>
        <w:t>主要适用于农业用水</w:t>
      </w:r>
      <w:bookmarkStart w:id="63" w:name="page52"/>
      <w:bookmarkEnd w:id="63"/>
      <w:r>
        <w:rPr>
          <w:rFonts w:ascii="Times New Roman" w:hAnsi="Times New Roman" w:eastAsia="仿宋" w:cs="Times New Roman"/>
          <w:color w:val="auto"/>
          <w:kern w:val="0"/>
          <w:sz w:val="27"/>
          <w:szCs w:val="20"/>
        </w:rPr>
        <w:t>区及一般景观要求水域。</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等于及优于</w:t>
      </w:r>
      <w:r>
        <w:rPr>
          <w:rFonts w:hint="eastAsia" w:ascii="宋体" w:hAnsi="宋体" w:eastAsia="宋体" w:cs="宋体"/>
          <w:color w:val="auto"/>
          <w:kern w:val="0"/>
          <w:sz w:val="28"/>
          <w:szCs w:val="20"/>
        </w:rPr>
        <w:t>Ⅲ</w:t>
      </w:r>
      <w:r>
        <w:rPr>
          <w:rFonts w:ascii="Times New Roman" w:hAnsi="Times New Roman" w:eastAsia="仿宋" w:cs="Times New Roman"/>
          <w:color w:val="auto"/>
          <w:kern w:val="0"/>
          <w:sz w:val="28"/>
          <w:szCs w:val="20"/>
        </w:rPr>
        <w:t>类的水质状况满足鱼类生物的基本水质要求，因此采用DO 的</w:t>
      </w:r>
      <w:r>
        <w:rPr>
          <w:rFonts w:hint="eastAsia" w:ascii="宋体" w:hAnsi="宋体" w:eastAsia="宋体" w:cs="宋体"/>
          <w:color w:val="auto"/>
          <w:kern w:val="0"/>
          <w:sz w:val="28"/>
          <w:szCs w:val="20"/>
        </w:rPr>
        <w:t>Ⅲ</w:t>
      </w:r>
      <w:r>
        <w:rPr>
          <w:rFonts w:ascii="Times New Roman" w:hAnsi="Times New Roman" w:eastAsia="仿宋" w:cs="Times New Roman"/>
          <w:color w:val="auto"/>
          <w:kern w:val="0"/>
          <w:sz w:val="28"/>
          <w:szCs w:val="20"/>
        </w:rPr>
        <w:t>类限值 5mg/L 为基点，DO 状况指标赋分见表 3.6.3-</w:t>
      </w:r>
      <w:r>
        <w:rPr>
          <w:rFonts w:hint="eastAsia" w:ascii="Times New Roman" w:hAnsi="Times New Roman" w:eastAsia="仿宋" w:cs="Times New Roman"/>
          <w:color w:val="auto"/>
          <w:kern w:val="0"/>
          <w:sz w:val="28"/>
          <w:szCs w:val="20"/>
        </w:rPr>
        <w:t>2</w:t>
      </w:r>
      <w:r>
        <w:rPr>
          <w:rFonts w:ascii="Times New Roman" w:hAnsi="Times New Roman" w:eastAsia="仿宋" w:cs="Times New Roman"/>
          <w:color w:val="auto"/>
          <w:kern w:val="0"/>
          <w:sz w:val="28"/>
          <w:szCs w:val="20"/>
        </w:rPr>
        <w:t>。</w:t>
      </w:r>
    </w:p>
    <w:p>
      <w:pPr>
        <w:spacing w:line="360" w:lineRule="auto"/>
        <w:ind w:firstLine="843" w:firstLineChars="300"/>
        <w:jc w:val="left"/>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表 3.6.3-</w:t>
      </w:r>
      <w:r>
        <w:rPr>
          <w:rFonts w:hint="eastAsia" w:ascii="Times New Roman" w:hAnsi="Times New Roman" w:eastAsia="仿宋" w:cs="Times New Roman"/>
          <w:b/>
          <w:color w:val="auto"/>
          <w:kern w:val="0"/>
          <w:sz w:val="28"/>
          <w:szCs w:val="20"/>
        </w:rPr>
        <w:t>2</w:t>
      </w:r>
      <w:r>
        <w:rPr>
          <w:rFonts w:ascii="Times New Roman" w:hAnsi="Times New Roman" w:eastAsia="仿宋" w:cs="Times New Roman"/>
          <w:b/>
          <w:color w:val="auto"/>
          <w:kern w:val="0"/>
          <w:sz w:val="28"/>
          <w:szCs w:val="20"/>
        </w:rPr>
        <w:t xml:space="preserve">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 xml:space="preserve"> DO 水质状况指标赋分标准</w:t>
      </w:r>
    </w:p>
    <w:tbl>
      <w:tblPr>
        <w:tblStyle w:val="15"/>
        <w:tblW w:w="914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4037"/>
        <w:gridCol w:w="511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1" w:hRule="atLeast"/>
        </w:trPr>
        <w:tc>
          <w:tcPr>
            <w:tcW w:w="4037"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溶解氧 DO（mg/L）</w:t>
            </w:r>
          </w:p>
        </w:tc>
        <w:tc>
          <w:tcPr>
            <w:tcW w:w="5110"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赋分（DOr）</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1" w:hRule="atLeast"/>
        </w:trPr>
        <w:tc>
          <w:tcPr>
            <w:tcW w:w="4037"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&gt;饱和率 90%（或 7.5）</w:t>
            </w:r>
          </w:p>
        </w:tc>
        <w:tc>
          <w:tcPr>
            <w:tcW w:w="5110"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1" w:hRule="atLeast"/>
        </w:trPr>
        <w:tc>
          <w:tcPr>
            <w:tcW w:w="4037"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6-7.5</w:t>
            </w:r>
          </w:p>
        </w:tc>
        <w:tc>
          <w:tcPr>
            <w:tcW w:w="5110"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80-100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3" w:hRule="atLeast"/>
        </w:trPr>
        <w:tc>
          <w:tcPr>
            <w:tcW w:w="4037"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5-6</w:t>
            </w:r>
          </w:p>
        </w:tc>
        <w:tc>
          <w:tcPr>
            <w:tcW w:w="5110"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60-80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1" w:hRule="atLeast"/>
        </w:trPr>
        <w:tc>
          <w:tcPr>
            <w:tcW w:w="4037"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3-5</w:t>
            </w:r>
          </w:p>
        </w:tc>
        <w:tc>
          <w:tcPr>
            <w:tcW w:w="5110"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30-60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1" w:hRule="atLeast"/>
        </w:trPr>
        <w:tc>
          <w:tcPr>
            <w:tcW w:w="4037"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2-3</w:t>
            </w:r>
          </w:p>
        </w:tc>
        <w:tc>
          <w:tcPr>
            <w:tcW w:w="5110"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10-30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1" w:hRule="atLeast"/>
        </w:trPr>
        <w:tc>
          <w:tcPr>
            <w:tcW w:w="4037"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0-2</w:t>
            </w:r>
          </w:p>
        </w:tc>
        <w:tc>
          <w:tcPr>
            <w:tcW w:w="5110"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0-10</w:t>
            </w:r>
          </w:p>
        </w:tc>
      </w:tr>
    </w:tbl>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w:t>
      </w:r>
      <w:r>
        <w:rPr>
          <w:rFonts w:hint="eastAsia" w:ascii="Times New Roman" w:hAnsi="Times New Roman" w:eastAsia="仿宋" w:cs="Times New Roman"/>
          <w:color w:val="auto"/>
          <w:kern w:val="0"/>
          <w:sz w:val="28"/>
          <w:szCs w:val="20"/>
        </w:rPr>
        <w:t>3</w:t>
      </w:r>
      <w:r>
        <w:rPr>
          <w:rFonts w:ascii="Times New Roman" w:hAnsi="Times New Roman" w:eastAsia="仿宋" w:cs="Times New Roman"/>
          <w:color w:val="auto"/>
          <w:kern w:val="0"/>
          <w:sz w:val="28"/>
          <w:szCs w:val="20"/>
        </w:rPr>
        <w:t>）耗氧有机污染状况（OCP）</w:t>
      </w:r>
    </w:p>
    <w:p>
      <w:pPr>
        <w:spacing w:line="360" w:lineRule="auto"/>
        <w:ind w:firstLine="840" w:firstLineChars="3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1）指标说明</w:t>
      </w:r>
    </w:p>
    <w:p>
      <w:pPr>
        <w:spacing w:line="360" w:lineRule="auto"/>
        <w:ind w:firstLine="560" w:firstLineChars="200"/>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8"/>
          <w:szCs w:val="20"/>
        </w:rPr>
        <w:t>耗氧有机物物指导致水体中溶解氧大幅度下降的有机污染物，取高锰酸盐指数、五日生化需氧量、氨氮等 3 项对河流耗氧污染状况进行评估。</w:t>
      </w:r>
    </w:p>
    <w:p>
      <w:pPr>
        <w:spacing w:line="360" w:lineRule="auto"/>
        <w:ind w:firstLine="840" w:firstLineChars="3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2）计算方法</w:t>
      </w:r>
    </w:p>
    <w:p>
      <w:pPr>
        <w:spacing w:line="360" w:lineRule="auto"/>
        <w:ind w:firstLine="54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7"/>
          <w:szCs w:val="20"/>
        </w:rPr>
        <w:t>高锰酸盐指数、五日生化需氧量、氨氮分别赋分。选用评估年 12 个月</w:t>
      </w:r>
      <w:r>
        <w:rPr>
          <w:rFonts w:ascii="Times New Roman" w:hAnsi="Times New Roman" w:eastAsia="仿宋" w:cs="Times New Roman"/>
          <w:color w:val="auto"/>
          <w:kern w:val="0"/>
          <w:sz w:val="28"/>
          <w:szCs w:val="20"/>
        </w:rPr>
        <w:t>月均浓度，按照汛期和非汛期进行平均，分别评估汛期与非汛期赋分，取其最低赋分为水质项目的赋分，取 3 个水质项目赋分的平均值作为耗氧有机污染状况赋分。</w:t>
      </w:r>
    </w:p>
    <w:p>
      <w:pPr>
        <w:spacing w:line="360" w:lineRule="auto"/>
        <w:ind w:firstLine="560" w:firstLineChars="200"/>
        <w:rPr>
          <w:rFonts w:ascii="Times New Roman" w:hAnsi="Times New Roman" w:eastAsia="仿宋" w:cs="Times New Roman"/>
          <w:color w:val="auto"/>
          <w:kern w:val="0"/>
          <w:sz w:val="28"/>
          <w:szCs w:val="20"/>
        </w:rPr>
      </w:pPr>
      <m:oMathPara>
        <m:oMath>
          <m:r>
            <m:rPr>
              <m:sty m:val="p"/>
            </m:rPr>
            <w:rPr>
              <w:rFonts w:hint="eastAsia" w:ascii="Cambria Math" w:hAnsi="Cambria Math" w:eastAsia="仿宋" w:cs="Times New Roman"/>
              <w:color w:val="auto"/>
              <w:kern w:val="0"/>
              <w:sz w:val="28"/>
              <w:szCs w:val="20"/>
            </w:rPr>
            <m:t>OCPr</m:t>
          </m:r>
          <m:r>
            <m:rPr>
              <m:sty m:val="p"/>
            </m:rPr>
            <w:rPr>
              <w:rFonts w:ascii="Cambria Math" w:hAnsi="Cambria Math" w:eastAsia="Cambria Math" w:cs="Cambria Math"/>
              <w:color w:val="auto"/>
              <w:kern w:val="0"/>
              <w:sz w:val="28"/>
              <w:szCs w:val="20"/>
            </w:rPr>
            <m:t>=</m:t>
          </m:r>
          <m:f>
            <m:fPr>
              <m:ctrlPr>
                <w:rPr>
                  <w:rFonts w:ascii="Cambria Math" w:hAnsi="Cambria Math" w:eastAsia="Cambria Math" w:cs="Times New Roman"/>
                  <w:color w:val="auto"/>
                  <w:kern w:val="0"/>
                  <w:sz w:val="28"/>
                  <w:szCs w:val="20"/>
                </w:rPr>
              </m:ctrlPr>
            </m:fPr>
            <m:num>
              <m:r>
                <m:rPr>
                  <m:sty m:val="p"/>
                </m:rPr>
                <w:rPr>
                  <w:rFonts w:ascii="Cambria Math" w:hAnsi="Cambria Math" w:eastAsia="Cambria Math" w:cs="Cambria Math"/>
                  <w:color w:val="auto"/>
                  <w:kern w:val="0"/>
                  <w:sz w:val="28"/>
                  <w:szCs w:val="20"/>
                </w:rPr>
                <m:t>CODMNr+CODr+BODr+NH3Nr</m:t>
              </m:r>
              <m:ctrlPr>
                <w:rPr>
                  <w:rFonts w:ascii="Cambria Math" w:hAnsi="Cambria Math" w:eastAsia="Cambria Math" w:cs="Times New Roman"/>
                  <w:color w:val="auto"/>
                  <w:kern w:val="0"/>
                  <w:sz w:val="28"/>
                  <w:szCs w:val="20"/>
                </w:rPr>
              </m:ctrlPr>
            </m:num>
            <m:den>
              <m:r>
                <m:rPr/>
                <w:rPr>
                  <w:rFonts w:ascii="Cambria Math" w:hAnsi="Cambria Math" w:eastAsia="Cambria Math" w:cs="Cambria Math"/>
                  <w:color w:val="auto"/>
                  <w:kern w:val="0"/>
                  <w:sz w:val="28"/>
                  <w:szCs w:val="20"/>
                </w:rPr>
                <m:t>4</m:t>
              </m:r>
              <m:ctrlPr>
                <w:rPr>
                  <w:rFonts w:ascii="Cambria Math" w:hAnsi="Cambria Math" w:eastAsia="Cambria Math" w:cs="Times New Roman"/>
                  <w:color w:val="auto"/>
                  <w:kern w:val="0"/>
                  <w:sz w:val="28"/>
                  <w:szCs w:val="20"/>
                </w:rPr>
              </m:ctrlPr>
            </m:den>
          </m:f>
        </m:oMath>
      </m:oMathPara>
    </w:p>
    <w:p>
      <w:pPr>
        <w:spacing w:line="360" w:lineRule="auto"/>
        <w:ind w:firstLine="840" w:firstLineChars="3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3）指标赋分</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根据《地面水环境质量标准》（GB3838</w:t>
      </w:r>
      <w:r>
        <w:rPr>
          <w:rFonts w:hint="eastAsia" w:ascii="宋体" w:hAnsi="宋体" w:eastAsia="宋体" w:cs="宋体"/>
          <w:color w:val="auto"/>
          <w:kern w:val="0"/>
          <w:sz w:val="28"/>
          <w:szCs w:val="20"/>
        </w:rPr>
        <w:t>‐</w:t>
      </w:r>
      <w:r>
        <w:rPr>
          <w:rFonts w:ascii="Times New Roman" w:hAnsi="Times New Roman" w:eastAsia="仿宋" w:cs="Times New Roman"/>
          <w:color w:val="auto"/>
          <w:kern w:val="0"/>
          <w:sz w:val="28"/>
          <w:szCs w:val="20"/>
        </w:rPr>
        <w:t>2002）确定高锰酸盐指数、五日生化需氧量、氨氮赋分见表 3.6.3-</w:t>
      </w:r>
      <w:r>
        <w:rPr>
          <w:rFonts w:hint="eastAsia" w:ascii="Times New Roman" w:hAnsi="Times New Roman" w:eastAsia="仿宋" w:cs="Times New Roman"/>
          <w:color w:val="auto"/>
          <w:kern w:val="0"/>
          <w:sz w:val="28"/>
          <w:szCs w:val="20"/>
        </w:rPr>
        <w:t>3</w:t>
      </w:r>
      <w:r>
        <w:rPr>
          <w:rFonts w:ascii="Times New Roman" w:hAnsi="Times New Roman" w:eastAsia="仿宋" w:cs="Times New Roman"/>
          <w:color w:val="auto"/>
          <w:kern w:val="0"/>
          <w:sz w:val="28"/>
          <w:szCs w:val="20"/>
        </w:rPr>
        <w:t>。</w:t>
      </w:r>
    </w:p>
    <w:p>
      <w:pPr>
        <w:spacing w:line="360" w:lineRule="auto"/>
        <w:ind w:firstLine="560" w:firstLineChars="200"/>
        <w:jc w:val="left"/>
        <w:rPr>
          <w:rFonts w:ascii="Times New Roman" w:hAnsi="Times New Roman" w:eastAsia="仿宋" w:cs="Times New Roman"/>
          <w:color w:val="auto"/>
          <w:kern w:val="0"/>
          <w:sz w:val="28"/>
          <w:szCs w:val="20"/>
        </w:rPr>
      </w:pPr>
    </w:p>
    <w:p>
      <w:pPr>
        <w:spacing w:line="360" w:lineRule="auto"/>
        <w:ind w:firstLine="562" w:firstLineChars="200"/>
        <w:jc w:val="left"/>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表 3.6.3-</w:t>
      </w:r>
      <w:r>
        <w:rPr>
          <w:rFonts w:hint="eastAsia" w:ascii="Times New Roman" w:hAnsi="Times New Roman" w:eastAsia="仿宋" w:cs="Times New Roman"/>
          <w:b/>
          <w:color w:val="auto"/>
          <w:kern w:val="0"/>
          <w:sz w:val="28"/>
          <w:szCs w:val="20"/>
        </w:rPr>
        <w:t>3</w:t>
      </w:r>
      <w:r>
        <w:rPr>
          <w:rFonts w:ascii="Times New Roman" w:hAnsi="Times New Roman" w:eastAsia="仿宋" w:cs="Times New Roman"/>
          <w:b/>
          <w:color w:val="auto"/>
          <w:kern w:val="0"/>
          <w:sz w:val="28"/>
          <w:szCs w:val="20"/>
        </w:rPr>
        <w:t xml:space="preserve">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 xml:space="preserve">  </w:t>
      </w:r>
      <w:r>
        <w:rPr>
          <w:rFonts w:hint="eastAsia" w:ascii="Times New Roman" w:hAnsi="Times New Roman" w:eastAsia="仿宋" w:cs="Times New Roman"/>
          <w:b/>
          <w:color w:val="auto"/>
          <w:kern w:val="0"/>
          <w:sz w:val="28"/>
          <w:szCs w:val="20"/>
          <w:lang w:val="en-US" w:eastAsia="zh-CN"/>
        </w:rPr>
        <w:t xml:space="preserve">   </w:t>
      </w:r>
      <w:r>
        <w:rPr>
          <w:rFonts w:ascii="Times New Roman" w:hAnsi="Times New Roman" w:eastAsia="仿宋" w:cs="Times New Roman"/>
          <w:b/>
          <w:color w:val="auto"/>
          <w:kern w:val="0"/>
          <w:sz w:val="28"/>
          <w:szCs w:val="20"/>
        </w:rPr>
        <w:t xml:space="preserve">    耗氧有</w:t>
      </w:r>
      <w:bookmarkStart w:id="64" w:name="page53"/>
      <w:bookmarkEnd w:id="64"/>
      <w:r>
        <w:rPr>
          <w:rFonts w:ascii="Times New Roman" w:hAnsi="Times New Roman" w:eastAsia="仿宋" w:cs="Times New Roman"/>
          <w:b/>
          <w:color w:val="auto"/>
          <w:kern w:val="0"/>
          <w:sz w:val="28"/>
          <w:szCs w:val="20"/>
        </w:rPr>
        <w:t>机污染状况指标赋分标准</w:t>
      </w:r>
    </w:p>
    <w:tbl>
      <w:tblPr>
        <w:tblStyle w:val="15"/>
        <w:tblW w:w="940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4500"/>
        <w:gridCol w:w="1100"/>
        <w:gridCol w:w="940"/>
        <w:gridCol w:w="920"/>
        <w:gridCol w:w="940"/>
        <w:gridCol w:w="100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9" w:hRule="atLeast"/>
        </w:trPr>
        <w:tc>
          <w:tcPr>
            <w:tcW w:w="450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高锰酸钾指数（mg/L）</w:t>
            </w:r>
          </w:p>
        </w:tc>
        <w:tc>
          <w:tcPr>
            <w:tcW w:w="110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w:t>
            </w:r>
          </w:p>
        </w:tc>
        <w:tc>
          <w:tcPr>
            <w:tcW w:w="94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4</w:t>
            </w:r>
          </w:p>
        </w:tc>
        <w:tc>
          <w:tcPr>
            <w:tcW w:w="92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6</w:t>
            </w:r>
          </w:p>
        </w:tc>
        <w:tc>
          <w:tcPr>
            <w:tcW w:w="94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10</w:t>
            </w:r>
          </w:p>
        </w:tc>
        <w:tc>
          <w:tcPr>
            <w:tcW w:w="100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9" w:hRule="atLeast"/>
        </w:trPr>
        <w:tc>
          <w:tcPr>
            <w:tcW w:w="450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化学需氧量（COD）（mg/L）</w:t>
            </w:r>
          </w:p>
        </w:tc>
        <w:tc>
          <w:tcPr>
            <w:tcW w:w="110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15</w:t>
            </w:r>
          </w:p>
        </w:tc>
        <w:tc>
          <w:tcPr>
            <w:tcW w:w="94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17.5</w:t>
            </w:r>
          </w:p>
        </w:tc>
        <w:tc>
          <w:tcPr>
            <w:tcW w:w="92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20</w:t>
            </w:r>
          </w:p>
        </w:tc>
        <w:tc>
          <w:tcPr>
            <w:tcW w:w="94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30</w:t>
            </w:r>
          </w:p>
        </w:tc>
        <w:tc>
          <w:tcPr>
            <w:tcW w:w="100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9" w:hRule="atLeast"/>
        </w:trPr>
        <w:tc>
          <w:tcPr>
            <w:tcW w:w="450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五日生化需氧量（mg/L）</w:t>
            </w:r>
          </w:p>
        </w:tc>
        <w:tc>
          <w:tcPr>
            <w:tcW w:w="110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3</w:t>
            </w:r>
          </w:p>
        </w:tc>
        <w:tc>
          <w:tcPr>
            <w:tcW w:w="94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3.5</w:t>
            </w:r>
          </w:p>
        </w:tc>
        <w:tc>
          <w:tcPr>
            <w:tcW w:w="92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4</w:t>
            </w:r>
          </w:p>
        </w:tc>
        <w:tc>
          <w:tcPr>
            <w:tcW w:w="94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6</w:t>
            </w:r>
          </w:p>
        </w:tc>
        <w:tc>
          <w:tcPr>
            <w:tcW w:w="100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1" w:hRule="atLeast"/>
        </w:trPr>
        <w:tc>
          <w:tcPr>
            <w:tcW w:w="450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氨氮（NH3-N）（mg/L）</w:t>
            </w:r>
          </w:p>
        </w:tc>
        <w:tc>
          <w:tcPr>
            <w:tcW w:w="110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0.15</w:t>
            </w:r>
          </w:p>
        </w:tc>
        <w:tc>
          <w:tcPr>
            <w:tcW w:w="94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0.5</w:t>
            </w:r>
          </w:p>
        </w:tc>
        <w:tc>
          <w:tcPr>
            <w:tcW w:w="92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1</w:t>
            </w:r>
          </w:p>
        </w:tc>
        <w:tc>
          <w:tcPr>
            <w:tcW w:w="94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1.5</w:t>
            </w:r>
          </w:p>
        </w:tc>
        <w:tc>
          <w:tcPr>
            <w:tcW w:w="100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56" w:hRule="atLeast"/>
        </w:trPr>
        <w:tc>
          <w:tcPr>
            <w:tcW w:w="450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赋分</w:t>
            </w:r>
          </w:p>
        </w:tc>
        <w:tc>
          <w:tcPr>
            <w:tcW w:w="110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100</w:t>
            </w:r>
          </w:p>
        </w:tc>
        <w:tc>
          <w:tcPr>
            <w:tcW w:w="94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80</w:t>
            </w:r>
          </w:p>
        </w:tc>
        <w:tc>
          <w:tcPr>
            <w:tcW w:w="92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60</w:t>
            </w:r>
          </w:p>
        </w:tc>
        <w:tc>
          <w:tcPr>
            <w:tcW w:w="94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30</w:t>
            </w:r>
          </w:p>
        </w:tc>
        <w:tc>
          <w:tcPr>
            <w:tcW w:w="1000"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w:t>
            </w:r>
          </w:p>
        </w:tc>
      </w:tr>
    </w:tbl>
    <w:p>
      <w:pPr>
        <w:spacing w:line="360" w:lineRule="auto"/>
        <w:ind w:firstLine="560" w:firstLineChars="200"/>
        <w:jc w:val="left"/>
        <w:rPr>
          <w:rFonts w:ascii="Times New Roman" w:hAnsi="Times New Roman" w:eastAsia="仿宋" w:cs="Times New Roman"/>
          <w:color w:val="auto"/>
          <w:kern w:val="0"/>
          <w:sz w:val="28"/>
          <w:szCs w:val="20"/>
        </w:rPr>
      </w:pP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w:t>
      </w:r>
      <w:r>
        <w:rPr>
          <w:rFonts w:hint="eastAsia" w:ascii="Times New Roman" w:hAnsi="Times New Roman" w:eastAsia="仿宋" w:cs="Times New Roman"/>
          <w:color w:val="auto"/>
          <w:kern w:val="0"/>
          <w:sz w:val="28"/>
          <w:szCs w:val="20"/>
        </w:rPr>
        <w:t>4</w:t>
      </w:r>
      <w:r>
        <w:rPr>
          <w:rFonts w:ascii="Times New Roman" w:hAnsi="Times New Roman" w:eastAsia="仿宋" w:cs="Times New Roman"/>
          <w:color w:val="auto"/>
          <w:kern w:val="0"/>
          <w:sz w:val="28"/>
          <w:szCs w:val="20"/>
        </w:rPr>
        <w:t>）重金属污染状况（HMP）</w:t>
      </w:r>
    </w:p>
    <w:p>
      <w:pPr>
        <w:spacing w:line="360" w:lineRule="auto"/>
        <w:ind w:firstLine="840" w:firstLineChars="3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1）指标说明</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重金属污染是指汞、镉、铬、铅及砷等生物毒性显著的重金属元素及其化合物对水的污染，取汞、镉、镉、铬、铅及砷 5 项对水体重金属污染状况进行评估。</w:t>
      </w:r>
    </w:p>
    <w:p>
      <w:pPr>
        <w:spacing w:line="360" w:lineRule="auto"/>
        <w:ind w:firstLine="840" w:firstLineChars="3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2）计算方法</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汞、镉、铬、铅及砷分别赋分。按照汛期和非汛期进行平均，分别评估，取其最低赋分作为水质项目的赋分。</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取 5 个水质项目赋分的最低赋分作为重金属污染状况赋分（HMPr）。计算如下：</w:t>
      </w:r>
    </w:p>
    <w:p>
      <w:pPr>
        <w:spacing w:line="360" w:lineRule="auto"/>
        <w:ind w:firstLine="1120" w:firstLineChars="4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drawing>
          <wp:anchor distT="0" distB="0" distL="114300" distR="114300" simplePos="0" relativeHeight="251671552" behindDoc="0" locked="0" layoutInCell="1" allowOverlap="1">
            <wp:simplePos x="0" y="0"/>
            <wp:positionH relativeFrom="column">
              <wp:posOffset>1423670</wp:posOffset>
            </wp:positionH>
            <wp:positionV relativeFrom="paragraph">
              <wp:posOffset>-20320</wp:posOffset>
            </wp:positionV>
            <wp:extent cx="2534285" cy="410210"/>
            <wp:effectExtent l="0" t="0" r="0" b="889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534285" cy="410210"/>
                    </a:xfrm>
                    <a:prstGeom prst="rect">
                      <a:avLst/>
                    </a:prstGeom>
                    <a:noFill/>
                  </pic:spPr>
                </pic:pic>
              </a:graphicData>
            </a:graphic>
          </wp:anchor>
        </w:drawing>
      </w:r>
    </w:p>
    <w:p>
      <w:pPr>
        <w:spacing w:line="360" w:lineRule="auto"/>
        <w:ind w:firstLine="840" w:firstLineChars="300"/>
        <w:rPr>
          <w:rFonts w:ascii="Times New Roman" w:hAnsi="Times New Roman" w:eastAsia="仿宋" w:cs="Times New Roman"/>
          <w:color w:val="auto"/>
          <w:kern w:val="0"/>
          <w:sz w:val="28"/>
          <w:szCs w:val="20"/>
        </w:rPr>
      </w:pPr>
    </w:p>
    <w:p>
      <w:pPr>
        <w:spacing w:line="360" w:lineRule="auto"/>
        <w:ind w:firstLine="840" w:firstLineChars="3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3）指标赋分</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根据《地面水环境质量标准》（GB3838</w:t>
      </w:r>
      <w:r>
        <w:rPr>
          <w:rFonts w:hint="eastAsia" w:ascii="宋体" w:hAnsi="宋体" w:eastAsia="宋体" w:cs="宋体"/>
          <w:color w:val="auto"/>
          <w:kern w:val="0"/>
          <w:sz w:val="28"/>
          <w:szCs w:val="20"/>
        </w:rPr>
        <w:t>‐</w:t>
      </w:r>
      <w:r>
        <w:rPr>
          <w:rFonts w:ascii="Times New Roman" w:hAnsi="Times New Roman" w:eastAsia="仿宋" w:cs="Times New Roman"/>
          <w:color w:val="auto"/>
          <w:kern w:val="0"/>
          <w:sz w:val="28"/>
          <w:szCs w:val="20"/>
        </w:rPr>
        <w:t>2002）确定赋分汞、镉、镉、铬、铅及砷，如表3.6.3-</w:t>
      </w:r>
      <w:r>
        <w:rPr>
          <w:rFonts w:hint="eastAsia" w:ascii="Times New Roman" w:hAnsi="Times New Roman" w:eastAsia="仿宋" w:cs="Times New Roman"/>
          <w:color w:val="auto"/>
          <w:kern w:val="0"/>
          <w:sz w:val="28"/>
          <w:szCs w:val="20"/>
        </w:rPr>
        <w:t>4</w:t>
      </w:r>
      <w:r>
        <w:rPr>
          <w:rFonts w:ascii="Times New Roman" w:hAnsi="Times New Roman" w:eastAsia="仿宋" w:cs="Times New Roman"/>
          <w:color w:val="auto"/>
          <w:kern w:val="0"/>
          <w:sz w:val="28"/>
          <w:szCs w:val="20"/>
        </w:rPr>
        <w:t>。</w:t>
      </w:r>
    </w:p>
    <w:p>
      <w:pPr>
        <w:spacing w:line="360" w:lineRule="auto"/>
        <w:ind w:firstLine="562" w:firstLineChars="200"/>
        <w:jc w:val="left"/>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表 3.6.3-</w:t>
      </w:r>
      <w:r>
        <w:rPr>
          <w:rFonts w:hint="eastAsia" w:ascii="Times New Roman" w:hAnsi="Times New Roman" w:eastAsia="仿宋" w:cs="Times New Roman"/>
          <w:b/>
          <w:color w:val="auto"/>
          <w:kern w:val="0"/>
          <w:sz w:val="28"/>
          <w:szCs w:val="20"/>
        </w:rPr>
        <w:t>4</w:t>
      </w:r>
      <w:r>
        <w:rPr>
          <w:rFonts w:ascii="Times New Roman" w:hAnsi="Times New Roman" w:eastAsia="仿宋" w:cs="Times New Roman"/>
          <w:b/>
          <w:color w:val="auto"/>
          <w:kern w:val="0"/>
          <w:sz w:val="28"/>
          <w:szCs w:val="20"/>
        </w:rPr>
        <w:t xml:space="preserve">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 xml:space="preserve">       重金属污染状况指标赋分标准</w:t>
      </w:r>
    </w:p>
    <w:tbl>
      <w:tblPr>
        <w:tblStyle w:val="15"/>
        <w:tblW w:w="914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512"/>
        <w:gridCol w:w="1707"/>
        <w:gridCol w:w="1493"/>
        <w:gridCol w:w="1491"/>
        <w:gridCol w:w="1491"/>
        <w:gridCol w:w="145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79" w:hRule="atLeast"/>
          <w:jc w:val="center"/>
        </w:trPr>
        <w:tc>
          <w:tcPr>
            <w:tcW w:w="1512"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砷（mg/L）</w:t>
            </w:r>
          </w:p>
        </w:tc>
        <w:tc>
          <w:tcPr>
            <w:tcW w:w="1707"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汞（mg/L）</w:t>
            </w:r>
          </w:p>
        </w:tc>
        <w:tc>
          <w:tcPr>
            <w:tcW w:w="1493"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镉（mg/L）</w:t>
            </w:r>
          </w:p>
        </w:tc>
        <w:tc>
          <w:tcPr>
            <w:tcW w:w="1491"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铬（mg/L）</w:t>
            </w:r>
          </w:p>
        </w:tc>
        <w:tc>
          <w:tcPr>
            <w:tcW w:w="1491"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铅（mg/L）</w:t>
            </w:r>
          </w:p>
        </w:tc>
        <w:tc>
          <w:tcPr>
            <w:tcW w:w="1453"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赋分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9" w:hRule="atLeast"/>
          <w:jc w:val="center"/>
        </w:trPr>
        <w:tc>
          <w:tcPr>
            <w:tcW w:w="1512"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≤0.05</w:t>
            </w:r>
          </w:p>
        </w:tc>
        <w:tc>
          <w:tcPr>
            <w:tcW w:w="1707"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≤0.00005</w:t>
            </w:r>
          </w:p>
        </w:tc>
        <w:tc>
          <w:tcPr>
            <w:tcW w:w="1493"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≤0.001</w:t>
            </w:r>
          </w:p>
        </w:tc>
        <w:tc>
          <w:tcPr>
            <w:tcW w:w="1491"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≤0.01</w:t>
            </w:r>
          </w:p>
        </w:tc>
        <w:tc>
          <w:tcPr>
            <w:tcW w:w="1491"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≤0.01</w:t>
            </w:r>
          </w:p>
        </w:tc>
        <w:tc>
          <w:tcPr>
            <w:tcW w:w="1453"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6" w:hRule="atLeast"/>
          <w:jc w:val="center"/>
        </w:trPr>
        <w:tc>
          <w:tcPr>
            <w:tcW w:w="1512"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0.05-0.075</w:t>
            </w:r>
          </w:p>
        </w:tc>
        <w:tc>
          <w:tcPr>
            <w:tcW w:w="1707"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0.00005-0.0001</w:t>
            </w:r>
          </w:p>
        </w:tc>
        <w:tc>
          <w:tcPr>
            <w:tcW w:w="1493"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0.001-0.005</w:t>
            </w:r>
          </w:p>
        </w:tc>
        <w:tc>
          <w:tcPr>
            <w:tcW w:w="1491"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0.01-0.05</w:t>
            </w:r>
          </w:p>
        </w:tc>
        <w:tc>
          <w:tcPr>
            <w:tcW w:w="1491"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0.01-0.05</w:t>
            </w:r>
          </w:p>
        </w:tc>
        <w:tc>
          <w:tcPr>
            <w:tcW w:w="1453"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100-60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9" w:hRule="atLeast"/>
          <w:jc w:val="center"/>
        </w:trPr>
        <w:tc>
          <w:tcPr>
            <w:tcW w:w="1512"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0.075-1</w:t>
            </w:r>
          </w:p>
        </w:tc>
        <w:tc>
          <w:tcPr>
            <w:tcW w:w="1707"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0.001-0.01</w:t>
            </w:r>
          </w:p>
        </w:tc>
        <w:tc>
          <w:tcPr>
            <w:tcW w:w="1493"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0.005-0.01</w:t>
            </w:r>
          </w:p>
        </w:tc>
        <w:tc>
          <w:tcPr>
            <w:tcW w:w="1491"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0.05-0.1</w:t>
            </w:r>
          </w:p>
        </w:tc>
        <w:tc>
          <w:tcPr>
            <w:tcW w:w="1491"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0.05</w:t>
            </w:r>
            <w:bookmarkStart w:id="65" w:name="page54"/>
            <w:bookmarkEnd w:id="65"/>
            <w:r>
              <w:rPr>
                <w:rFonts w:ascii="Times New Roman" w:hAnsi="Times New Roman" w:eastAsia="仿宋" w:cs="Times New Roman"/>
                <w:color w:val="auto"/>
                <w:kern w:val="0"/>
                <w:sz w:val="21"/>
                <w:szCs w:val="21"/>
              </w:rPr>
              <w:t>-0.1</w:t>
            </w:r>
          </w:p>
        </w:tc>
        <w:tc>
          <w:tcPr>
            <w:tcW w:w="1453" w:type="dxa"/>
            <w:shd w:val="clear" w:color="auto" w:fill="auto"/>
            <w:vAlign w:val="bottom"/>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60-0</w:t>
            </w:r>
          </w:p>
        </w:tc>
      </w:tr>
    </w:tbl>
    <w:p>
      <w:pPr>
        <w:spacing w:line="560" w:lineRule="exact"/>
        <w:ind w:firstLine="560" w:firstLineChars="200"/>
        <w:rPr>
          <w:rFonts w:ascii="Times New Roman" w:hAnsi="Times New Roman" w:eastAsia="仿宋" w:cs="Times New Roman"/>
          <w:color w:val="auto"/>
          <w:kern w:val="0"/>
          <w:sz w:val="28"/>
          <w:szCs w:val="20"/>
        </w:rPr>
      </w:pP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w:t>
      </w:r>
      <w:r>
        <w:rPr>
          <w:rFonts w:hint="eastAsia" w:ascii="Times New Roman" w:hAnsi="Times New Roman" w:eastAsia="仿宋" w:cs="Times New Roman"/>
          <w:color w:val="auto"/>
          <w:kern w:val="0"/>
          <w:sz w:val="28"/>
          <w:szCs w:val="20"/>
        </w:rPr>
        <w:t>5</w:t>
      </w:r>
      <w:r>
        <w:rPr>
          <w:rFonts w:ascii="Times New Roman" w:hAnsi="Times New Roman" w:eastAsia="仿宋" w:cs="Times New Roman"/>
          <w:color w:val="auto"/>
          <w:kern w:val="0"/>
          <w:sz w:val="28"/>
          <w:szCs w:val="20"/>
        </w:rPr>
        <w:t>）水质准则层（WQ）赋分方法</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以水质状况指标之间的评估采用最差值法，即取各类指标赋分值的最差值作为该水功能区水质状况的评估分值。</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drawing>
          <wp:anchor distT="0" distB="0" distL="114300" distR="114300" simplePos="0" relativeHeight="251672576" behindDoc="0" locked="0" layoutInCell="1" allowOverlap="1">
            <wp:simplePos x="0" y="0"/>
            <wp:positionH relativeFrom="column">
              <wp:posOffset>1309370</wp:posOffset>
            </wp:positionH>
            <wp:positionV relativeFrom="paragraph">
              <wp:posOffset>8890</wp:posOffset>
            </wp:positionV>
            <wp:extent cx="2400935" cy="410210"/>
            <wp:effectExtent l="0" t="0" r="0" b="889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401200" cy="410400"/>
                    </a:xfrm>
                    <a:prstGeom prst="rect">
                      <a:avLst/>
                    </a:prstGeom>
                    <a:noFill/>
                  </pic:spPr>
                </pic:pic>
              </a:graphicData>
            </a:graphic>
          </wp:anchor>
        </w:drawing>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式中，WQr 为水质准则层赋分，DOr 为溶解氧状况指标赋分，OCPr 为耗氧有机污染状况指标赋分， HMPr 为重金属污染状况赋分。</w:t>
      </w:r>
    </w:p>
    <w:p>
      <w:pPr>
        <w:spacing w:line="360" w:lineRule="auto"/>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3.6.4 生物指标（AL）</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（1）指标说明</w:t>
      </w:r>
    </w:p>
    <w:p>
      <w:pPr>
        <w:spacing w:line="360" w:lineRule="auto"/>
        <w:ind w:firstLine="540" w:firstLineChars="200"/>
        <w:rPr>
          <w:rFonts w:ascii="Times New Roman" w:hAnsi="Times New Roman" w:eastAsia="仿宋" w:cs="Times New Roman"/>
          <w:color w:val="auto"/>
          <w:kern w:val="0"/>
          <w:sz w:val="28"/>
          <w:szCs w:val="20"/>
        </w:rPr>
      </w:pPr>
      <w:r>
        <w:rPr>
          <w:rFonts w:hint="eastAsia" w:ascii="Times New Roman" w:hAnsi="Times New Roman" w:eastAsia="仿宋" w:cs="Times New Roman"/>
          <w:color w:val="auto"/>
          <w:kern w:val="0"/>
          <w:sz w:val="27"/>
          <w:szCs w:val="20"/>
        </w:rPr>
        <w:t>资源县</w:t>
      </w:r>
      <w:r>
        <w:rPr>
          <w:rFonts w:ascii="Times New Roman" w:hAnsi="Times New Roman" w:eastAsia="仿宋" w:cs="Times New Roman"/>
          <w:color w:val="auto"/>
          <w:kern w:val="0"/>
          <w:sz w:val="27"/>
          <w:szCs w:val="20"/>
        </w:rPr>
        <w:t>流域生物指标采用附生硅藻、底栖动物和鱼类损失指标进行评估。</w:t>
      </w:r>
      <w:r>
        <w:rPr>
          <w:rFonts w:ascii="Times New Roman" w:hAnsi="Times New Roman" w:eastAsia="仿宋" w:cs="Times New Roman"/>
          <w:color w:val="auto"/>
          <w:kern w:val="0"/>
          <w:sz w:val="28"/>
          <w:szCs w:val="20"/>
        </w:rPr>
        <w:t>其中附生硅藻指数以特定污染敏感指数（IPS）、硅藻生物指数（IBD）指标表达，底栖动物以底栖动物 BI（Biotic Index）指数和底栖动物完整性指数（B-IBI）表达，鱼类生物损失指标（FOE）标准建立采用历史背景调查方法确定。</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（2）计算方法</w:t>
      </w:r>
    </w:p>
    <w:p>
      <w:pPr>
        <w:spacing w:line="360" w:lineRule="auto"/>
        <w:ind w:firstLine="834" w:firstLineChars="298"/>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1）附生硅藻指数</w:t>
      </w:r>
    </w:p>
    <w:p>
      <w:pPr>
        <w:spacing w:line="360" w:lineRule="auto"/>
        <w:ind w:firstLine="560" w:firstLineChars="200"/>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8"/>
          <w:szCs w:val="20"/>
        </w:rPr>
        <w:t>采用法国的硅藻监测技术及评价标准。法国硅藻分析主要使用 2 个指数：特定污染敏感指数（IPS）和硅藻生物指数（IBD），均是法国淡水水质监测的标准方法。这两个生物指数主要用来：A. 评价一个水域的生物质量状况 B. 监测一个水域生物质量的时间变化 C. 监测河流生物质量的空间变化 D. 评价某次污染对</w:t>
      </w:r>
      <w:bookmarkStart w:id="66" w:name="page55"/>
      <w:bookmarkEnd w:id="66"/>
      <w:r>
        <w:rPr>
          <w:rFonts w:ascii="Times New Roman" w:hAnsi="Times New Roman" w:eastAsia="仿宋" w:cs="Times New Roman"/>
          <w:color w:val="auto"/>
          <w:kern w:val="0"/>
          <w:sz w:val="28"/>
          <w:szCs w:val="20"/>
        </w:rPr>
        <w:t>水环境系统带来的影响。</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这两个指数的计算依据是样本中每个硅藻种类的丰富度，它们之间的不同之处主要是计算指数的数据库包括的硅藻种类不同： IPS 指数包括了所有硅藻种群（包括热带种群）；IBD 指数包括 209 种在法国淡水中生活的指示型物种。</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硅藻指数与水环境的物理化学特性相关性很好，最近更新的IPS 指数对极值更为敏感，已被法国标准协会推荐作为法国淡水水质监测的标准方法。</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IBD 指数应用了预先定义好的生态状态，描述了 500 种硅藻在 7 种不同水质类别情况下的出现概率，这 7 种水质类别是在 1331 个样本和17 个目前使用的化学参数的基础上定义的。IBD 指数是每个调查中最具代表性物种（依据丰度下限选择）的分布重心。</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IPS 指数和 IBD 指数的计算依据是样本中每一个硅藻种类的丰富度，它们之间的不同之处主要是计算指数所需的数据库包含的硅藻种类不同，其中 IPS 指数包括了所有硅藻种群，IBD 指数包括 209 种在法国淡水中生活的指示型物种。IPS 和 IBD 两项硅藻指数通过软件 Omniaia6.0 算出，数值转换为 0 到 20 的数值范围。</w:t>
      </w:r>
    </w:p>
    <w:p>
      <w:pPr>
        <w:spacing w:line="360" w:lineRule="auto"/>
        <w:ind w:firstLine="560" w:firstLineChars="200"/>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8"/>
          <w:szCs w:val="20"/>
        </w:rPr>
        <w:t>计算出的硅藻指数值可进行生态质量评价。本次附生硅藻指数 ED 以IPS 指数和 IBD 指数的最小值作为标准进行评价，计算公式如下：</w:t>
      </w:r>
      <w:r>
        <w:rPr>
          <w:rFonts w:ascii="Times New Roman" w:hAnsi="Times New Roman" w:eastAsia="仿宋" w:cs="Times New Roman"/>
          <w:color w:val="auto"/>
          <w:kern w:val="0"/>
          <w:sz w:val="20"/>
          <w:szCs w:val="20"/>
        </w:rPr>
        <w:t xml:space="preserve"> </w:t>
      </w:r>
    </w:p>
    <w:p>
      <w:pPr>
        <w:spacing w:line="360" w:lineRule="auto"/>
        <w:jc w:val="center"/>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ED=min（IPS,IBD）</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附生硅藻指数赋分详见表 3.6.4-1。</w:t>
      </w:r>
    </w:p>
    <w:p>
      <w:pPr>
        <w:spacing w:line="360" w:lineRule="auto"/>
        <w:ind w:firstLine="562" w:firstLineChars="200"/>
        <w:jc w:val="left"/>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 xml:space="preserve">表 3.6.4-1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 xml:space="preserve">    附生硅藻指</w:t>
      </w:r>
      <w:bookmarkStart w:id="67" w:name="page56"/>
      <w:bookmarkEnd w:id="67"/>
      <w:r>
        <w:rPr>
          <w:rFonts w:ascii="Times New Roman" w:hAnsi="Times New Roman" w:eastAsia="仿宋" w:cs="Times New Roman"/>
          <w:b/>
          <w:color w:val="auto"/>
          <w:kern w:val="0"/>
          <w:sz w:val="28"/>
          <w:szCs w:val="20"/>
        </w:rPr>
        <w:t>数赋分（EDr）方法</w:t>
      </w:r>
    </w:p>
    <w:tbl>
      <w:tblPr>
        <w:tblStyle w:val="15"/>
        <w:tblW w:w="914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5069"/>
        <w:gridCol w:w="40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57" w:hRule="atLeast"/>
        </w:trPr>
        <w:tc>
          <w:tcPr>
            <w:tcW w:w="5069"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指数值</w:t>
            </w:r>
          </w:p>
        </w:tc>
        <w:tc>
          <w:tcPr>
            <w:tcW w:w="4078"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赋  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3" w:hRule="atLeast"/>
        </w:trPr>
        <w:tc>
          <w:tcPr>
            <w:tcW w:w="5069"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IPS ≥ 17</w:t>
            </w:r>
          </w:p>
        </w:tc>
        <w:tc>
          <w:tcPr>
            <w:tcW w:w="4078"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5" w:hRule="atLeast"/>
        </w:trPr>
        <w:tc>
          <w:tcPr>
            <w:tcW w:w="5069"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17 &gt; IPS ≥13</w:t>
            </w:r>
          </w:p>
        </w:tc>
        <w:tc>
          <w:tcPr>
            <w:tcW w:w="4078"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75-100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3" w:hRule="atLeast"/>
        </w:trPr>
        <w:tc>
          <w:tcPr>
            <w:tcW w:w="5069"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13&gt;IPS ≥ 9</w:t>
            </w:r>
          </w:p>
        </w:tc>
        <w:tc>
          <w:tcPr>
            <w:tcW w:w="4078"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50-75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3" w:hRule="atLeast"/>
        </w:trPr>
        <w:tc>
          <w:tcPr>
            <w:tcW w:w="5069"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9&gt; IPS ≥ 5</w:t>
            </w:r>
          </w:p>
        </w:tc>
        <w:tc>
          <w:tcPr>
            <w:tcW w:w="4078"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25-50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3" w:hRule="atLeast"/>
        </w:trPr>
        <w:tc>
          <w:tcPr>
            <w:tcW w:w="5069"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IPS   &lt;5</w:t>
            </w:r>
          </w:p>
        </w:tc>
        <w:tc>
          <w:tcPr>
            <w:tcW w:w="4078"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0-25</w:t>
            </w:r>
          </w:p>
        </w:tc>
      </w:tr>
    </w:tbl>
    <w:p>
      <w:pPr>
        <w:spacing w:line="560" w:lineRule="exact"/>
        <w:ind w:firstLine="840" w:firstLineChars="300"/>
        <w:jc w:val="left"/>
        <w:rPr>
          <w:rFonts w:ascii="Times New Roman" w:hAnsi="Times New Roman" w:eastAsia="仿宋" w:cs="Times New Roman"/>
          <w:color w:val="auto"/>
          <w:kern w:val="0"/>
          <w:sz w:val="28"/>
          <w:szCs w:val="20"/>
        </w:rPr>
      </w:pPr>
    </w:p>
    <w:p>
      <w:pPr>
        <w:spacing w:line="360" w:lineRule="auto"/>
        <w:ind w:firstLine="840" w:firstLineChars="3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2）底栖动物</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fldChar w:fldCharType="begin"/>
      </w:r>
      <w:r>
        <w:rPr>
          <w:rFonts w:ascii="Times New Roman" w:hAnsi="Times New Roman" w:eastAsia="仿宋" w:cs="Times New Roman"/>
          <w:color w:val="auto"/>
          <w:kern w:val="0"/>
          <w:sz w:val="28"/>
          <w:szCs w:val="20"/>
        </w:rPr>
        <w:instrText xml:space="preserve"> = 1 \* GB3 </w:instrText>
      </w:r>
      <w:r>
        <w:rPr>
          <w:rFonts w:ascii="Times New Roman" w:hAnsi="Times New Roman" w:eastAsia="仿宋" w:cs="Times New Roman"/>
          <w:color w:val="auto"/>
          <w:kern w:val="0"/>
          <w:sz w:val="28"/>
          <w:szCs w:val="20"/>
        </w:rPr>
        <w:fldChar w:fldCharType="separate"/>
      </w:r>
      <w:r>
        <w:rPr>
          <w:rFonts w:hint="eastAsia" w:ascii="宋体" w:hAnsi="宋体" w:eastAsia="宋体" w:cs="宋体"/>
          <w:color w:val="auto"/>
          <w:kern w:val="0"/>
          <w:sz w:val="28"/>
          <w:szCs w:val="20"/>
        </w:rPr>
        <w:t>①</w:t>
      </w:r>
      <w:r>
        <w:rPr>
          <w:rFonts w:ascii="Times New Roman" w:hAnsi="Times New Roman" w:eastAsia="仿宋" w:cs="Times New Roman"/>
          <w:color w:val="auto"/>
          <w:kern w:val="0"/>
          <w:sz w:val="28"/>
          <w:szCs w:val="20"/>
        </w:rPr>
        <w:fldChar w:fldCharType="end"/>
      </w:r>
      <w:r>
        <w:rPr>
          <w:rFonts w:ascii="Times New Roman" w:hAnsi="Times New Roman" w:eastAsia="仿宋" w:cs="Times New Roman"/>
          <w:color w:val="auto"/>
          <w:kern w:val="0"/>
          <w:sz w:val="28"/>
          <w:szCs w:val="20"/>
        </w:rPr>
        <w:t>指标说明</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生态完整性体现在各生物群落和种群的完整性中，如鱼类、底栖动物、藻类和浮游动物完整性等。底栖动物目前已被广泛应用于生态监测评估中，通过构建底栖动物完整性指数（B</w:t>
      </w:r>
      <w:r>
        <w:rPr>
          <w:rFonts w:hint="eastAsia" w:ascii="宋体" w:hAnsi="宋体" w:eastAsia="宋体" w:cs="宋体"/>
          <w:color w:val="auto"/>
          <w:kern w:val="0"/>
          <w:sz w:val="28"/>
          <w:szCs w:val="20"/>
        </w:rPr>
        <w:t>‐</w:t>
      </w:r>
      <w:r>
        <w:rPr>
          <w:rFonts w:ascii="Times New Roman" w:hAnsi="Times New Roman" w:eastAsia="仿宋" w:cs="Times New Roman"/>
          <w:color w:val="auto"/>
          <w:kern w:val="0"/>
          <w:sz w:val="28"/>
          <w:szCs w:val="20"/>
        </w:rPr>
        <w:t>IBI）可以对河湖的水生态现状进行较为全面和科学的评估。</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fldChar w:fldCharType="begin"/>
      </w:r>
      <w:r>
        <w:rPr>
          <w:rFonts w:ascii="Times New Roman" w:hAnsi="Times New Roman" w:eastAsia="仿宋" w:cs="Times New Roman"/>
          <w:color w:val="auto"/>
          <w:kern w:val="0"/>
          <w:sz w:val="28"/>
          <w:szCs w:val="20"/>
        </w:rPr>
        <w:instrText xml:space="preserve"> = 2 \* GB3 </w:instrText>
      </w:r>
      <w:r>
        <w:rPr>
          <w:rFonts w:ascii="Times New Roman" w:hAnsi="Times New Roman" w:eastAsia="仿宋" w:cs="Times New Roman"/>
          <w:color w:val="auto"/>
          <w:kern w:val="0"/>
          <w:sz w:val="28"/>
          <w:szCs w:val="20"/>
        </w:rPr>
        <w:fldChar w:fldCharType="separate"/>
      </w:r>
      <w:r>
        <w:rPr>
          <w:rFonts w:hint="eastAsia" w:ascii="宋体" w:hAnsi="宋体" w:eastAsia="宋体" w:cs="宋体"/>
          <w:color w:val="auto"/>
          <w:kern w:val="0"/>
          <w:sz w:val="28"/>
          <w:szCs w:val="20"/>
        </w:rPr>
        <w:t>②</w:t>
      </w:r>
      <w:r>
        <w:rPr>
          <w:rFonts w:ascii="Times New Roman" w:hAnsi="Times New Roman" w:eastAsia="仿宋" w:cs="Times New Roman"/>
          <w:color w:val="auto"/>
          <w:kern w:val="0"/>
          <w:sz w:val="28"/>
          <w:szCs w:val="20"/>
        </w:rPr>
        <w:fldChar w:fldCharType="end"/>
      </w:r>
      <w:r>
        <w:rPr>
          <w:rFonts w:ascii="Times New Roman" w:hAnsi="Times New Roman" w:eastAsia="仿宋" w:cs="Times New Roman"/>
          <w:color w:val="auto"/>
          <w:kern w:val="0"/>
          <w:sz w:val="28"/>
          <w:szCs w:val="20"/>
        </w:rPr>
        <w:t>计算说明</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构建底栖动物完整性指数（B</w:t>
      </w:r>
      <w:r>
        <w:rPr>
          <w:rFonts w:hint="eastAsia" w:ascii="宋体" w:hAnsi="宋体" w:eastAsia="宋体" w:cs="宋体"/>
          <w:color w:val="auto"/>
          <w:kern w:val="0"/>
          <w:sz w:val="28"/>
          <w:szCs w:val="20"/>
        </w:rPr>
        <w:t>‐</w:t>
      </w:r>
      <w:r>
        <w:rPr>
          <w:rFonts w:ascii="Times New Roman" w:hAnsi="Times New Roman" w:eastAsia="仿宋" w:cs="Times New Roman"/>
          <w:color w:val="auto"/>
          <w:kern w:val="0"/>
          <w:sz w:val="28"/>
          <w:szCs w:val="20"/>
        </w:rPr>
        <w:t>IBI）的备选参数很多，需要根据具体情况选择。选择原则是备选参数一定能够充分反映底栖动物群落组成、物种多样性和丰富性、耐污度（抗逆力）和营养结构组成及生境质量信息。</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通过对候选生物参数的计算和分析，确定以 EPT 分类单元数、扁蜉占蜉蝣总数的百分比、前五位优势单元数量所占比例以及黏附者数量所占比例作为 B-IBI 生物参数指标。</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fldChar w:fldCharType="begin"/>
      </w:r>
      <w:r>
        <w:rPr>
          <w:rFonts w:ascii="Times New Roman" w:hAnsi="Times New Roman" w:eastAsia="仿宋" w:cs="Times New Roman"/>
          <w:color w:val="auto"/>
          <w:kern w:val="0"/>
          <w:sz w:val="28"/>
          <w:szCs w:val="20"/>
        </w:rPr>
        <w:instrText xml:space="preserve"> = 3 \* GB3 </w:instrText>
      </w:r>
      <w:r>
        <w:rPr>
          <w:rFonts w:ascii="Times New Roman" w:hAnsi="Times New Roman" w:eastAsia="仿宋" w:cs="Times New Roman"/>
          <w:color w:val="auto"/>
          <w:kern w:val="0"/>
          <w:sz w:val="28"/>
          <w:szCs w:val="20"/>
        </w:rPr>
        <w:fldChar w:fldCharType="separate"/>
      </w:r>
      <w:r>
        <w:rPr>
          <w:rFonts w:hint="eastAsia" w:ascii="宋体" w:hAnsi="宋体" w:eastAsia="宋体" w:cs="宋体"/>
          <w:color w:val="auto"/>
          <w:kern w:val="0"/>
          <w:sz w:val="28"/>
          <w:szCs w:val="20"/>
        </w:rPr>
        <w:t>③</w:t>
      </w:r>
      <w:r>
        <w:rPr>
          <w:rFonts w:ascii="Times New Roman" w:hAnsi="Times New Roman" w:eastAsia="仿宋" w:cs="Times New Roman"/>
          <w:color w:val="auto"/>
          <w:kern w:val="0"/>
          <w:sz w:val="28"/>
          <w:szCs w:val="20"/>
        </w:rPr>
        <w:fldChar w:fldCharType="end"/>
      </w:r>
      <w:r>
        <w:rPr>
          <w:rFonts w:ascii="Times New Roman" w:hAnsi="Times New Roman" w:eastAsia="仿宋" w:cs="Times New Roman"/>
          <w:color w:val="auto"/>
          <w:kern w:val="0"/>
          <w:sz w:val="28"/>
          <w:szCs w:val="20"/>
        </w:rPr>
        <w:t>评估标准</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根据王备新等在 2010 年建立的 B-IBI 指数的计算方法和健康分级等级， B-IBI≥ 6 为健康；B-IBI&lt;6 为不健康。</w:t>
      </w:r>
    </w:p>
    <w:p>
      <w:pPr>
        <w:spacing w:line="360" w:lineRule="auto"/>
        <w:ind w:firstLine="560" w:firstLineChars="200"/>
        <w:rPr>
          <w:rFonts w:ascii="Times New Roman" w:hAnsi="Times New Roman" w:eastAsia="仿宋" w:cs="Times New Roman"/>
          <w:color w:val="auto"/>
          <w:kern w:val="0"/>
          <w:sz w:val="28"/>
          <w:szCs w:val="20"/>
        </w:rPr>
      </w:pPr>
      <w:r>
        <w:rPr>
          <w:rFonts w:hint="eastAsia" w:ascii="Times New Roman" w:hAnsi="Times New Roman" w:eastAsia="仿宋" w:cs="Times New Roman"/>
          <w:color w:val="auto"/>
          <w:kern w:val="0"/>
          <w:sz w:val="28"/>
          <w:szCs w:val="20"/>
        </w:rPr>
        <w:t>④指标赋分</w:t>
      </w:r>
    </w:p>
    <w:p>
      <w:pPr>
        <w:spacing w:line="360" w:lineRule="auto"/>
        <w:ind w:firstLine="560" w:firstLineChars="200"/>
        <w:rPr>
          <w:rFonts w:ascii="Times New Roman" w:hAnsi="Times New Roman" w:eastAsia="仿宋" w:cs="Times New Roman"/>
          <w:color w:val="auto"/>
          <w:kern w:val="0"/>
          <w:sz w:val="28"/>
          <w:szCs w:val="20"/>
        </w:rPr>
      </w:pPr>
      <w:r>
        <w:rPr>
          <w:rFonts w:hint="eastAsia" w:ascii="Times New Roman" w:hAnsi="Times New Roman" w:eastAsia="仿宋" w:cs="Times New Roman"/>
          <w:color w:val="auto"/>
          <w:kern w:val="0"/>
          <w:sz w:val="28"/>
          <w:szCs w:val="20"/>
        </w:rPr>
        <w:t>对评估河流监测底栖生物调查数据按照评估参数分值计算方法，计算其BIB指数值，根据河流所在水生态分区大型底栖无脊椎动物IBI最佳期望值，其计算公式为：</w:t>
      </w:r>
    </w:p>
    <w:p>
      <w:pPr>
        <w:spacing w:line="360" w:lineRule="auto"/>
        <w:ind w:firstLine="560" w:firstLineChars="200"/>
        <w:jc w:val="center"/>
        <w:rPr>
          <w:rFonts w:ascii="Times New Roman" w:hAnsi="Times New Roman" w:eastAsia="仿宋" w:cs="Times New Roman"/>
          <w:color w:val="auto"/>
          <w:kern w:val="0"/>
          <w:szCs w:val="21"/>
        </w:rPr>
      </w:pPr>
      <m:oMathPara>
        <m:oMath>
          <m:r>
            <m:rPr/>
            <w:rPr>
              <w:rFonts w:ascii="Cambria Math" w:hAnsi="Cambria Math" w:eastAsia="Cambria Math" w:cs="Cambria Math"/>
              <w:color w:val="auto"/>
              <w:kern w:val="0"/>
              <w:szCs w:val="21"/>
            </w:rPr>
            <m:t>BIB</m:t>
          </m:r>
          <m:r>
            <m:rPr>
              <m:sty m:val="p"/>
            </m:rPr>
            <w:rPr>
              <w:rFonts w:ascii="Cambria Math" w:hAnsi="Cambria Math" w:cs="Cambria Math"/>
              <w:color w:val="auto"/>
              <w:kern w:val="0"/>
              <w:szCs w:val="21"/>
            </w:rPr>
            <m:t>r</m:t>
          </m:r>
          <m:r>
            <m:rPr>
              <m:sty m:val="p"/>
            </m:rPr>
            <w:rPr>
              <w:rFonts w:ascii="Cambria Math" w:hAnsi="Cambria Math" w:eastAsia="Cambria Math" w:cs="Cambria Math"/>
              <w:color w:val="auto"/>
              <w:kern w:val="0"/>
              <w:szCs w:val="21"/>
            </w:rPr>
            <m:t>=</m:t>
          </m:r>
          <m:f>
            <m:fPr>
              <m:ctrlPr>
                <w:rPr>
                  <w:rFonts w:ascii="Cambria Math" w:hAnsi="Cambria Math" w:eastAsia="Cambria Math" w:cs="Times New Roman"/>
                  <w:color w:val="auto"/>
                  <w:kern w:val="0"/>
                  <w:szCs w:val="21"/>
                </w:rPr>
              </m:ctrlPr>
            </m:fPr>
            <m:num>
              <m:r>
                <m:rPr/>
                <w:rPr>
                  <w:rFonts w:ascii="Cambria Math" w:hAnsi="Cambria Math" w:eastAsia="Cambria Math" w:cs="Times New Roman"/>
                  <w:color w:val="auto"/>
                  <w:kern w:val="0"/>
                  <w:szCs w:val="21"/>
                </w:rPr>
                <m:t>BIB</m:t>
              </m:r>
              <m:ctrlPr>
                <w:rPr>
                  <w:rFonts w:ascii="Cambria Math" w:hAnsi="Cambria Math" w:eastAsia="Cambria Math" w:cs="Times New Roman"/>
                  <w:color w:val="auto"/>
                  <w:kern w:val="0"/>
                  <w:szCs w:val="21"/>
                </w:rPr>
              </m:ctrlPr>
            </m:num>
            <m:den>
              <m:r>
                <m:rPr/>
                <w:rPr>
                  <w:rFonts w:ascii="Cambria Math" w:hAnsi="Cambria Math" w:eastAsia="Cambria Math" w:cs="Times New Roman"/>
                  <w:color w:val="auto"/>
                  <w:kern w:val="0"/>
                  <w:szCs w:val="21"/>
                </w:rPr>
                <m:t>BIBE</m:t>
              </m:r>
              <m:ctrlPr>
                <w:rPr>
                  <w:rFonts w:ascii="Cambria Math" w:hAnsi="Cambria Math" w:eastAsia="Cambria Math" w:cs="Times New Roman"/>
                  <w:color w:val="auto"/>
                  <w:kern w:val="0"/>
                  <w:szCs w:val="21"/>
                </w:rPr>
              </m:ctrlPr>
            </m:den>
          </m:f>
          <m:r>
            <m:rPr>
              <m:sty m:val="p"/>
            </m:rPr>
            <w:rPr>
              <w:rFonts w:ascii="Cambria Math" w:hAnsi="Cambria Math" w:cs="Times New Roman"/>
              <w:color w:val="auto"/>
              <w:kern w:val="0"/>
              <w:szCs w:val="21"/>
            </w:rPr>
            <m:t>×</m:t>
          </m:r>
          <m:r>
            <m:rPr/>
            <w:rPr>
              <w:rFonts w:ascii="Cambria Math" w:hAnsi="Cambria Math" w:eastAsia="Cambria Math" w:cs="Times New Roman"/>
              <w:color w:val="auto"/>
              <w:kern w:val="0"/>
              <w:szCs w:val="21"/>
            </w:rPr>
            <m:t>100</m:t>
          </m:r>
        </m:oMath>
      </m:oMathPara>
    </w:p>
    <w:p>
      <w:pPr>
        <w:spacing w:line="360" w:lineRule="auto"/>
        <w:ind w:firstLine="560" w:firstLineChars="200"/>
        <w:rPr>
          <w:rFonts w:ascii="Times New Roman" w:hAnsi="Times New Roman" w:eastAsia="仿宋" w:cs="Times New Roman"/>
          <w:color w:val="auto"/>
          <w:kern w:val="0"/>
          <w:sz w:val="28"/>
          <w:szCs w:val="20"/>
        </w:rPr>
      </w:pPr>
      <w:r>
        <w:rPr>
          <w:rFonts w:hint="eastAsia" w:ascii="Times New Roman" w:hAnsi="Times New Roman" w:eastAsia="仿宋" w:cs="Times New Roman"/>
          <w:color w:val="auto"/>
          <w:kern w:val="0"/>
          <w:sz w:val="28"/>
          <w:szCs w:val="20"/>
        </w:rPr>
        <w:t>式中，BIBr为评估河段底栖动物完整性指标赋分，BIB为评估河段底栖动物完整性指标值，BIBE为河流所在水生态分区底栖动物完整性指标最佳期望值。</w:t>
      </w:r>
    </w:p>
    <w:p>
      <w:pPr>
        <w:spacing w:line="360" w:lineRule="auto"/>
        <w:ind w:firstLine="840" w:firstLineChars="3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3）鱼</w:t>
      </w:r>
      <w:bookmarkStart w:id="68" w:name="page57"/>
      <w:bookmarkEnd w:id="68"/>
      <w:r>
        <w:rPr>
          <w:rFonts w:ascii="Times New Roman" w:hAnsi="Times New Roman" w:eastAsia="仿宋" w:cs="Times New Roman"/>
          <w:color w:val="auto"/>
          <w:kern w:val="0"/>
          <w:sz w:val="28"/>
          <w:szCs w:val="20"/>
        </w:rPr>
        <w:t>类损失指数（FOE）</w:t>
      </w:r>
    </w:p>
    <w:p>
      <w:pPr>
        <w:tabs>
          <w:tab w:val="left" w:pos="8430"/>
        </w:tabs>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fldChar w:fldCharType="begin"/>
      </w:r>
      <w:r>
        <w:rPr>
          <w:rFonts w:ascii="Times New Roman" w:hAnsi="Times New Roman" w:eastAsia="仿宋" w:cs="Times New Roman"/>
          <w:color w:val="auto"/>
          <w:kern w:val="0"/>
          <w:sz w:val="28"/>
          <w:szCs w:val="20"/>
        </w:rPr>
        <w:instrText xml:space="preserve"> = 1 \* GB3 </w:instrText>
      </w:r>
      <w:r>
        <w:rPr>
          <w:rFonts w:ascii="Times New Roman" w:hAnsi="Times New Roman" w:eastAsia="仿宋" w:cs="Times New Roman"/>
          <w:color w:val="auto"/>
          <w:kern w:val="0"/>
          <w:sz w:val="28"/>
          <w:szCs w:val="20"/>
        </w:rPr>
        <w:fldChar w:fldCharType="separate"/>
      </w:r>
      <w:r>
        <w:rPr>
          <w:rFonts w:hint="eastAsia" w:ascii="宋体" w:hAnsi="宋体" w:eastAsia="宋体" w:cs="宋体"/>
          <w:color w:val="auto"/>
          <w:kern w:val="0"/>
          <w:sz w:val="28"/>
          <w:szCs w:val="20"/>
        </w:rPr>
        <w:t>①</w:t>
      </w:r>
      <w:r>
        <w:rPr>
          <w:rFonts w:ascii="Times New Roman" w:hAnsi="Times New Roman" w:eastAsia="仿宋" w:cs="Times New Roman"/>
          <w:color w:val="auto"/>
          <w:kern w:val="0"/>
          <w:sz w:val="28"/>
          <w:szCs w:val="20"/>
        </w:rPr>
        <w:fldChar w:fldCharType="end"/>
      </w:r>
      <w:r>
        <w:rPr>
          <w:rFonts w:ascii="Times New Roman" w:hAnsi="Times New Roman" w:eastAsia="仿宋" w:cs="Times New Roman"/>
          <w:color w:val="auto"/>
          <w:kern w:val="0"/>
          <w:sz w:val="28"/>
          <w:szCs w:val="20"/>
        </w:rPr>
        <w:t>指标说明</w:t>
      </w:r>
      <w:r>
        <w:rPr>
          <w:rFonts w:ascii="Times New Roman" w:hAnsi="Times New Roman" w:eastAsia="仿宋" w:cs="Times New Roman"/>
          <w:color w:val="auto"/>
          <w:kern w:val="0"/>
          <w:sz w:val="28"/>
          <w:szCs w:val="20"/>
        </w:rPr>
        <w:tab/>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采用生物指标评估的生物物种损失方法确定。鱼类生物损失指数指评估区内鱼类种数现状与历史参考系鱼类种数的差异状况，调查鱼类种类不包括外来物种。该指标反映流域开发后，河流生态系统中顶级物种受损失状况。</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fldChar w:fldCharType="begin"/>
      </w:r>
      <w:r>
        <w:rPr>
          <w:rFonts w:ascii="Times New Roman" w:hAnsi="Times New Roman" w:eastAsia="仿宋" w:cs="Times New Roman"/>
          <w:color w:val="auto"/>
          <w:kern w:val="0"/>
          <w:sz w:val="28"/>
          <w:szCs w:val="20"/>
        </w:rPr>
        <w:instrText xml:space="preserve"> = 2 \* GB3 </w:instrText>
      </w:r>
      <w:r>
        <w:rPr>
          <w:rFonts w:ascii="Times New Roman" w:hAnsi="Times New Roman" w:eastAsia="仿宋" w:cs="Times New Roman"/>
          <w:color w:val="auto"/>
          <w:kern w:val="0"/>
          <w:sz w:val="28"/>
          <w:szCs w:val="20"/>
        </w:rPr>
        <w:fldChar w:fldCharType="separate"/>
      </w:r>
      <w:r>
        <w:rPr>
          <w:rFonts w:hint="eastAsia" w:ascii="宋体" w:hAnsi="宋体" w:eastAsia="宋体" w:cs="宋体"/>
          <w:color w:val="auto"/>
          <w:kern w:val="0"/>
          <w:sz w:val="28"/>
          <w:szCs w:val="20"/>
        </w:rPr>
        <w:t>②</w:t>
      </w:r>
      <w:r>
        <w:rPr>
          <w:rFonts w:ascii="Times New Roman" w:hAnsi="Times New Roman" w:eastAsia="仿宋" w:cs="Times New Roman"/>
          <w:color w:val="auto"/>
          <w:kern w:val="0"/>
          <w:sz w:val="28"/>
          <w:szCs w:val="20"/>
        </w:rPr>
        <w:fldChar w:fldCharType="end"/>
      </w:r>
      <w:r>
        <w:rPr>
          <w:rFonts w:ascii="Times New Roman" w:hAnsi="Times New Roman" w:eastAsia="仿宋" w:cs="Times New Roman"/>
          <w:color w:val="auto"/>
          <w:kern w:val="0"/>
          <w:sz w:val="28"/>
          <w:szCs w:val="20"/>
        </w:rPr>
        <w:t>计算方法</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鱼类生物损失指标标准建立采用历史背景调查方法确定。基于历史调查数据分析统计评估河流的鱼类种类数，在此基础上，开展专家咨询调查，确定本评估河流所在水生态分区的鱼类历史背景状况，建立鱼类指标调查评估预期。</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鱼类生物损失指标计算公式如下：</w:t>
      </w:r>
    </w:p>
    <w:p>
      <w:pPr>
        <w:spacing w:line="360" w:lineRule="auto"/>
        <w:jc w:val="center"/>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FOE=FO/FE</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式中，FOE 为鱼类生物损失指数，FO 为评估区调查获得的鱼类种类数量，FE为1980s以前评估区的鱼类种类数量。鱼类生物损失指标赋分见表3.6.4-2。</w:t>
      </w:r>
    </w:p>
    <w:p>
      <w:pPr>
        <w:spacing w:line="360" w:lineRule="auto"/>
        <w:ind w:firstLine="562" w:firstLineChars="200"/>
        <w:jc w:val="left"/>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 xml:space="preserve">表 3.6.4-2        </w:t>
      </w:r>
      <w:r>
        <w:rPr>
          <w:rFonts w:hint="eastAsia" w:ascii="Times New Roman" w:hAnsi="Times New Roman" w:eastAsia="仿宋" w:cs="Times New Roman"/>
          <w:b/>
          <w:color w:val="auto"/>
          <w:kern w:val="0"/>
          <w:sz w:val="28"/>
          <w:szCs w:val="20"/>
          <w:lang w:val="en-US" w:eastAsia="zh-CN"/>
        </w:rPr>
        <w:t xml:space="preserve">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鱼类生物损失指数赋分标准表</w:t>
      </w:r>
    </w:p>
    <w:tbl>
      <w:tblPr>
        <w:tblStyle w:val="15"/>
        <w:tblW w:w="914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542"/>
        <w:gridCol w:w="1021"/>
        <w:gridCol w:w="1249"/>
        <w:gridCol w:w="1229"/>
        <w:gridCol w:w="1021"/>
        <w:gridCol w:w="1021"/>
        <w:gridCol w:w="1001"/>
        <w:gridCol w:w="106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6" w:hRule="atLeast"/>
        </w:trPr>
        <w:tc>
          <w:tcPr>
            <w:tcW w:w="1542"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FOE</w:t>
            </w:r>
          </w:p>
        </w:tc>
        <w:tc>
          <w:tcPr>
            <w:tcW w:w="1021"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1</w:t>
            </w:r>
          </w:p>
        </w:tc>
        <w:tc>
          <w:tcPr>
            <w:tcW w:w="1249"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0.85</w:t>
            </w:r>
          </w:p>
        </w:tc>
        <w:tc>
          <w:tcPr>
            <w:tcW w:w="1229"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0.75</w:t>
            </w:r>
          </w:p>
        </w:tc>
        <w:tc>
          <w:tcPr>
            <w:tcW w:w="1021"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0.6</w:t>
            </w:r>
          </w:p>
        </w:tc>
        <w:tc>
          <w:tcPr>
            <w:tcW w:w="1021"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0.5</w:t>
            </w:r>
          </w:p>
        </w:tc>
        <w:tc>
          <w:tcPr>
            <w:tcW w:w="1001"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0.25</w:t>
            </w:r>
          </w:p>
        </w:tc>
        <w:tc>
          <w:tcPr>
            <w:tcW w:w="1063"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 w:hRule="atLeast"/>
        </w:trPr>
        <w:tc>
          <w:tcPr>
            <w:tcW w:w="1542"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FOEr</w:t>
            </w:r>
          </w:p>
        </w:tc>
        <w:tc>
          <w:tcPr>
            <w:tcW w:w="1021"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100</w:t>
            </w:r>
          </w:p>
        </w:tc>
        <w:tc>
          <w:tcPr>
            <w:tcW w:w="1249"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80</w:t>
            </w:r>
          </w:p>
        </w:tc>
        <w:tc>
          <w:tcPr>
            <w:tcW w:w="1229"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60</w:t>
            </w:r>
          </w:p>
        </w:tc>
        <w:tc>
          <w:tcPr>
            <w:tcW w:w="1021"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40</w:t>
            </w:r>
          </w:p>
        </w:tc>
        <w:tc>
          <w:tcPr>
            <w:tcW w:w="1021"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30</w:t>
            </w:r>
          </w:p>
        </w:tc>
        <w:tc>
          <w:tcPr>
            <w:tcW w:w="1001"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10</w:t>
            </w:r>
          </w:p>
        </w:tc>
        <w:tc>
          <w:tcPr>
            <w:tcW w:w="1063" w:type="dxa"/>
            <w:shd w:val="clear" w:color="auto" w:fill="auto"/>
            <w:vAlign w:val="bottom"/>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w:t>
            </w:r>
          </w:p>
        </w:tc>
      </w:tr>
    </w:tbl>
    <w:p>
      <w:pPr>
        <w:spacing w:line="360" w:lineRule="auto"/>
        <w:ind w:firstLine="548" w:firstLineChars="196"/>
        <w:jc w:val="left"/>
        <w:rPr>
          <w:rFonts w:ascii="Times New Roman" w:hAnsi="Times New Roman" w:eastAsia="仿宋" w:cs="Times New Roman"/>
          <w:color w:val="auto"/>
          <w:kern w:val="0"/>
          <w:sz w:val="28"/>
          <w:szCs w:val="20"/>
        </w:rPr>
      </w:pPr>
    </w:p>
    <w:p>
      <w:pPr>
        <w:spacing w:line="360" w:lineRule="auto"/>
        <w:ind w:firstLine="548" w:firstLineChars="196"/>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（3）生物准则层（AL）赋分方法</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生物准则层包括 3 个指标，以 3 个评估指标的最小分值作为生物准则层赋分（ALr）计算公式：</w:t>
      </w:r>
    </w:p>
    <w:p>
      <w:pPr>
        <w:spacing w:line="360" w:lineRule="auto"/>
        <w:jc w:val="center"/>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8"/>
          <w:szCs w:val="20"/>
        </w:rPr>
        <w:t>ALr=min（BIBI</w:t>
      </w:r>
      <w:bookmarkStart w:id="69" w:name="page58"/>
      <w:bookmarkEnd w:id="69"/>
      <w:r>
        <w:rPr>
          <w:rFonts w:ascii="Times New Roman" w:hAnsi="Times New Roman" w:eastAsia="仿宋" w:cs="Times New Roman"/>
          <w:color w:val="auto"/>
          <w:kern w:val="0"/>
          <w:sz w:val="28"/>
          <w:szCs w:val="20"/>
        </w:rPr>
        <w:t>，FOEr，EDr）</w:t>
      </w:r>
    </w:p>
    <w:p>
      <w:pPr>
        <w:spacing w:line="360" w:lineRule="auto"/>
        <w:ind w:firstLine="540" w:firstLineChars="200"/>
        <w:jc w:val="left"/>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7"/>
          <w:szCs w:val="20"/>
        </w:rPr>
        <w:t>式中：ALr 为生物准则层赋分，BIBIr 为大型底栖无脊椎动物完整性指</w:t>
      </w:r>
    </w:p>
    <w:p>
      <w:pPr>
        <w:spacing w:line="360" w:lineRule="auto"/>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数赋分，FOEr 为鱼类生物损失指数赋分，EDr 为附生硅藻指数赋分。</w:t>
      </w:r>
    </w:p>
    <w:p>
      <w:pPr>
        <w:spacing w:line="360" w:lineRule="auto"/>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3.6.5 生态完整性（REI）准则层评估</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（1）评估河段生态完整性评估</w:t>
      </w:r>
    </w:p>
    <w:p>
      <w:pPr>
        <w:spacing w:line="360" w:lineRule="auto"/>
        <w:ind w:firstLine="560" w:firstLineChars="20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各评估河段生态完整性评估分值按下式计算：</w:t>
      </w:r>
    </w:p>
    <w:p>
      <w:pPr>
        <w:spacing w:line="360" w:lineRule="auto"/>
        <w:jc w:val="center"/>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REIir= HDr×HDw+PFr×PFw+WQr×WQw+Alr×ALw</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其中 REIir 为</w:t>
      </w:r>
      <w:r>
        <w:rPr>
          <w:rFonts w:hint="eastAsia" w:ascii="Times New Roman" w:hAnsi="Times New Roman" w:eastAsia="仿宋" w:cs="Times New Roman"/>
          <w:color w:val="auto"/>
          <w:kern w:val="0"/>
          <w:sz w:val="28"/>
          <w:szCs w:val="20"/>
          <w:lang w:eastAsia="zh-CN"/>
        </w:rPr>
        <w:t>资江</w:t>
      </w:r>
      <w:r>
        <w:rPr>
          <w:rFonts w:ascii="Times New Roman" w:hAnsi="Times New Roman" w:eastAsia="仿宋" w:cs="Times New Roman"/>
          <w:color w:val="auto"/>
          <w:kern w:val="0"/>
          <w:sz w:val="28"/>
          <w:szCs w:val="20"/>
        </w:rPr>
        <w:t>综合评估分值，HDw、PFw、WQw、ALw 分别为水</w:t>
      </w:r>
      <w:r>
        <w:rPr>
          <w:rFonts w:ascii="Times New Roman" w:hAnsi="Times New Roman" w:eastAsia="仿宋" w:cs="Times New Roman"/>
          <w:color w:val="auto"/>
          <w:kern w:val="0"/>
          <w:sz w:val="27"/>
          <w:szCs w:val="20"/>
        </w:rPr>
        <w:t>文水资源、物理结构、水质状况与生物准则层的权重，分别为 0.2、0.2、0.2</w:t>
      </w:r>
      <w:r>
        <w:rPr>
          <w:rFonts w:ascii="Times New Roman" w:hAnsi="Times New Roman" w:eastAsia="仿宋" w:cs="Times New Roman"/>
          <w:color w:val="auto"/>
          <w:kern w:val="0"/>
          <w:sz w:val="28"/>
          <w:szCs w:val="20"/>
        </w:rPr>
        <w:t>和 0.4。</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（2）河流生态完整性评估</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河流生态完整性评估采用河段长度权重法进行计，具体计算公式为：</w:t>
      </w:r>
    </w:p>
    <w:p>
      <w:pPr>
        <w:spacing w:line="360" w:lineRule="auto"/>
        <w:ind w:firstLine="560" w:firstLineChars="200"/>
        <w:rPr>
          <w:rFonts w:ascii="Times New Roman" w:hAnsi="Times New Roman" w:eastAsia="仿宋" w:cs="Times New Roman"/>
          <w:color w:val="auto"/>
          <w:kern w:val="0"/>
          <w:sz w:val="28"/>
          <w:szCs w:val="20"/>
        </w:rPr>
      </w:pPr>
    </w:p>
    <w:p>
      <w:pPr>
        <w:spacing w:line="360" w:lineRule="auto"/>
        <w:ind w:firstLine="560" w:firstLineChars="200"/>
        <w:rPr>
          <w:rFonts w:ascii="Times New Roman" w:hAnsi="Times New Roman" w:eastAsia="仿宋" w:cs="Times New Roman"/>
          <w:color w:val="auto"/>
          <w:kern w:val="0"/>
          <w:sz w:val="28"/>
          <w:szCs w:val="20"/>
        </w:rPr>
      </w:pPr>
    </w:p>
    <w:p>
      <w:pPr>
        <w:spacing w:line="360" w:lineRule="auto"/>
        <w:jc w:val="left"/>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8"/>
          <w:szCs w:val="20"/>
        </w:rPr>
        <w:drawing>
          <wp:anchor distT="0" distB="0" distL="114300" distR="114300" simplePos="0" relativeHeight="251662336" behindDoc="1" locked="0" layoutInCell="0" allowOverlap="1">
            <wp:simplePos x="0" y="0"/>
            <wp:positionH relativeFrom="column">
              <wp:posOffset>1697355</wp:posOffset>
            </wp:positionH>
            <wp:positionV relativeFrom="paragraph">
              <wp:posOffset>20955</wp:posOffset>
            </wp:positionV>
            <wp:extent cx="1028700" cy="400685"/>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028700" cy="400685"/>
                    </a:xfrm>
                    <a:prstGeom prst="rect">
                      <a:avLst/>
                    </a:prstGeom>
                    <a:noFill/>
                  </pic:spPr>
                </pic:pic>
              </a:graphicData>
            </a:graphic>
          </wp:anchor>
        </w:drawing>
      </w:r>
    </w:p>
    <w:p>
      <w:pPr>
        <w:spacing w:line="360" w:lineRule="auto"/>
        <w:ind w:firstLine="1820" w:firstLineChars="650"/>
        <w:jc w:val="left"/>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REIr=</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其中，REIir 为</w:t>
      </w:r>
      <w:r>
        <w:rPr>
          <w:rFonts w:hint="eastAsia" w:ascii="Times New Roman" w:hAnsi="Times New Roman" w:eastAsia="仿宋" w:cs="Times New Roman"/>
          <w:color w:val="auto"/>
          <w:kern w:val="0"/>
          <w:sz w:val="28"/>
          <w:szCs w:val="20"/>
          <w:lang w:eastAsia="zh-CN"/>
        </w:rPr>
        <w:t>资江流域</w:t>
      </w:r>
      <w:r>
        <w:rPr>
          <w:rFonts w:ascii="Times New Roman" w:hAnsi="Times New Roman" w:eastAsia="仿宋" w:cs="Times New Roman"/>
          <w:color w:val="auto"/>
          <w:kern w:val="0"/>
          <w:sz w:val="28"/>
          <w:szCs w:val="20"/>
        </w:rPr>
        <w:t>河流生态完整性评估分值，ARRLNi 为第 i 个评估河段长度，REIir 为第 i 个评估河段</w:t>
      </w:r>
      <w:bookmarkStart w:id="70" w:name="page59"/>
      <w:bookmarkEnd w:id="70"/>
      <w:r>
        <w:rPr>
          <w:rFonts w:ascii="Times New Roman" w:hAnsi="Times New Roman" w:eastAsia="仿宋" w:cs="Times New Roman"/>
          <w:color w:val="auto"/>
          <w:kern w:val="0"/>
          <w:sz w:val="28"/>
          <w:szCs w:val="20"/>
        </w:rPr>
        <w:t>生态完整性评估分值。</w:t>
      </w:r>
    </w:p>
    <w:p>
      <w:pPr>
        <w:pStyle w:val="5"/>
        <w:bidi w:val="0"/>
        <w:rPr>
          <w:rFonts w:cs="Times New Roman"/>
          <w:color w:val="auto"/>
        </w:rPr>
      </w:pPr>
      <w:bookmarkStart w:id="71" w:name="_Toc11886"/>
      <w:bookmarkStart w:id="72" w:name="_Toc9489"/>
      <w:r>
        <w:rPr>
          <w:rFonts w:cs="Times New Roman"/>
          <w:color w:val="auto"/>
        </w:rPr>
        <w:t>3.7 社会服务功能评估方法与标准</w:t>
      </w:r>
      <w:bookmarkEnd w:id="71"/>
      <w:bookmarkEnd w:id="72"/>
    </w:p>
    <w:p>
      <w:pPr>
        <w:spacing w:line="360" w:lineRule="auto"/>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3.7.1 水功能区达标指标（WFZ）</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（1）指标说明</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以水功能区水质达标率表示。水功能区水质达标率是指对评估河流包括的水功能区按照《地表水资源质量评价技术规程》（SL395-2007）规定的技术方法确定的水质达标个数比例。</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（2）指标赋分</w:t>
      </w:r>
    </w:p>
    <w:p>
      <w:pPr>
        <w:spacing w:line="360" w:lineRule="auto"/>
        <w:ind w:firstLine="560" w:firstLineChars="200"/>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8"/>
          <w:szCs w:val="20"/>
        </w:rPr>
        <w:t>水功能区达标率通过对评估单元—水功能区的水质状况监测结果统计。</w:t>
      </w:r>
    </w:p>
    <w:p>
      <w:pPr>
        <w:spacing w:line="360" w:lineRule="auto"/>
        <w:ind w:firstLine="560" w:firstLineChars="200"/>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8"/>
          <w:szCs w:val="20"/>
        </w:rPr>
        <w:t>水功能区水质达标率指标赋分计算如下：</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WFZr=WFZP×100</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式中，WFZr 为评估河流水功能区水质达标率指标赋分，WFZP 为评估河流水功能区水质达标率。</w:t>
      </w:r>
    </w:p>
    <w:p>
      <w:pPr>
        <w:spacing w:line="360" w:lineRule="auto"/>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3.7.2 水资源开发利用指标（WRU）</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水资源开发利用率是指评估河流流域内供水量占流域水资源量的百分比。水资源开发利用率表达流域经济社会活动对水量的影响，表征流域的开发程度，反映了社会经济发展与生态环境保护之间的协调性。</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水资源开发利用率计算公式如下：</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WRU=WU/WR</w:t>
      </w:r>
    </w:p>
    <w:p>
      <w:pPr>
        <w:spacing w:line="360" w:lineRule="auto"/>
        <w:ind w:firstLine="54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7"/>
          <w:szCs w:val="20"/>
        </w:rPr>
        <w:t>式中，WRU 为评估河流流域水资源开发利用率，WR 为评估河流流域</w:t>
      </w:r>
      <w:r>
        <w:rPr>
          <w:rFonts w:ascii="Times New Roman" w:hAnsi="Times New Roman" w:eastAsia="仿宋" w:cs="Times New Roman"/>
          <w:color w:val="auto"/>
          <w:kern w:val="0"/>
          <w:sz w:val="28"/>
          <w:szCs w:val="20"/>
        </w:rPr>
        <w:t>水资源总量，WU 为评估河流流域水资源开发利用量。</w:t>
      </w:r>
    </w:p>
    <w:p>
      <w:pPr>
        <w:spacing w:line="360" w:lineRule="auto"/>
        <w:ind w:firstLine="560" w:firstLineChars="200"/>
        <w:rPr>
          <w:rFonts w:ascii="Times New Roman" w:hAnsi="Times New Roman" w:eastAsia="仿宋" w:cs="Times New Roman"/>
          <w:color w:val="auto"/>
          <w:kern w:val="0"/>
          <w:sz w:val="28"/>
          <w:szCs w:val="20"/>
        </w:rPr>
      </w:pPr>
      <w:r>
        <w:rPr>
          <w:rFonts w:hint="eastAsia" w:ascii="Times New Roman" w:hAnsi="Times New Roman" w:eastAsia="仿宋" w:cs="Times New Roman"/>
          <w:color w:val="auto"/>
          <w:kern w:val="0"/>
          <w:sz w:val="28"/>
          <w:szCs w:val="20"/>
        </w:rPr>
        <w:t>资源县</w:t>
      </w:r>
      <w:r>
        <w:rPr>
          <w:rFonts w:ascii="Times New Roman" w:hAnsi="Times New Roman" w:eastAsia="仿宋" w:cs="Times New Roman"/>
          <w:color w:val="auto"/>
          <w:kern w:val="0"/>
          <w:sz w:val="28"/>
          <w:szCs w:val="20"/>
        </w:rPr>
        <w:t>水资源开发利用率评估标准以《方法（1.0</w:t>
      </w:r>
      <w:r>
        <w:rPr>
          <w:rFonts w:ascii="Times New Roman" w:hAnsi="Times New Roman" w:eastAsia="仿宋" w:cs="Times New Roman"/>
          <w:color w:val="auto"/>
          <w:w w:val="95"/>
          <w:kern w:val="0"/>
          <w:sz w:val="28"/>
          <w:szCs w:val="20"/>
        </w:rPr>
        <w:t>版）》中推荐</w:t>
      </w:r>
      <w:r>
        <w:rPr>
          <w:rFonts w:ascii="Times New Roman" w:hAnsi="Times New Roman" w:eastAsia="仿宋" w:cs="Times New Roman"/>
          <w:color w:val="auto"/>
          <w:kern w:val="0"/>
          <w:sz w:val="28"/>
          <w:szCs w:val="20"/>
        </w:rPr>
        <w:t>的概念模型为基础，并结合南方河流水资源开发利用程度较低的特点，对其进行适当修</w:t>
      </w:r>
      <w:bookmarkStart w:id="73" w:name="page60"/>
      <w:bookmarkEnd w:id="73"/>
      <w:r>
        <w:rPr>
          <w:rFonts w:ascii="Times New Roman" w:hAnsi="Times New Roman" w:eastAsia="仿宋" w:cs="Times New Roman"/>
          <w:color w:val="auto"/>
          <w:kern w:val="0"/>
          <w:sz w:val="28"/>
          <w:szCs w:val="20"/>
        </w:rPr>
        <w:t>正评估分模型如下：</w:t>
      </w:r>
    </w:p>
    <w:p>
      <w:pPr>
        <w:spacing w:line="560" w:lineRule="exact"/>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drawing>
          <wp:anchor distT="0" distB="0" distL="114300" distR="114300" simplePos="0" relativeHeight="251667456" behindDoc="0" locked="0" layoutInCell="1" allowOverlap="1">
            <wp:simplePos x="0" y="0"/>
            <wp:positionH relativeFrom="column">
              <wp:posOffset>1121410</wp:posOffset>
            </wp:positionH>
            <wp:positionV relativeFrom="paragraph">
              <wp:posOffset>161290</wp:posOffset>
            </wp:positionV>
            <wp:extent cx="3434715" cy="630555"/>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434715" cy="630555"/>
                    </a:xfrm>
                    <a:prstGeom prst="rect">
                      <a:avLst/>
                    </a:prstGeom>
                    <a:noFill/>
                    <a:ln>
                      <a:noFill/>
                    </a:ln>
                  </pic:spPr>
                </pic:pic>
              </a:graphicData>
            </a:graphic>
          </wp:anchor>
        </w:drawing>
      </w:r>
    </w:p>
    <w:p>
      <w:pPr>
        <w:spacing w:line="560" w:lineRule="exact"/>
        <w:rPr>
          <w:rFonts w:ascii="Times New Roman" w:hAnsi="Times New Roman" w:eastAsia="仿宋" w:cs="Times New Roman"/>
          <w:color w:val="auto"/>
          <w:kern w:val="0"/>
          <w:sz w:val="28"/>
          <w:szCs w:val="20"/>
        </w:rPr>
      </w:pPr>
    </w:p>
    <w:p>
      <w:pPr>
        <w:spacing w:line="560" w:lineRule="exact"/>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drawing>
          <wp:anchor distT="0" distB="0" distL="114300" distR="114300" simplePos="0" relativeHeight="251668480" behindDoc="0" locked="0" layoutInCell="1" allowOverlap="1">
            <wp:simplePos x="0" y="0"/>
            <wp:positionH relativeFrom="column">
              <wp:posOffset>731520</wp:posOffset>
            </wp:positionH>
            <wp:positionV relativeFrom="paragraph">
              <wp:posOffset>304800</wp:posOffset>
            </wp:positionV>
            <wp:extent cx="3693795" cy="2138680"/>
            <wp:effectExtent l="0" t="0" r="190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693795" cy="2138680"/>
                    </a:xfrm>
                    <a:prstGeom prst="rect">
                      <a:avLst/>
                    </a:prstGeom>
                    <a:noFill/>
                    <a:ln>
                      <a:noFill/>
                    </a:ln>
                  </pic:spPr>
                </pic:pic>
              </a:graphicData>
            </a:graphic>
          </wp:anchor>
        </w:drawing>
      </w:r>
    </w:p>
    <w:p>
      <w:pPr>
        <w:spacing w:line="560" w:lineRule="exact"/>
        <w:ind w:firstLine="560" w:firstLineChars="200"/>
        <w:rPr>
          <w:rFonts w:ascii="Times New Roman" w:hAnsi="Times New Roman" w:eastAsia="仿宋" w:cs="Times New Roman"/>
          <w:color w:val="auto"/>
          <w:kern w:val="0"/>
          <w:sz w:val="28"/>
          <w:szCs w:val="20"/>
        </w:rPr>
      </w:pPr>
    </w:p>
    <w:p>
      <w:pPr>
        <w:spacing w:line="560" w:lineRule="exact"/>
        <w:ind w:firstLine="560" w:firstLineChars="200"/>
        <w:rPr>
          <w:rFonts w:ascii="Times New Roman" w:hAnsi="Times New Roman" w:eastAsia="仿宋" w:cs="Times New Roman"/>
          <w:color w:val="auto"/>
          <w:kern w:val="0"/>
          <w:sz w:val="28"/>
          <w:szCs w:val="20"/>
        </w:rPr>
      </w:pPr>
    </w:p>
    <w:p>
      <w:pPr>
        <w:spacing w:line="560" w:lineRule="exact"/>
        <w:ind w:firstLine="560" w:firstLineChars="200"/>
        <w:rPr>
          <w:rFonts w:ascii="Times New Roman" w:hAnsi="Times New Roman" w:eastAsia="仿宋" w:cs="Times New Roman"/>
          <w:color w:val="auto"/>
          <w:kern w:val="0"/>
          <w:sz w:val="28"/>
          <w:szCs w:val="20"/>
        </w:rPr>
      </w:pPr>
    </w:p>
    <w:p>
      <w:pPr>
        <w:spacing w:line="560" w:lineRule="exact"/>
        <w:ind w:firstLine="560" w:firstLineChars="200"/>
        <w:rPr>
          <w:rFonts w:ascii="Times New Roman" w:hAnsi="Times New Roman" w:eastAsia="仿宋" w:cs="Times New Roman"/>
          <w:color w:val="auto"/>
          <w:kern w:val="0"/>
          <w:sz w:val="28"/>
          <w:szCs w:val="20"/>
        </w:rPr>
      </w:pPr>
    </w:p>
    <w:p>
      <w:pPr>
        <w:spacing w:line="560" w:lineRule="exact"/>
        <w:ind w:firstLine="560" w:firstLineChars="200"/>
        <w:rPr>
          <w:rFonts w:ascii="Times New Roman" w:hAnsi="Times New Roman" w:eastAsia="仿宋" w:cs="Times New Roman"/>
          <w:color w:val="auto"/>
          <w:kern w:val="0"/>
          <w:sz w:val="28"/>
          <w:szCs w:val="20"/>
        </w:rPr>
      </w:pPr>
    </w:p>
    <w:p>
      <w:pPr>
        <w:spacing w:line="560" w:lineRule="exact"/>
        <w:rPr>
          <w:rFonts w:ascii="Times New Roman" w:hAnsi="Times New Roman" w:eastAsia="仿宋" w:cs="Times New Roman"/>
          <w:color w:val="auto"/>
          <w:kern w:val="0"/>
          <w:sz w:val="28"/>
          <w:szCs w:val="20"/>
        </w:rPr>
      </w:pPr>
    </w:p>
    <w:p>
      <w:pPr>
        <w:spacing w:line="560" w:lineRule="exact"/>
        <w:ind w:firstLine="562" w:firstLineChars="200"/>
        <w:jc w:val="center"/>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 xml:space="preserve">图3.7.2  </w:t>
      </w:r>
      <w:r>
        <w:rPr>
          <w:rFonts w:hint="eastAsia" w:ascii="Times New Roman" w:hAnsi="Times New Roman" w:eastAsia="仿宋" w:cs="Times New Roman"/>
          <w:b/>
          <w:color w:val="auto"/>
          <w:kern w:val="0"/>
          <w:sz w:val="28"/>
          <w:szCs w:val="20"/>
          <w:lang w:eastAsia="zh-CN"/>
        </w:rPr>
        <w:t>资江</w:t>
      </w:r>
      <w:r>
        <w:rPr>
          <w:rFonts w:ascii="Times New Roman" w:hAnsi="Times New Roman" w:eastAsia="仿宋" w:cs="Times New Roman"/>
          <w:b/>
          <w:color w:val="auto"/>
          <w:kern w:val="0"/>
          <w:sz w:val="28"/>
          <w:szCs w:val="20"/>
        </w:rPr>
        <w:t>水资源开发利用率指标赋分概念模型图</w:t>
      </w:r>
    </w:p>
    <w:p>
      <w:pPr>
        <w:rPr>
          <w:color w:val="auto"/>
        </w:rPr>
      </w:pPr>
    </w:p>
    <w:p>
      <w:pPr>
        <w:spacing w:line="360" w:lineRule="auto"/>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3.7.3 公满意度指标（PP）</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drawing>
          <wp:anchor distT="0" distB="0" distL="114300" distR="114300" simplePos="0" relativeHeight="251661312" behindDoc="0" locked="0" layoutInCell="0" allowOverlap="1">
            <wp:simplePos x="0" y="0"/>
            <wp:positionH relativeFrom="column">
              <wp:posOffset>1778000</wp:posOffset>
            </wp:positionH>
            <wp:positionV relativeFrom="paragraph">
              <wp:posOffset>295910</wp:posOffset>
            </wp:positionV>
            <wp:extent cx="2390775" cy="400685"/>
            <wp:effectExtent l="0" t="0" r="952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390775" cy="400685"/>
                    </a:xfrm>
                    <a:prstGeom prst="rect">
                      <a:avLst/>
                    </a:prstGeom>
                    <a:noFill/>
                  </pic:spPr>
                </pic:pic>
              </a:graphicData>
            </a:graphic>
          </wp:anchor>
        </w:drawing>
      </w:r>
      <w:r>
        <w:rPr>
          <w:rFonts w:ascii="Times New Roman" w:hAnsi="Times New Roman" w:eastAsia="仿宋" w:cs="Times New Roman"/>
          <w:color w:val="auto"/>
          <w:kern w:val="0"/>
          <w:sz w:val="28"/>
          <w:szCs w:val="20"/>
        </w:rPr>
        <w:t>公众满意度反映公众对评估河流景观、美观价值等的满意程度。公众满意度评估采用发放调查表方式进行。通过收集分析公众调查表，统计有效调</w:t>
      </w:r>
    </w:p>
    <w:p>
      <w:pPr>
        <w:spacing w:line="360" w:lineRule="auto"/>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drawing>
          <wp:anchor distT="0" distB="0" distL="114300" distR="114300" simplePos="0" relativeHeight="251663360" behindDoc="1" locked="0" layoutInCell="0" allowOverlap="1">
            <wp:simplePos x="0" y="0"/>
            <wp:positionH relativeFrom="column">
              <wp:posOffset>2840355</wp:posOffset>
            </wp:positionH>
            <wp:positionV relativeFrom="paragraph">
              <wp:posOffset>465455</wp:posOffset>
            </wp:positionV>
            <wp:extent cx="1228725" cy="591185"/>
            <wp:effectExtent l="0" t="0" r="952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228725" cy="591185"/>
                    </a:xfrm>
                    <a:prstGeom prst="rect">
                      <a:avLst/>
                    </a:prstGeom>
                    <a:noFill/>
                  </pic:spPr>
                </pic:pic>
              </a:graphicData>
            </a:graphic>
          </wp:anchor>
        </w:drawing>
      </w:r>
      <w:r>
        <w:rPr>
          <w:rFonts w:ascii="Times New Roman" w:hAnsi="Times New Roman" w:eastAsia="仿宋" w:cs="Times New Roman"/>
          <w:color w:val="auto"/>
          <w:kern w:val="0"/>
          <w:sz w:val="28"/>
          <w:szCs w:val="20"/>
        </w:rPr>
        <w:t>查表调查成果，根据公众类型和公众总体评估赋分，按照下式计算公众满意度</w:t>
      </w:r>
      <w:bookmarkStart w:id="74" w:name="page61"/>
      <w:bookmarkEnd w:id="74"/>
      <w:r>
        <w:rPr>
          <w:rFonts w:ascii="Times New Roman" w:hAnsi="Times New Roman" w:eastAsia="仿宋" w:cs="Times New Roman"/>
          <w:color w:val="auto"/>
          <w:kern w:val="0"/>
          <w:sz w:val="28"/>
          <w:szCs w:val="20"/>
        </w:rPr>
        <w:t>指标赋分。</w:t>
      </w:r>
    </w:p>
    <w:p>
      <w:pPr>
        <w:spacing w:line="360" w:lineRule="auto"/>
        <w:ind w:firstLine="3750" w:firstLineChars="125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30"/>
          <w:szCs w:val="20"/>
        </w:rPr>
        <w:t>PPr=</w:t>
      </w:r>
    </w:p>
    <w:p>
      <w:pPr>
        <w:spacing w:line="360" w:lineRule="auto"/>
        <w:ind w:firstLine="560" w:firstLineChars="200"/>
        <w:rPr>
          <w:rFonts w:ascii="Times New Roman" w:hAnsi="Times New Roman" w:eastAsia="仿宋" w:cs="Times New Roman"/>
          <w:color w:val="auto"/>
          <w:kern w:val="0"/>
          <w:sz w:val="28"/>
          <w:szCs w:val="20"/>
        </w:rPr>
      </w:pP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式中，PPr 为公众满意度指标赋分，PERr 为有效调查公众总体评估赋分，PERw 为公众类型权重。</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公众调查总体评估结论赋分，公众类型权重见表 3.7.3。</w:t>
      </w:r>
    </w:p>
    <w:p>
      <w:pPr>
        <w:spacing w:line="360" w:lineRule="auto"/>
        <w:ind w:firstLine="562" w:firstLineChars="200"/>
        <w:jc w:val="left"/>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 xml:space="preserve">表3.7.3      </w:t>
      </w:r>
      <w:r>
        <w:rPr>
          <w:rFonts w:hint="eastAsia" w:ascii="Times New Roman" w:hAnsi="Times New Roman" w:eastAsia="仿宋" w:cs="Times New Roman"/>
          <w:b/>
          <w:color w:val="auto"/>
          <w:kern w:val="0"/>
          <w:sz w:val="28"/>
          <w:szCs w:val="20"/>
        </w:rPr>
        <w:t xml:space="preserve">    </w:t>
      </w:r>
      <w:r>
        <w:rPr>
          <w:rFonts w:hint="eastAsia" w:ascii="Times New Roman" w:hAnsi="Times New Roman" w:eastAsia="仿宋" w:cs="Times New Roman"/>
          <w:b/>
          <w:color w:val="auto"/>
          <w:kern w:val="0"/>
          <w:sz w:val="28"/>
          <w:szCs w:val="20"/>
          <w:lang w:val="en-US" w:eastAsia="zh-CN"/>
        </w:rPr>
        <w:t xml:space="preserve">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 xml:space="preserve">    公众类型赋分统计权重</w:t>
      </w:r>
    </w:p>
    <w:tbl>
      <w:tblPr>
        <w:tblStyle w:val="15"/>
        <w:tblW w:w="8920" w:type="dxa"/>
        <w:tblInd w:w="8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460"/>
        <w:gridCol w:w="5400"/>
        <w:gridCol w:w="2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27" w:hRule="atLeast"/>
        </w:trPr>
        <w:tc>
          <w:tcPr>
            <w:tcW w:w="6860" w:type="dxa"/>
            <w:gridSpan w:val="2"/>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调查公众类型</w:t>
            </w:r>
          </w:p>
        </w:tc>
        <w:tc>
          <w:tcPr>
            <w:tcW w:w="2060"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88" w:hRule="atLeast"/>
        </w:trPr>
        <w:tc>
          <w:tcPr>
            <w:tcW w:w="6860" w:type="dxa"/>
            <w:gridSpan w:val="2"/>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沿库居民（河岸以外 1Km 以内范围）</w:t>
            </w:r>
          </w:p>
        </w:tc>
        <w:tc>
          <w:tcPr>
            <w:tcW w:w="2060"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trPr>
        <w:tc>
          <w:tcPr>
            <w:tcW w:w="1460" w:type="dxa"/>
            <w:vMerge w:val="restart"/>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非沿库居民</w:t>
            </w:r>
          </w:p>
        </w:tc>
        <w:tc>
          <w:tcPr>
            <w:tcW w:w="5400"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水库管理者</w:t>
            </w:r>
          </w:p>
        </w:tc>
        <w:tc>
          <w:tcPr>
            <w:tcW w:w="2060"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2" w:hRule="atLeast"/>
        </w:trPr>
        <w:tc>
          <w:tcPr>
            <w:tcW w:w="1460" w:type="dxa"/>
            <w:vMerge w:val="continue"/>
            <w:shd w:val="clear" w:color="auto" w:fill="auto"/>
            <w:vAlign w:val="center"/>
          </w:tcPr>
          <w:p>
            <w:pPr>
              <w:spacing w:line="380" w:lineRule="exact"/>
              <w:jc w:val="center"/>
              <w:rPr>
                <w:rFonts w:ascii="Times New Roman" w:hAnsi="Times New Roman" w:eastAsia="仿宋" w:cs="Times New Roman"/>
                <w:color w:val="auto"/>
                <w:kern w:val="0"/>
                <w:sz w:val="24"/>
                <w:szCs w:val="24"/>
              </w:rPr>
            </w:pPr>
          </w:p>
        </w:tc>
        <w:tc>
          <w:tcPr>
            <w:tcW w:w="5400"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水库周边从事生产活动</w:t>
            </w:r>
          </w:p>
        </w:tc>
        <w:tc>
          <w:tcPr>
            <w:tcW w:w="2060"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 w:hRule="atLeast"/>
        </w:trPr>
        <w:tc>
          <w:tcPr>
            <w:tcW w:w="1460" w:type="dxa"/>
            <w:vMerge w:val="continue"/>
            <w:shd w:val="clear" w:color="auto" w:fill="auto"/>
            <w:vAlign w:val="center"/>
          </w:tcPr>
          <w:p>
            <w:pPr>
              <w:spacing w:line="380" w:lineRule="exact"/>
              <w:jc w:val="center"/>
              <w:rPr>
                <w:rFonts w:ascii="Times New Roman" w:hAnsi="Times New Roman" w:eastAsia="仿宋" w:cs="Times New Roman"/>
                <w:color w:val="auto"/>
                <w:kern w:val="0"/>
                <w:sz w:val="24"/>
                <w:szCs w:val="24"/>
              </w:rPr>
            </w:pPr>
          </w:p>
        </w:tc>
        <w:tc>
          <w:tcPr>
            <w:tcW w:w="5400"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经常来旅游</w:t>
            </w:r>
          </w:p>
        </w:tc>
        <w:tc>
          <w:tcPr>
            <w:tcW w:w="2060"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 w:hRule="atLeast"/>
        </w:trPr>
        <w:tc>
          <w:tcPr>
            <w:tcW w:w="1460" w:type="dxa"/>
            <w:vMerge w:val="continue"/>
            <w:shd w:val="clear" w:color="auto" w:fill="auto"/>
            <w:vAlign w:val="center"/>
          </w:tcPr>
          <w:p>
            <w:pPr>
              <w:spacing w:line="380" w:lineRule="exact"/>
              <w:jc w:val="center"/>
              <w:rPr>
                <w:rFonts w:ascii="Times New Roman" w:hAnsi="Times New Roman" w:eastAsia="仿宋" w:cs="Times New Roman"/>
                <w:color w:val="auto"/>
                <w:kern w:val="0"/>
                <w:sz w:val="24"/>
                <w:szCs w:val="24"/>
              </w:rPr>
            </w:pPr>
          </w:p>
        </w:tc>
        <w:tc>
          <w:tcPr>
            <w:tcW w:w="5400"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偶尔来旅游</w:t>
            </w:r>
          </w:p>
        </w:tc>
        <w:tc>
          <w:tcPr>
            <w:tcW w:w="2060" w:type="dxa"/>
            <w:shd w:val="clear" w:color="auto" w:fill="auto"/>
            <w:vAlign w:val="center"/>
          </w:tcPr>
          <w:p>
            <w:pPr>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0.5</w:t>
            </w:r>
          </w:p>
        </w:tc>
      </w:tr>
    </w:tbl>
    <w:p>
      <w:pPr>
        <w:spacing w:line="560" w:lineRule="exact"/>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3.7.4 防洪指标（FLD）</w:t>
      </w:r>
    </w:p>
    <w:p>
      <w:pPr>
        <w:spacing w:line="560" w:lineRule="exact"/>
        <w:ind w:firstLine="54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7"/>
          <w:szCs w:val="20"/>
        </w:rPr>
        <w:t>河流防洪指标（FLD）评估河道的安全泄洪能力。本指标适用于有防洪</w:t>
      </w:r>
      <w:r>
        <w:rPr>
          <w:rFonts w:ascii="Times New Roman" w:hAnsi="Times New Roman" w:eastAsia="仿宋" w:cs="Times New Roman"/>
          <w:color w:val="auto"/>
          <w:kern w:val="0"/>
          <w:sz w:val="28"/>
          <w:szCs w:val="20"/>
        </w:rPr>
        <w:t>需求河流，无此功能要求的河流可以不予评估。</w:t>
      </w:r>
    </w:p>
    <w:p>
      <w:pPr>
        <w:spacing w:line="560" w:lineRule="exact"/>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河流防洪指标（FL）计算公式如下 ：</w:t>
      </w:r>
    </w:p>
    <w:p>
      <w:pPr>
        <w:spacing w:line="560" w:lineRule="exact"/>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8"/>
          <w:szCs w:val="20"/>
        </w:rPr>
        <w:drawing>
          <wp:anchor distT="0" distB="0" distL="114300" distR="114300" simplePos="0" relativeHeight="251664384" behindDoc="1" locked="0" layoutInCell="0" allowOverlap="1">
            <wp:simplePos x="0" y="0"/>
            <wp:positionH relativeFrom="column">
              <wp:posOffset>1172845</wp:posOffset>
            </wp:positionH>
            <wp:positionV relativeFrom="paragraph">
              <wp:posOffset>83820</wp:posOffset>
            </wp:positionV>
            <wp:extent cx="2999105" cy="59118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999105" cy="591185"/>
                    </a:xfrm>
                    <a:prstGeom prst="rect">
                      <a:avLst/>
                    </a:prstGeom>
                    <a:noFill/>
                  </pic:spPr>
                </pic:pic>
              </a:graphicData>
            </a:graphic>
          </wp:anchor>
        </w:drawing>
      </w:r>
    </w:p>
    <w:p>
      <w:pPr>
        <w:spacing w:line="560" w:lineRule="exact"/>
        <w:rPr>
          <w:rFonts w:ascii="Times New Roman" w:hAnsi="Times New Roman" w:eastAsia="仿宋" w:cs="Times New Roman"/>
          <w:color w:val="auto"/>
          <w:kern w:val="0"/>
          <w:sz w:val="20"/>
          <w:szCs w:val="20"/>
        </w:rPr>
      </w:pPr>
    </w:p>
    <w:p>
      <w:pPr>
        <w:spacing w:line="560" w:lineRule="exact"/>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式中，FLD 为河流防洪指标，RIVLn 为河段 n 的长度，评估河流根据防洪规划划分，RIVBn=1，不达标，RIVBn=0，RIVWFn 为河段规划防洪标准重现期（如 100 年）。</w:t>
      </w:r>
    </w:p>
    <w:p>
      <w:pPr>
        <w:spacing w:line="560" w:lineRule="exact"/>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防洪指标赋分见表 3.7.4。</w:t>
      </w:r>
    </w:p>
    <w:p>
      <w:pPr>
        <w:spacing w:line="560" w:lineRule="exact"/>
        <w:ind w:firstLine="562" w:firstLineChars="200"/>
        <w:jc w:val="left"/>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 xml:space="preserve">表 3.7.4         </w:t>
      </w:r>
      <w:r>
        <w:rPr>
          <w:rFonts w:hint="eastAsia" w:ascii="Times New Roman" w:hAnsi="Times New Roman" w:eastAsia="仿宋" w:cs="Times New Roman"/>
          <w:b/>
          <w:color w:val="auto"/>
          <w:kern w:val="0"/>
          <w:sz w:val="28"/>
          <w:szCs w:val="20"/>
        </w:rPr>
        <w:t xml:space="preserve">     </w:t>
      </w:r>
      <w:r>
        <w:rPr>
          <w:rFonts w:hint="eastAsia" w:ascii="Times New Roman" w:hAnsi="Times New Roman" w:eastAsia="仿宋" w:cs="Times New Roman"/>
          <w:b/>
          <w:color w:val="auto"/>
          <w:kern w:val="0"/>
          <w:sz w:val="28"/>
          <w:szCs w:val="20"/>
          <w:lang w:val="en-US" w:eastAsia="zh-CN"/>
        </w:rPr>
        <w:t xml:space="preserve">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 xml:space="preserve">   防洪指标赋分标准表</w:t>
      </w:r>
    </w:p>
    <w:tbl>
      <w:tblPr>
        <w:tblStyle w:val="15"/>
        <w:tblW w:w="9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6"/>
        <w:gridCol w:w="1556"/>
        <w:gridCol w:w="1556"/>
        <w:gridCol w:w="1556"/>
        <w:gridCol w:w="1556"/>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shd w:val="clear" w:color="auto" w:fill="auto"/>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赋分</w:t>
            </w:r>
          </w:p>
        </w:tc>
        <w:tc>
          <w:tcPr>
            <w:tcW w:w="1556" w:type="dxa"/>
            <w:shd w:val="clear" w:color="auto" w:fill="auto"/>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100</w:t>
            </w:r>
          </w:p>
        </w:tc>
        <w:tc>
          <w:tcPr>
            <w:tcW w:w="1556" w:type="dxa"/>
            <w:shd w:val="clear" w:color="auto" w:fill="auto"/>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75</w:t>
            </w:r>
          </w:p>
        </w:tc>
        <w:tc>
          <w:tcPr>
            <w:tcW w:w="1556" w:type="dxa"/>
            <w:shd w:val="clear" w:color="auto" w:fill="auto"/>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50</w:t>
            </w:r>
          </w:p>
        </w:tc>
        <w:tc>
          <w:tcPr>
            <w:tcW w:w="1556" w:type="dxa"/>
            <w:shd w:val="clear" w:color="auto" w:fill="auto"/>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25</w:t>
            </w:r>
          </w:p>
        </w:tc>
        <w:tc>
          <w:tcPr>
            <w:tcW w:w="1557" w:type="dxa"/>
            <w:shd w:val="clear" w:color="auto" w:fill="auto"/>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shd w:val="clear" w:color="auto" w:fill="auto"/>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防洪指标</w:t>
            </w:r>
          </w:p>
        </w:tc>
        <w:tc>
          <w:tcPr>
            <w:tcW w:w="1556" w:type="dxa"/>
            <w:shd w:val="clear" w:color="auto" w:fill="auto"/>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95%</w:t>
            </w:r>
          </w:p>
        </w:tc>
        <w:tc>
          <w:tcPr>
            <w:tcW w:w="1556" w:type="dxa"/>
            <w:shd w:val="clear" w:color="auto" w:fill="auto"/>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90%</w:t>
            </w:r>
          </w:p>
        </w:tc>
        <w:tc>
          <w:tcPr>
            <w:tcW w:w="1556" w:type="dxa"/>
            <w:shd w:val="clear" w:color="auto" w:fill="auto"/>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85%</w:t>
            </w:r>
          </w:p>
        </w:tc>
        <w:tc>
          <w:tcPr>
            <w:tcW w:w="1556" w:type="dxa"/>
            <w:shd w:val="clear" w:color="auto" w:fill="auto"/>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70%</w:t>
            </w:r>
          </w:p>
        </w:tc>
        <w:tc>
          <w:tcPr>
            <w:tcW w:w="1557" w:type="dxa"/>
            <w:shd w:val="clear" w:color="auto" w:fill="auto"/>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50%</w:t>
            </w:r>
          </w:p>
        </w:tc>
      </w:tr>
    </w:tbl>
    <w:p>
      <w:pPr>
        <w:rPr>
          <w:color w:val="auto"/>
        </w:rPr>
      </w:pPr>
    </w:p>
    <w:p>
      <w:pPr>
        <w:spacing w:line="560" w:lineRule="exact"/>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3.7.5 社会服务功能准则层赋分（SS）</w:t>
      </w:r>
    </w:p>
    <w:p>
      <w:pPr>
        <w:spacing w:line="560" w:lineRule="exact"/>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社会服务功能准则层包括4个指标，各指标均属于河流尺度指标，赋分计算公式如下：</w:t>
      </w:r>
    </w:p>
    <w:p>
      <w:pPr>
        <w:spacing w:line="560" w:lineRule="exact"/>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 xml:space="preserve"> SSr=WFZr×WFZw+WRUr×WRUw+FLDRr×FLDRw+PPr×PPw</w:t>
      </w:r>
    </w:p>
    <w:p>
      <w:pPr>
        <w:spacing w:line="560" w:lineRule="exact"/>
        <w:ind w:firstLine="560" w:firstLineChars="200"/>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8"/>
          <w:szCs w:val="20"/>
        </w:rPr>
        <w:t>式中，SSr为社会服务功能准则层赋分，其它变量说明如表 3.7.5所示。</w:t>
      </w:r>
    </w:p>
    <w:p>
      <w:pPr>
        <w:spacing w:line="560" w:lineRule="exact"/>
        <w:ind w:firstLine="562" w:firstLineChars="200"/>
        <w:jc w:val="left"/>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 xml:space="preserve">表 3.7.5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社会服务功能准则层赋分公式变量说明表</w:t>
      </w:r>
    </w:p>
    <w:tbl>
      <w:tblPr>
        <w:tblStyle w:val="15"/>
        <w:tblW w:w="920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201"/>
        <w:gridCol w:w="2268"/>
        <w:gridCol w:w="1211"/>
        <w:gridCol w:w="1560"/>
        <w:gridCol w:w="1560"/>
        <w:gridCol w:w="140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2" w:hRule="atLeast"/>
        </w:trPr>
        <w:tc>
          <w:tcPr>
            <w:tcW w:w="1201"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准则层</w:t>
            </w:r>
          </w:p>
        </w:tc>
        <w:tc>
          <w:tcPr>
            <w:tcW w:w="2268"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指标层</w:t>
            </w:r>
          </w:p>
        </w:tc>
        <w:tc>
          <w:tcPr>
            <w:tcW w:w="1211"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代码</w:t>
            </w:r>
          </w:p>
        </w:tc>
        <w:tc>
          <w:tcPr>
            <w:tcW w:w="156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附分范围</w:t>
            </w:r>
          </w:p>
        </w:tc>
        <w:tc>
          <w:tcPr>
            <w:tcW w:w="156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权重</w:t>
            </w:r>
          </w:p>
        </w:tc>
        <w:tc>
          <w:tcPr>
            <w:tcW w:w="140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建议权重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 w:hRule="atLeast"/>
        </w:trPr>
        <w:tc>
          <w:tcPr>
            <w:tcW w:w="1201" w:type="dxa"/>
            <w:vMerge w:val="restart"/>
            <w:tcBorders>
              <w:bottom w:val="single" w:color="auto" w:sz="8" w:space="0"/>
            </w:tcBorders>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社会服务</w:t>
            </w:r>
          </w:p>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功能</w:t>
            </w:r>
          </w:p>
        </w:tc>
        <w:tc>
          <w:tcPr>
            <w:tcW w:w="2268" w:type="dxa"/>
            <w:tcBorders>
              <w:bottom w:val="single" w:color="auto" w:sz="8" w:space="0"/>
            </w:tcBorders>
            <w:shd w:val="clear" w:color="auto" w:fill="auto"/>
            <w:vAlign w:val="center"/>
          </w:tcPr>
          <w:p>
            <w:pPr>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水功能区达</w:t>
            </w:r>
          </w:p>
          <w:p>
            <w:pPr>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标指标</w:t>
            </w:r>
          </w:p>
        </w:tc>
        <w:tc>
          <w:tcPr>
            <w:tcW w:w="1211"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WFZ</w:t>
            </w:r>
          </w:p>
        </w:tc>
        <w:tc>
          <w:tcPr>
            <w:tcW w:w="156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0-100</w:t>
            </w:r>
          </w:p>
        </w:tc>
        <w:tc>
          <w:tcPr>
            <w:tcW w:w="156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WFZw</w:t>
            </w:r>
          </w:p>
        </w:tc>
        <w:tc>
          <w:tcPr>
            <w:tcW w:w="140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 w:hRule="atLeast"/>
        </w:trPr>
        <w:tc>
          <w:tcPr>
            <w:tcW w:w="1201" w:type="dxa"/>
            <w:vMerge w:val="continue"/>
            <w:shd w:val="clear" w:color="auto" w:fill="auto"/>
            <w:vAlign w:val="center"/>
          </w:tcPr>
          <w:p>
            <w:pPr>
              <w:spacing w:line="380" w:lineRule="exact"/>
              <w:jc w:val="center"/>
              <w:rPr>
                <w:rFonts w:ascii="Times New Roman" w:hAnsi="Times New Roman" w:eastAsia="仿宋" w:cs="Times New Roman"/>
                <w:color w:val="auto"/>
                <w:kern w:val="0"/>
                <w:szCs w:val="21"/>
              </w:rPr>
            </w:pPr>
          </w:p>
        </w:tc>
        <w:tc>
          <w:tcPr>
            <w:tcW w:w="2268" w:type="dxa"/>
            <w:shd w:val="clear" w:color="auto" w:fill="auto"/>
            <w:vAlign w:val="center"/>
          </w:tcPr>
          <w:p>
            <w:pPr>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水资源开发</w:t>
            </w:r>
          </w:p>
          <w:p>
            <w:pPr>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利用指标</w:t>
            </w:r>
          </w:p>
        </w:tc>
        <w:tc>
          <w:tcPr>
            <w:tcW w:w="1211"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WRU</w:t>
            </w:r>
          </w:p>
        </w:tc>
        <w:tc>
          <w:tcPr>
            <w:tcW w:w="156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0-100</w:t>
            </w:r>
          </w:p>
        </w:tc>
        <w:tc>
          <w:tcPr>
            <w:tcW w:w="156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WRUw</w:t>
            </w:r>
          </w:p>
        </w:tc>
        <w:tc>
          <w:tcPr>
            <w:tcW w:w="140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 w:hRule="atLeast"/>
        </w:trPr>
        <w:tc>
          <w:tcPr>
            <w:tcW w:w="1201" w:type="dxa"/>
            <w:vMerge w:val="continue"/>
            <w:tcBorders>
              <w:bottom w:val="single" w:color="auto" w:sz="8" w:space="0"/>
            </w:tcBorders>
            <w:shd w:val="clear" w:color="auto" w:fill="auto"/>
            <w:vAlign w:val="center"/>
          </w:tcPr>
          <w:p>
            <w:pPr>
              <w:spacing w:line="380" w:lineRule="exact"/>
              <w:jc w:val="center"/>
              <w:rPr>
                <w:rFonts w:ascii="Times New Roman" w:hAnsi="Times New Roman" w:eastAsia="仿宋" w:cs="Times New Roman"/>
                <w:color w:val="auto"/>
                <w:kern w:val="0"/>
                <w:szCs w:val="21"/>
              </w:rPr>
            </w:pPr>
          </w:p>
        </w:tc>
        <w:tc>
          <w:tcPr>
            <w:tcW w:w="2268" w:type="dxa"/>
            <w:shd w:val="clear" w:color="auto" w:fill="auto"/>
            <w:vAlign w:val="center"/>
          </w:tcPr>
          <w:p>
            <w:pPr>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防洪指标</w:t>
            </w:r>
          </w:p>
        </w:tc>
        <w:tc>
          <w:tcPr>
            <w:tcW w:w="1211"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FLD</w:t>
            </w:r>
          </w:p>
        </w:tc>
        <w:tc>
          <w:tcPr>
            <w:tcW w:w="156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0-100</w:t>
            </w:r>
          </w:p>
        </w:tc>
        <w:tc>
          <w:tcPr>
            <w:tcW w:w="156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FLDRw</w:t>
            </w:r>
          </w:p>
        </w:tc>
        <w:tc>
          <w:tcPr>
            <w:tcW w:w="140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 w:hRule="atLeast"/>
        </w:trPr>
        <w:tc>
          <w:tcPr>
            <w:tcW w:w="1201" w:type="dxa"/>
            <w:vMerge w:val="continue"/>
            <w:tcBorders>
              <w:bottom w:val="single" w:color="auto" w:sz="8" w:space="0"/>
            </w:tcBorders>
            <w:shd w:val="clear" w:color="auto" w:fill="auto"/>
            <w:vAlign w:val="center"/>
          </w:tcPr>
          <w:p>
            <w:pPr>
              <w:spacing w:line="380" w:lineRule="exact"/>
              <w:jc w:val="center"/>
              <w:rPr>
                <w:rFonts w:ascii="Times New Roman" w:hAnsi="Times New Roman" w:eastAsia="仿宋" w:cs="Times New Roman"/>
                <w:color w:val="auto"/>
                <w:kern w:val="0"/>
                <w:szCs w:val="21"/>
              </w:rPr>
            </w:pPr>
          </w:p>
        </w:tc>
        <w:tc>
          <w:tcPr>
            <w:tcW w:w="2268" w:type="dxa"/>
            <w:tcBorders>
              <w:bottom w:val="single" w:color="auto" w:sz="8" w:space="0"/>
            </w:tcBorders>
            <w:shd w:val="clear" w:color="auto" w:fill="auto"/>
            <w:vAlign w:val="center"/>
          </w:tcPr>
          <w:p>
            <w:pPr>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公众满意度指标</w:t>
            </w:r>
          </w:p>
        </w:tc>
        <w:tc>
          <w:tcPr>
            <w:tcW w:w="1211"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PP</w:t>
            </w:r>
          </w:p>
        </w:tc>
        <w:tc>
          <w:tcPr>
            <w:tcW w:w="156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0-100</w:t>
            </w:r>
          </w:p>
        </w:tc>
        <w:tc>
          <w:tcPr>
            <w:tcW w:w="156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PPw</w:t>
            </w:r>
          </w:p>
        </w:tc>
        <w:tc>
          <w:tcPr>
            <w:tcW w:w="1400" w:type="dxa"/>
            <w:shd w:val="clear" w:color="auto" w:fill="auto"/>
            <w:vAlign w:val="center"/>
          </w:tcPr>
          <w:p>
            <w:pPr>
              <w:spacing w:line="38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0.25</w:t>
            </w:r>
          </w:p>
        </w:tc>
      </w:tr>
    </w:tbl>
    <w:p>
      <w:pPr>
        <w:rPr>
          <w:color w:val="auto"/>
        </w:rPr>
      </w:pPr>
    </w:p>
    <w:p>
      <w:pPr>
        <w:pStyle w:val="5"/>
        <w:bidi w:val="0"/>
        <w:rPr>
          <w:rFonts w:cs="Times New Roman"/>
          <w:color w:val="auto"/>
        </w:rPr>
      </w:pPr>
      <w:bookmarkStart w:id="75" w:name="_Toc15858"/>
      <w:bookmarkStart w:id="76" w:name="_Toc24051"/>
      <w:r>
        <w:rPr>
          <w:rFonts w:cs="Times New Roman"/>
          <w:color w:val="auto"/>
        </w:rPr>
        <w:t xml:space="preserve">3.8 </w:t>
      </w:r>
      <w:r>
        <w:rPr>
          <w:rFonts w:hint="eastAsia" w:cs="Times New Roman"/>
          <w:color w:val="auto"/>
          <w:lang w:eastAsia="zh-CN"/>
        </w:rPr>
        <w:t>资江</w:t>
      </w:r>
      <w:r>
        <w:rPr>
          <w:rFonts w:cs="Times New Roman"/>
          <w:color w:val="auto"/>
        </w:rPr>
        <w:t>及其一级支流综合健康评估</w:t>
      </w:r>
      <w:bookmarkEnd w:id="75"/>
      <w:bookmarkEnd w:id="76"/>
    </w:p>
    <w:p>
      <w:pPr>
        <w:spacing w:line="360" w:lineRule="auto"/>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3.8.1 分级指标评分法</w:t>
      </w:r>
    </w:p>
    <w:p>
      <w:pPr>
        <w:spacing w:line="360" w:lineRule="auto"/>
        <w:ind w:firstLine="560" w:firstLineChars="200"/>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8"/>
          <w:szCs w:val="20"/>
        </w:rPr>
        <w:t>综合健康评估采用分级指标评分法、逐级加权、综合评分，即河湖健康指数。河湖健康分为 5 级：理想状况、健康、亚健康、不健康、病态。</w:t>
      </w:r>
    </w:p>
    <w:p>
      <w:pPr>
        <w:spacing w:line="360" w:lineRule="auto"/>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河湖健康等级、类型、颜色代码见表 3.8.1。</w:t>
      </w:r>
    </w:p>
    <w:p>
      <w:pPr>
        <w:tabs>
          <w:tab w:val="left" w:pos="3980"/>
        </w:tabs>
        <w:spacing w:line="360" w:lineRule="auto"/>
        <w:ind w:firstLine="980" w:firstLineChars="350"/>
        <w:rPr>
          <w:rFonts w:ascii="Times New Roman" w:hAnsi="Times New Roman" w:eastAsia="仿宋" w:cs="Times New Roman"/>
          <w:b/>
          <w:color w:val="auto"/>
          <w:kern w:val="0"/>
          <w:sz w:val="28"/>
          <w:szCs w:val="20"/>
        </w:rPr>
      </w:pPr>
      <w:r>
        <w:rPr>
          <w:rFonts w:ascii="Times New Roman" w:hAnsi="Times New Roman" w:eastAsia="仿宋" w:cs="Times New Roman"/>
          <w:color w:val="auto"/>
          <w:kern w:val="0"/>
          <w:sz w:val="28"/>
          <w:szCs w:val="20"/>
        </w:rPr>
        <w:drawing>
          <wp:anchor distT="0" distB="0" distL="114300" distR="114300" simplePos="0" relativeHeight="251665408" behindDoc="0" locked="0" layoutInCell="0" allowOverlap="1">
            <wp:simplePos x="0" y="0"/>
            <wp:positionH relativeFrom="page">
              <wp:posOffset>795655</wp:posOffset>
            </wp:positionH>
            <wp:positionV relativeFrom="page">
              <wp:posOffset>6955155</wp:posOffset>
            </wp:positionV>
            <wp:extent cx="5986780" cy="142557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5986780" cy="1425575"/>
                    </a:xfrm>
                    <a:prstGeom prst="rect">
                      <a:avLst/>
                    </a:prstGeom>
                    <a:noFill/>
                  </pic:spPr>
                </pic:pic>
              </a:graphicData>
            </a:graphic>
          </wp:anchor>
        </w:drawing>
      </w:r>
      <w:r>
        <w:rPr>
          <w:rFonts w:ascii="Times New Roman" w:hAnsi="Times New Roman" w:eastAsia="仿宋" w:cs="Times New Roman"/>
          <w:b/>
          <w:color w:val="auto"/>
          <w:kern w:val="0"/>
          <w:sz w:val="28"/>
          <w:szCs w:val="20"/>
        </w:rPr>
        <w:t>表 3.8.1</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河流健康</w:t>
      </w:r>
      <w:bookmarkStart w:id="77" w:name="page63"/>
      <w:bookmarkEnd w:id="77"/>
      <w:r>
        <w:rPr>
          <w:rFonts w:ascii="Times New Roman" w:hAnsi="Times New Roman" w:eastAsia="仿宋" w:cs="Times New Roman"/>
          <w:b/>
          <w:color w:val="auto"/>
          <w:kern w:val="0"/>
          <w:sz w:val="28"/>
          <w:szCs w:val="20"/>
        </w:rPr>
        <w:t>评估分级表</w:t>
      </w:r>
    </w:p>
    <w:p>
      <w:pPr>
        <w:pStyle w:val="2"/>
      </w:pPr>
    </w:p>
    <w:p>
      <w:pPr>
        <w:tabs>
          <w:tab w:val="left" w:pos="3980"/>
        </w:tabs>
        <w:spacing w:line="560" w:lineRule="exact"/>
        <w:ind w:firstLine="560" w:firstLineChars="200"/>
        <w:rPr>
          <w:rFonts w:ascii="Times New Roman" w:hAnsi="Times New Roman" w:eastAsia="仿宋" w:cs="Times New Roman"/>
          <w:color w:val="auto"/>
          <w:kern w:val="0"/>
          <w:sz w:val="28"/>
          <w:szCs w:val="20"/>
        </w:rPr>
      </w:pPr>
    </w:p>
    <w:p>
      <w:pPr>
        <w:tabs>
          <w:tab w:val="left" w:pos="3980"/>
        </w:tabs>
        <w:spacing w:line="560" w:lineRule="exact"/>
        <w:ind w:firstLine="560" w:firstLineChars="200"/>
        <w:rPr>
          <w:rFonts w:ascii="Times New Roman" w:hAnsi="Times New Roman" w:eastAsia="仿宋" w:cs="Times New Roman"/>
          <w:color w:val="auto"/>
          <w:kern w:val="0"/>
          <w:sz w:val="28"/>
          <w:szCs w:val="20"/>
        </w:rPr>
      </w:pPr>
    </w:p>
    <w:p>
      <w:pPr>
        <w:tabs>
          <w:tab w:val="left" w:pos="3980"/>
        </w:tabs>
        <w:spacing w:line="560" w:lineRule="exact"/>
        <w:ind w:firstLine="560" w:firstLineChars="200"/>
        <w:rPr>
          <w:rFonts w:ascii="Times New Roman" w:hAnsi="Times New Roman" w:eastAsia="仿宋" w:cs="Times New Roman"/>
          <w:color w:val="auto"/>
          <w:kern w:val="0"/>
          <w:sz w:val="28"/>
          <w:szCs w:val="20"/>
        </w:rPr>
      </w:pPr>
    </w:p>
    <w:p>
      <w:pPr>
        <w:spacing w:line="560" w:lineRule="exact"/>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3.8.2 综合健康评估</w:t>
      </w:r>
    </w:p>
    <w:p>
      <w:pPr>
        <w:spacing w:line="560" w:lineRule="exact"/>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（1）社会服务功能准则层赋分评估按照河流社会服务功能准则层赋分评估方法计算社会服务功能准则层赋分。</w:t>
      </w:r>
    </w:p>
    <w:p>
      <w:pPr>
        <w:spacing w:line="560" w:lineRule="exact"/>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（2）河流生态完整性评估综合河段尺度的准则层及指标采用以下计公式计算河流赋分：</w:t>
      </w:r>
    </w:p>
    <w:p>
      <w:pPr>
        <w:spacing w:line="560" w:lineRule="exact"/>
        <w:ind w:firstLine="560" w:firstLineChars="200"/>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8"/>
          <w:szCs w:val="20"/>
        </w:rPr>
        <w:drawing>
          <wp:anchor distT="0" distB="0" distL="114300" distR="114300" simplePos="0" relativeHeight="251666432" behindDoc="1" locked="0" layoutInCell="0" allowOverlap="1">
            <wp:simplePos x="0" y="0"/>
            <wp:positionH relativeFrom="column">
              <wp:posOffset>1345565</wp:posOffset>
            </wp:positionH>
            <wp:positionV relativeFrom="paragraph">
              <wp:posOffset>26035</wp:posOffset>
            </wp:positionV>
            <wp:extent cx="2609850" cy="736600"/>
            <wp:effectExtent l="0" t="0" r="0"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609850" cy="736600"/>
                    </a:xfrm>
                    <a:prstGeom prst="rect">
                      <a:avLst/>
                    </a:prstGeom>
                    <a:noFill/>
                  </pic:spPr>
                </pic:pic>
              </a:graphicData>
            </a:graphic>
          </wp:anchor>
        </w:drawing>
      </w:r>
    </w:p>
    <w:p>
      <w:pPr>
        <w:spacing w:line="560" w:lineRule="exact"/>
        <w:ind w:firstLine="400" w:firstLineChars="200"/>
        <w:rPr>
          <w:rFonts w:ascii="Times New Roman" w:hAnsi="Times New Roman" w:eastAsia="仿宋" w:cs="Times New Roman"/>
          <w:color w:val="auto"/>
          <w:kern w:val="0"/>
          <w:sz w:val="20"/>
          <w:szCs w:val="20"/>
        </w:rPr>
      </w:pPr>
    </w:p>
    <w:p>
      <w:pPr>
        <w:spacing w:line="560" w:lineRule="exact"/>
        <w:ind w:firstLine="400" w:firstLineChars="200"/>
        <w:rPr>
          <w:rFonts w:ascii="Times New Roman" w:hAnsi="Times New Roman" w:eastAsia="仿宋" w:cs="Times New Roman"/>
          <w:color w:val="auto"/>
          <w:kern w:val="0"/>
          <w:sz w:val="20"/>
          <w:szCs w:val="20"/>
        </w:rPr>
      </w:pPr>
    </w:p>
    <w:p>
      <w:pPr>
        <w:spacing w:line="560" w:lineRule="exact"/>
        <w:ind w:firstLine="54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7"/>
          <w:szCs w:val="20"/>
        </w:rPr>
        <w:t>式中，REI 为评估河流赋分，REIn 为评估河段指标和准则层赋分，SLn</w:t>
      </w:r>
      <w:r>
        <w:rPr>
          <w:rFonts w:ascii="Times New Roman" w:hAnsi="Times New Roman" w:eastAsia="仿宋" w:cs="Times New Roman"/>
          <w:color w:val="auto"/>
          <w:kern w:val="0"/>
          <w:sz w:val="28"/>
          <w:szCs w:val="20"/>
        </w:rPr>
        <w:t>为评估河段河流长度（km），RIVL 为评估河流总长度（km）。</w:t>
      </w:r>
    </w:p>
    <w:p>
      <w:pPr>
        <w:spacing w:line="560" w:lineRule="exact"/>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（3）河流健康评估</w:t>
      </w:r>
    </w:p>
    <w:p>
      <w:pPr>
        <w:spacing w:line="560" w:lineRule="exact"/>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综合河流生态完整性评估指标赋分和社会服务功能服务功能评估赋分，赋分计算公式如下：</w:t>
      </w:r>
    </w:p>
    <w:p>
      <w:pPr>
        <w:spacing w:line="560" w:lineRule="exact"/>
        <w:jc w:val="center"/>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RHI=REI×Rew+SSI×SSw</w:t>
      </w:r>
    </w:p>
    <w:p>
      <w:pPr>
        <w:spacing w:line="560" w:lineRule="exact"/>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式中，SSI 为社会服务功能准则层赋分，REI 为生态完整性状况赋分，变量说明如表 3.8.2。</w:t>
      </w:r>
    </w:p>
    <w:p>
      <w:pPr>
        <w:spacing w:line="560" w:lineRule="exact"/>
        <w:ind w:firstLine="562" w:firstLineChars="200"/>
        <w:jc w:val="left"/>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 xml:space="preserve">表 3.8.2       </w:t>
      </w:r>
      <w:r>
        <w:rPr>
          <w:rFonts w:hint="eastAsia" w:ascii="Times New Roman" w:hAnsi="Times New Roman" w:eastAsia="仿宋" w:cs="Times New Roman"/>
          <w:b/>
          <w:color w:val="auto"/>
          <w:kern w:val="0"/>
          <w:sz w:val="28"/>
          <w:szCs w:val="20"/>
          <w:lang w:val="en-US" w:eastAsia="zh-CN"/>
        </w:rPr>
        <w:t xml:space="preserve">    </w:t>
      </w:r>
      <w:r>
        <w:rPr>
          <w:rFonts w:ascii="Times New Roman" w:hAnsi="Times New Roman" w:eastAsia="仿宋" w:cs="Times New Roman"/>
          <w:b/>
          <w:color w:val="auto"/>
          <w:kern w:val="0"/>
          <w:sz w:val="28"/>
          <w:szCs w:val="20"/>
        </w:rPr>
        <w:t xml:space="preserve">      河流健康评估公式变量说明表</w:t>
      </w:r>
    </w:p>
    <w:tbl>
      <w:tblPr>
        <w:tblStyle w:val="15"/>
        <w:tblW w:w="914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599"/>
        <w:gridCol w:w="3487"/>
        <w:gridCol w:w="1954"/>
        <w:gridCol w:w="210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 w:hRule="atLeast"/>
        </w:trPr>
        <w:tc>
          <w:tcPr>
            <w:tcW w:w="1599" w:type="dxa"/>
            <w:shd w:val="clear" w:color="auto" w:fill="auto"/>
            <w:vAlign w:val="center"/>
          </w:tcPr>
          <w:p>
            <w:pPr>
              <w:spacing w:line="32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变量</w:t>
            </w:r>
          </w:p>
        </w:tc>
        <w:tc>
          <w:tcPr>
            <w:tcW w:w="3487" w:type="dxa"/>
            <w:shd w:val="clear" w:color="auto" w:fill="auto"/>
            <w:vAlign w:val="center"/>
          </w:tcPr>
          <w:p>
            <w:pPr>
              <w:spacing w:line="32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说明</w:t>
            </w:r>
          </w:p>
        </w:tc>
        <w:tc>
          <w:tcPr>
            <w:tcW w:w="1954" w:type="dxa"/>
            <w:shd w:val="clear" w:color="auto" w:fill="auto"/>
            <w:vAlign w:val="center"/>
          </w:tcPr>
          <w:p>
            <w:pPr>
              <w:spacing w:line="32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权重</w:t>
            </w:r>
          </w:p>
        </w:tc>
        <w:tc>
          <w:tcPr>
            <w:tcW w:w="2107" w:type="dxa"/>
            <w:shd w:val="clear" w:color="auto" w:fill="auto"/>
            <w:vAlign w:val="center"/>
          </w:tcPr>
          <w:p>
            <w:pPr>
              <w:spacing w:line="32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建议权重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 w:hRule="atLeast"/>
        </w:trPr>
        <w:tc>
          <w:tcPr>
            <w:tcW w:w="1599" w:type="dxa"/>
            <w:shd w:val="clear" w:color="auto" w:fill="auto"/>
            <w:vAlign w:val="center"/>
          </w:tcPr>
          <w:p>
            <w:pPr>
              <w:spacing w:line="32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REI</w:t>
            </w:r>
          </w:p>
        </w:tc>
        <w:tc>
          <w:tcPr>
            <w:tcW w:w="3487" w:type="dxa"/>
            <w:shd w:val="clear" w:color="auto" w:fill="auto"/>
            <w:vAlign w:val="center"/>
          </w:tcPr>
          <w:p>
            <w:pPr>
              <w:spacing w:line="32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生态完整性状况赋分</w:t>
            </w:r>
          </w:p>
        </w:tc>
        <w:tc>
          <w:tcPr>
            <w:tcW w:w="1954" w:type="dxa"/>
            <w:shd w:val="clear" w:color="auto" w:fill="auto"/>
            <w:vAlign w:val="center"/>
          </w:tcPr>
          <w:p>
            <w:pPr>
              <w:spacing w:line="32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Rew</w:t>
            </w:r>
          </w:p>
        </w:tc>
        <w:tc>
          <w:tcPr>
            <w:tcW w:w="2107" w:type="dxa"/>
            <w:shd w:val="clear" w:color="auto" w:fill="auto"/>
            <w:vAlign w:val="center"/>
          </w:tcPr>
          <w:p>
            <w:pPr>
              <w:spacing w:line="32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 w:hRule="atLeast"/>
        </w:trPr>
        <w:tc>
          <w:tcPr>
            <w:tcW w:w="1599" w:type="dxa"/>
            <w:shd w:val="clear" w:color="auto" w:fill="auto"/>
            <w:vAlign w:val="center"/>
          </w:tcPr>
          <w:p>
            <w:pPr>
              <w:spacing w:line="32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SSI</w:t>
            </w:r>
          </w:p>
        </w:tc>
        <w:tc>
          <w:tcPr>
            <w:tcW w:w="3487" w:type="dxa"/>
            <w:shd w:val="clear" w:color="auto" w:fill="auto"/>
            <w:vAlign w:val="center"/>
          </w:tcPr>
          <w:p>
            <w:pPr>
              <w:spacing w:line="32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社会服务功能准则层赋分</w:t>
            </w:r>
          </w:p>
        </w:tc>
        <w:tc>
          <w:tcPr>
            <w:tcW w:w="1954" w:type="dxa"/>
            <w:shd w:val="clear" w:color="auto" w:fill="auto"/>
            <w:vAlign w:val="center"/>
          </w:tcPr>
          <w:p>
            <w:pPr>
              <w:spacing w:line="32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SSw</w:t>
            </w:r>
          </w:p>
        </w:tc>
        <w:tc>
          <w:tcPr>
            <w:tcW w:w="2107" w:type="dxa"/>
            <w:shd w:val="clear" w:color="auto" w:fill="auto"/>
            <w:vAlign w:val="center"/>
          </w:tcPr>
          <w:p>
            <w:pPr>
              <w:spacing w:line="320" w:lineRule="exact"/>
              <w:jc w:val="center"/>
              <w:rPr>
                <w:rFonts w:ascii="Times New Roman" w:hAnsi="Times New Roman" w:eastAsia="仿宋" w:cs="Times New Roman"/>
                <w:color w:val="auto"/>
                <w:kern w:val="0"/>
                <w:szCs w:val="21"/>
              </w:rPr>
            </w:pPr>
            <w:r>
              <w:rPr>
                <w:rFonts w:ascii="Times New Roman" w:hAnsi="Times New Roman" w:eastAsia="仿宋" w:cs="Times New Roman"/>
                <w:color w:val="auto"/>
                <w:kern w:val="0"/>
                <w:szCs w:val="21"/>
              </w:rPr>
              <w:t>0.3</w:t>
            </w:r>
          </w:p>
        </w:tc>
      </w:tr>
    </w:tbl>
    <w:p>
      <w:pPr>
        <w:autoSpaceDE w:val="0"/>
        <w:autoSpaceDN w:val="0"/>
        <w:adjustRightInd w:val="0"/>
        <w:jc w:val="center"/>
        <w:rPr>
          <w:rFonts w:ascii="黑体" w:hAnsi="黑体" w:eastAsia="黑体" w:cs="Times New Roman"/>
          <w:b/>
          <w:bCs/>
          <w:color w:val="auto"/>
          <w:kern w:val="0"/>
          <w:sz w:val="32"/>
          <w:szCs w:val="32"/>
        </w:rPr>
        <w:sectPr>
          <w:pgSz w:w="11906" w:h="16838"/>
          <w:pgMar w:top="1361" w:right="1361" w:bottom="1474" w:left="1418" w:header="1021" w:footer="964" w:gutter="0"/>
          <w:cols w:space="425" w:num="1"/>
          <w:docGrid w:linePitch="312" w:charSpace="0"/>
        </w:sectPr>
      </w:pPr>
    </w:p>
    <w:p>
      <w:pPr>
        <w:pStyle w:val="4"/>
        <w:bidi w:val="0"/>
        <w:rPr>
          <w:color w:val="auto"/>
        </w:rPr>
      </w:pPr>
      <w:bookmarkStart w:id="78" w:name="_Toc8630"/>
      <w:bookmarkStart w:id="79" w:name="_Toc8234"/>
      <w:bookmarkStart w:id="80" w:name="_Toc4624"/>
      <w:r>
        <w:rPr>
          <w:color w:val="auto"/>
        </w:rPr>
        <w:t xml:space="preserve">4 </w:t>
      </w:r>
      <w:r>
        <w:rPr>
          <w:rFonts w:hint="eastAsia"/>
          <w:color w:val="auto"/>
          <w:lang w:eastAsia="zh-CN"/>
        </w:rPr>
        <w:t>资江</w:t>
      </w:r>
      <w:r>
        <w:rPr>
          <w:rFonts w:hint="eastAsia"/>
          <w:color w:val="auto"/>
        </w:rPr>
        <w:t>及其一级支流</w:t>
      </w:r>
      <w:r>
        <w:rPr>
          <w:color w:val="auto"/>
        </w:rPr>
        <w:t>健康评估调查监测技术方案</w:t>
      </w:r>
      <w:bookmarkEnd w:id="78"/>
      <w:bookmarkEnd w:id="79"/>
      <w:bookmarkEnd w:id="80"/>
    </w:p>
    <w:p>
      <w:pPr>
        <w:pStyle w:val="5"/>
        <w:bidi w:val="0"/>
        <w:rPr>
          <w:rFonts w:cs="Times New Roman"/>
          <w:color w:val="auto"/>
        </w:rPr>
      </w:pPr>
      <w:bookmarkStart w:id="81" w:name="_Toc26794"/>
      <w:bookmarkStart w:id="82" w:name="_Toc4707"/>
      <w:r>
        <w:rPr>
          <w:rFonts w:cs="Times New Roman"/>
          <w:color w:val="auto"/>
        </w:rPr>
        <w:t xml:space="preserve">4.1 </w:t>
      </w:r>
      <w:r>
        <w:rPr>
          <w:rFonts w:hint="eastAsia" w:cs="Times New Roman"/>
          <w:color w:val="auto"/>
        </w:rPr>
        <w:t xml:space="preserve"> </w:t>
      </w:r>
      <w:r>
        <w:rPr>
          <w:rFonts w:cs="Times New Roman"/>
          <w:color w:val="auto"/>
        </w:rPr>
        <w:t>生态完整性评估调查监测</w:t>
      </w:r>
      <w:bookmarkEnd w:id="81"/>
      <w:bookmarkEnd w:id="82"/>
      <w:r>
        <w:rPr>
          <w:rFonts w:cs="Times New Roman"/>
          <w:color w:val="auto"/>
        </w:rPr>
        <w:t xml:space="preserve"> </w:t>
      </w:r>
    </w:p>
    <w:p>
      <w:pPr>
        <w:autoSpaceDE w:val="0"/>
        <w:autoSpaceDN w:val="0"/>
        <w:adjustRightInd w:val="0"/>
        <w:spacing w:line="560" w:lineRule="exact"/>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生态完整性评估调查监测包括水文水资源指标、物理结构指标、水质指标和生物指标四个方面。 </w:t>
      </w:r>
    </w:p>
    <w:p>
      <w:pPr>
        <w:spacing w:line="560" w:lineRule="exact"/>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 xml:space="preserve">4.1.1 水文水资源指标调查 </w:t>
      </w:r>
    </w:p>
    <w:p>
      <w:pPr>
        <w:spacing w:line="560" w:lineRule="exact"/>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根据</w:t>
      </w:r>
      <w:r>
        <w:rPr>
          <w:rFonts w:hint="eastAsia" w:ascii="Times New Roman" w:hAnsi="Times New Roman" w:eastAsia="仿宋" w:cs="Times New Roman"/>
          <w:color w:val="auto"/>
          <w:sz w:val="28"/>
          <w:szCs w:val="28"/>
          <w:lang w:eastAsia="zh-CN"/>
        </w:rPr>
        <w:t>资江</w:t>
      </w:r>
      <w:r>
        <w:rPr>
          <w:rFonts w:ascii="Times New Roman" w:hAnsi="Times New Roman" w:eastAsia="仿宋" w:cs="Times New Roman"/>
          <w:color w:val="auto"/>
          <w:sz w:val="28"/>
          <w:szCs w:val="28"/>
        </w:rPr>
        <w:t>水功能区划分结果，选用代表评估区现有的水文站点，收集其建站以来至20</w:t>
      </w:r>
      <w:r>
        <w:rPr>
          <w:rFonts w:hint="eastAsia" w:ascii="Times New Roman" w:hAnsi="Times New Roman" w:eastAsia="仿宋" w:cs="Times New Roman"/>
          <w:color w:val="auto"/>
          <w:sz w:val="28"/>
          <w:szCs w:val="28"/>
          <w:lang w:val="en-US" w:eastAsia="zh-CN"/>
        </w:rPr>
        <w:t>21</w:t>
      </w:r>
      <w:r>
        <w:rPr>
          <w:rFonts w:ascii="Times New Roman" w:hAnsi="Times New Roman" w:eastAsia="仿宋" w:cs="Times New Roman"/>
          <w:color w:val="auto"/>
          <w:sz w:val="28"/>
          <w:szCs w:val="28"/>
        </w:rPr>
        <w:t>年逐月流量和逐日流量资料，进行水文情势评估</w:t>
      </w:r>
      <w:r>
        <w:rPr>
          <w:rFonts w:hint="eastAsia" w:ascii="Times New Roman" w:hAnsi="Times New Roman" w:eastAsia="仿宋" w:cs="Times New Roman"/>
          <w:color w:val="auto"/>
          <w:sz w:val="28"/>
          <w:szCs w:val="28"/>
        </w:rPr>
        <w:t>。水文水资源</w:t>
      </w:r>
      <w:r>
        <w:rPr>
          <w:rFonts w:ascii="Times New Roman" w:hAnsi="Times New Roman" w:eastAsia="仿宋" w:cs="Times New Roman"/>
          <w:color w:val="auto"/>
          <w:sz w:val="28"/>
          <w:szCs w:val="28"/>
        </w:rPr>
        <w:t>评估具体选用站点见表4.1.1-1。</w:t>
      </w:r>
    </w:p>
    <w:p>
      <w:pPr>
        <w:spacing w:line="560" w:lineRule="exact"/>
        <w:ind w:firstLine="560" w:firstLineChars="200"/>
        <w:rPr>
          <w:rFonts w:ascii="Times New Roman" w:hAnsi="Times New Roman" w:eastAsia="仿宋" w:cs="Times New Roman"/>
          <w:color w:val="auto"/>
          <w:sz w:val="28"/>
          <w:szCs w:val="28"/>
        </w:rPr>
      </w:pPr>
    </w:p>
    <w:p>
      <w:pPr>
        <w:spacing w:line="560" w:lineRule="exact"/>
        <w:ind w:firstLine="562" w:firstLineChars="200"/>
        <w:rPr>
          <w:rFonts w:ascii="Times New Roman" w:hAnsi="Times New Roman" w:eastAsia="宋体" w:cs="Times New Roman"/>
          <w:b/>
          <w:color w:val="auto"/>
          <w:sz w:val="28"/>
          <w:szCs w:val="28"/>
        </w:rPr>
      </w:pPr>
      <w:r>
        <w:rPr>
          <w:rFonts w:ascii="Times New Roman" w:hAnsi="Times New Roman" w:eastAsia="仿宋" w:cs="Times New Roman"/>
          <w:b/>
          <w:color w:val="auto"/>
          <w:sz w:val="28"/>
          <w:szCs w:val="28"/>
        </w:rPr>
        <w:t xml:space="preserve">表4.1.1-1   </w:t>
      </w:r>
      <w:r>
        <w:rPr>
          <w:rFonts w:hint="eastAsia" w:ascii="Times New Roman" w:hAnsi="Times New Roman" w:eastAsia="仿宋" w:cs="Times New Roman"/>
          <w:b/>
          <w:color w:val="auto"/>
          <w:sz w:val="28"/>
          <w:szCs w:val="28"/>
        </w:rPr>
        <w:t xml:space="preserve">    </w:t>
      </w:r>
      <w:r>
        <w:rPr>
          <w:rFonts w:ascii="Times New Roman" w:hAnsi="Times New Roman" w:eastAsia="仿宋" w:cs="Times New Roman"/>
          <w:b/>
          <w:color w:val="auto"/>
          <w:sz w:val="28"/>
          <w:szCs w:val="28"/>
        </w:rPr>
        <w:t xml:space="preserve"> </w:t>
      </w:r>
      <w:r>
        <w:rPr>
          <w:rFonts w:hint="eastAsia" w:ascii="Times New Roman" w:hAnsi="Times New Roman" w:eastAsia="仿宋" w:cs="Times New Roman"/>
          <w:b/>
          <w:color w:val="auto"/>
          <w:sz w:val="28"/>
          <w:szCs w:val="28"/>
        </w:rPr>
        <w:t xml:space="preserve">   </w:t>
      </w:r>
      <w:r>
        <w:rPr>
          <w:rFonts w:ascii="Times New Roman" w:hAnsi="Times New Roman" w:eastAsia="仿宋" w:cs="Times New Roman"/>
          <w:b/>
          <w:color w:val="auto"/>
          <w:sz w:val="28"/>
          <w:szCs w:val="28"/>
        </w:rPr>
        <w:t xml:space="preserve">  </w:t>
      </w:r>
      <w:r>
        <w:rPr>
          <w:rFonts w:hint="eastAsia" w:ascii="Times New Roman" w:hAnsi="Times New Roman" w:eastAsia="仿宋" w:cs="Times New Roman"/>
          <w:b/>
          <w:color w:val="auto"/>
          <w:sz w:val="28"/>
          <w:szCs w:val="28"/>
          <w:lang w:eastAsia="zh-CN"/>
        </w:rPr>
        <w:t>资江</w:t>
      </w:r>
      <w:r>
        <w:rPr>
          <w:rFonts w:ascii="Times New Roman" w:hAnsi="Times New Roman" w:eastAsia="仿宋" w:cs="Times New Roman"/>
          <w:b/>
          <w:color w:val="auto"/>
          <w:sz w:val="28"/>
          <w:szCs w:val="28"/>
        </w:rPr>
        <w:t>水文水资源评估选用站点表</w:t>
      </w:r>
    </w:p>
    <w:tbl>
      <w:tblPr>
        <w:tblStyle w:val="15"/>
        <w:tblW w:w="9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056"/>
        <w:gridCol w:w="846"/>
        <w:gridCol w:w="1056"/>
        <w:gridCol w:w="3366"/>
        <w:gridCol w:w="1266"/>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6" w:type="dxa"/>
            <w:vMerge w:val="restart"/>
            <w:shd w:val="clear" w:color="auto" w:fill="auto"/>
            <w:vAlign w:val="center"/>
          </w:tcPr>
          <w:p>
            <w:pPr>
              <w:spacing w:line="30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序号</w:t>
            </w:r>
          </w:p>
        </w:tc>
        <w:tc>
          <w:tcPr>
            <w:tcW w:w="1056" w:type="dxa"/>
            <w:vMerge w:val="restart"/>
            <w:shd w:val="clear" w:color="auto" w:fill="auto"/>
            <w:vAlign w:val="center"/>
          </w:tcPr>
          <w:p>
            <w:pPr>
              <w:spacing w:line="30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水文站点</w:t>
            </w:r>
          </w:p>
        </w:tc>
        <w:tc>
          <w:tcPr>
            <w:tcW w:w="846" w:type="dxa"/>
            <w:vMerge w:val="restart"/>
            <w:shd w:val="clear" w:color="auto" w:fill="auto"/>
            <w:vAlign w:val="center"/>
          </w:tcPr>
          <w:p>
            <w:pPr>
              <w:spacing w:line="30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类型</w:t>
            </w:r>
          </w:p>
        </w:tc>
        <w:tc>
          <w:tcPr>
            <w:tcW w:w="1056" w:type="dxa"/>
            <w:vMerge w:val="restart"/>
            <w:shd w:val="clear" w:color="auto" w:fill="auto"/>
            <w:vAlign w:val="center"/>
          </w:tcPr>
          <w:p>
            <w:pPr>
              <w:spacing w:line="30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所在河流</w:t>
            </w:r>
          </w:p>
        </w:tc>
        <w:tc>
          <w:tcPr>
            <w:tcW w:w="3366" w:type="dxa"/>
            <w:vMerge w:val="restart"/>
            <w:shd w:val="clear" w:color="auto" w:fill="auto"/>
            <w:vAlign w:val="center"/>
          </w:tcPr>
          <w:p>
            <w:pPr>
              <w:spacing w:line="30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代表评估水功能区</w:t>
            </w:r>
          </w:p>
        </w:tc>
        <w:tc>
          <w:tcPr>
            <w:tcW w:w="2322" w:type="dxa"/>
            <w:gridSpan w:val="2"/>
            <w:shd w:val="clear" w:color="auto" w:fill="auto"/>
            <w:vAlign w:val="center"/>
          </w:tcPr>
          <w:p>
            <w:pPr>
              <w:spacing w:line="30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资料情况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636" w:type="dxa"/>
            <w:vMerge w:val="continue"/>
            <w:shd w:val="clear" w:color="auto" w:fill="auto"/>
            <w:vAlign w:val="center"/>
          </w:tcPr>
          <w:p>
            <w:pPr>
              <w:spacing w:line="300" w:lineRule="exact"/>
              <w:jc w:val="center"/>
              <w:rPr>
                <w:rFonts w:ascii="Times New Roman" w:hAnsi="Times New Roman" w:eastAsia="仿宋" w:cs="Times New Roman"/>
                <w:color w:val="auto"/>
                <w:sz w:val="21"/>
                <w:szCs w:val="21"/>
              </w:rPr>
            </w:pPr>
          </w:p>
        </w:tc>
        <w:tc>
          <w:tcPr>
            <w:tcW w:w="1056" w:type="dxa"/>
            <w:vMerge w:val="continue"/>
            <w:shd w:val="clear" w:color="auto" w:fill="auto"/>
            <w:vAlign w:val="center"/>
          </w:tcPr>
          <w:p>
            <w:pPr>
              <w:spacing w:line="300" w:lineRule="exact"/>
              <w:jc w:val="center"/>
              <w:rPr>
                <w:rFonts w:ascii="Times New Roman" w:hAnsi="Times New Roman" w:eastAsia="仿宋" w:cs="Times New Roman"/>
                <w:color w:val="auto"/>
                <w:sz w:val="21"/>
                <w:szCs w:val="21"/>
              </w:rPr>
            </w:pPr>
          </w:p>
        </w:tc>
        <w:tc>
          <w:tcPr>
            <w:tcW w:w="846" w:type="dxa"/>
            <w:vMerge w:val="continue"/>
            <w:shd w:val="clear" w:color="auto" w:fill="auto"/>
            <w:vAlign w:val="center"/>
          </w:tcPr>
          <w:p>
            <w:pPr>
              <w:spacing w:line="300" w:lineRule="exact"/>
              <w:jc w:val="center"/>
              <w:rPr>
                <w:rFonts w:ascii="Times New Roman" w:hAnsi="Times New Roman" w:eastAsia="仿宋" w:cs="Times New Roman"/>
                <w:color w:val="auto"/>
                <w:sz w:val="21"/>
                <w:szCs w:val="21"/>
              </w:rPr>
            </w:pPr>
          </w:p>
        </w:tc>
        <w:tc>
          <w:tcPr>
            <w:tcW w:w="1056" w:type="dxa"/>
            <w:vMerge w:val="continue"/>
            <w:shd w:val="clear" w:color="auto" w:fill="auto"/>
            <w:vAlign w:val="center"/>
          </w:tcPr>
          <w:p>
            <w:pPr>
              <w:spacing w:line="300" w:lineRule="exact"/>
              <w:jc w:val="center"/>
              <w:rPr>
                <w:rFonts w:ascii="Times New Roman" w:hAnsi="Times New Roman" w:eastAsia="仿宋" w:cs="Times New Roman"/>
                <w:color w:val="auto"/>
                <w:sz w:val="21"/>
                <w:szCs w:val="21"/>
              </w:rPr>
            </w:pPr>
          </w:p>
        </w:tc>
        <w:tc>
          <w:tcPr>
            <w:tcW w:w="3366" w:type="dxa"/>
            <w:vMerge w:val="continue"/>
            <w:shd w:val="clear" w:color="auto" w:fill="auto"/>
            <w:vAlign w:val="center"/>
          </w:tcPr>
          <w:p>
            <w:pPr>
              <w:spacing w:line="300" w:lineRule="exact"/>
              <w:jc w:val="center"/>
              <w:rPr>
                <w:rFonts w:ascii="Times New Roman" w:hAnsi="Times New Roman" w:eastAsia="仿宋" w:cs="Times New Roman"/>
                <w:color w:val="auto"/>
                <w:sz w:val="21"/>
                <w:szCs w:val="21"/>
              </w:rPr>
            </w:pPr>
          </w:p>
        </w:tc>
        <w:tc>
          <w:tcPr>
            <w:tcW w:w="1266" w:type="dxa"/>
            <w:shd w:val="clear" w:color="auto" w:fill="auto"/>
            <w:vAlign w:val="center"/>
          </w:tcPr>
          <w:p>
            <w:pPr>
              <w:spacing w:line="30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资料年限</w:t>
            </w:r>
          </w:p>
        </w:tc>
        <w:tc>
          <w:tcPr>
            <w:tcW w:w="1056" w:type="dxa"/>
            <w:shd w:val="clear" w:color="auto" w:fill="auto"/>
            <w:vAlign w:val="center"/>
          </w:tcPr>
          <w:p>
            <w:pPr>
              <w:spacing w:line="30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资料类型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shd w:val="clear" w:color="auto" w:fill="auto"/>
            <w:vAlign w:val="center"/>
          </w:tcPr>
          <w:p>
            <w:pPr>
              <w:spacing w:line="30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w:t>
            </w:r>
          </w:p>
        </w:tc>
        <w:tc>
          <w:tcPr>
            <w:tcW w:w="1056" w:type="dxa"/>
            <w:shd w:val="clear" w:color="auto" w:fill="auto"/>
            <w:vAlign w:val="center"/>
          </w:tcPr>
          <w:p>
            <w:pPr>
              <w:spacing w:line="300" w:lineRule="exact"/>
              <w:jc w:val="center"/>
              <w:rPr>
                <w:rFonts w:ascii="Times New Roman" w:hAnsi="Times New Roman" w:eastAsia="仿宋" w:cs="Times New Roman"/>
                <w:bCs/>
                <w:color w:val="auto"/>
                <w:sz w:val="21"/>
                <w:szCs w:val="21"/>
              </w:rPr>
            </w:pPr>
            <w:r>
              <w:rPr>
                <w:rFonts w:hint="eastAsia" w:ascii="Times New Roman" w:hAnsi="Times New Roman" w:eastAsia="仿宋" w:cs="Times New Roman"/>
                <w:bCs/>
                <w:color w:val="auto"/>
                <w:sz w:val="21"/>
                <w:szCs w:val="21"/>
                <w:lang w:val="en-US" w:eastAsia="zh-CN"/>
              </w:rPr>
              <w:t>资源</w:t>
            </w:r>
          </w:p>
        </w:tc>
        <w:tc>
          <w:tcPr>
            <w:tcW w:w="846" w:type="dxa"/>
            <w:shd w:val="clear" w:color="auto" w:fill="auto"/>
            <w:vAlign w:val="center"/>
          </w:tcPr>
          <w:p>
            <w:pPr>
              <w:spacing w:line="300" w:lineRule="exact"/>
              <w:jc w:val="center"/>
              <w:rPr>
                <w:rFonts w:hint="default" w:ascii="Times New Roman" w:hAnsi="Times New Roman" w:eastAsia="仿宋" w:cs="Times New Roman"/>
                <w:bCs/>
                <w:color w:val="auto"/>
                <w:sz w:val="21"/>
                <w:szCs w:val="21"/>
                <w:lang w:val="en-US"/>
              </w:rPr>
            </w:pPr>
            <w:r>
              <w:rPr>
                <w:rFonts w:hint="eastAsia" w:ascii="Times New Roman" w:hAnsi="Times New Roman" w:eastAsia="仿宋" w:cs="Times New Roman"/>
                <w:bCs/>
                <w:color w:val="auto"/>
                <w:sz w:val="21"/>
                <w:szCs w:val="21"/>
                <w:lang w:val="en-US" w:eastAsia="zh-CN"/>
              </w:rPr>
              <w:t>水文站</w:t>
            </w:r>
          </w:p>
        </w:tc>
        <w:tc>
          <w:tcPr>
            <w:tcW w:w="1056" w:type="dxa"/>
            <w:shd w:val="clear" w:color="auto" w:fill="auto"/>
            <w:vAlign w:val="center"/>
          </w:tcPr>
          <w:p>
            <w:pPr>
              <w:spacing w:line="300" w:lineRule="exact"/>
              <w:jc w:val="center"/>
              <w:rPr>
                <w:rFonts w:hint="eastAsia" w:ascii="Times New Roman" w:hAnsi="Times New Roman" w:eastAsia="仿宋" w:cs="Times New Roman"/>
                <w:bCs/>
                <w:color w:val="auto"/>
                <w:sz w:val="21"/>
                <w:szCs w:val="21"/>
                <w:lang w:eastAsia="zh-CN"/>
              </w:rPr>
            </w:pPr>
            <w:r>
              <w:rPr>
                <w:rFonts w:hint="eastAsia" w:ascii="Times New Roman" w:hAnsi="Times New Roman" w:eastAsia="仿宋" w:cs="Times New Roman"/>
                <w:bCs/>
                <w:color w:val="auto"/>
                <w:sz w:val="21"/>
                <w:szCs w:val="21"/>
                <w:lang w:eastAsia="zh-CN"/>
              </w:rPr>
              <w:t>资江</w:t>
            </w:r>
          </w:p>
        </w:tc>
        <w:tc>
          <w:tcPr>
            <w:tcW w:w="3366" w:type="dxa"/>
            <w:shd w:val="clear" w:color="auto" w:fill="auto"/>
            <w:vAlign w:val="center"/>
          </w:tcPr>
          <w:p>
            <w:pPr>
              <w:spacing w:line="300" w:lineRule="exact"/>
              <w:rPr>
                <w:rFonts w:ascii="Times New Roman" w:hAnsi="Times New Roman" w:eastAsia="仿宋" w:cs="Times New Roman"/>
                <w:bCs/>
                <w:color w:val="auto"/>
                <w:sz w:val="21"/>
                <w:szCs w:val="21"/>
              </w:rPr>
            </w:pPr>
            <w:r>
              <w:rPr>
                <w:rFonts w:hint="eastAsia" w:ascii="Times New Roman" w:hAnsi="Times New Roman" w:eastAsia="仿宋" w:cs="Times New Roman"/>
                <w:bCs/>
                <w:color w:val="auto"/>
                <w:sz w:val="21"/>
                <w:szCs w:val="21"/>
                <w:lang w:eastAsia="zh-CN"/>
              </w:rPr>
              <w:t>资江</w:t>
            </w:r>
            <w:r>
              <w:rPr>
                <w:rFonts w:hint="eastAsia" w:ascii="Times New Roman" w:hAnsi="Times New Roman" w:eastAsia="仿宋" w:cs="Times New Roman"/>
                <w:bCs/>
                <w:color w:val="auto"/>
                <w:sz w:val="21"/>
                <w:szCs w:val="21"/>
                <w:lang w:val="en-US" w:eastAsia="zh-CN"/>
              </w:rPr>
              <w:t>保护区、保留区、开发利用区</w:t>
            </w:r>
          </w:p>
        </w:tc>
        <w:tc>
          <w:tcPr>
            <w:tcW w:w="1266" w:type="dxa"/>
            <w:shd w:val="clear" w:color="auto" w:fill="auto"/>
            <w:vAlign w:val="center"/>
          </w:tcPr>
          <w:p>
            <w:pPr>
              <w:spacing w:line="300" w:lineRule="exact"/>
              <w:jc w:val="center"/>
              <w:rPr>
                <w:rFonts w:hint="default" w:ascii="Times New Roman" w:hAnsi="Times New Roman" w:eastAsia="仿宋" w:cs="Times New Roman"/>
                <w:color w:val="auto"/>
                <w:sz w:val="21"/>
                <w:szCs w:val="21"/>
                <w:lang w:val="en-US" w:eastAsia="zh-CN"/>
              </w:rPr>
            </w:pPr>
            <w:r>
              <w:rPr>
                <w:rFonts w:ascii="Times New Roman" w:hAnsi="Times New Roman" w:eastAsia="仿宋" w:cs="Times New Roman"/>
                <w:bCs/>
                <w:color w:val="auto"/>
                <w:sz w:val="21"/>
                <w:szCs w:val="21"/>
              </w:rPr>
              <w:t>1957～</w:t>
            </w:r>
            <w:r>
              <w:rPr>
                <w:rFonts w:hint="eastAsia" w:ascii="Times New Roman" w:hAnsi="Times New Roman" w:eastAsia="仿宋" w:cs="Times New Roman"/>
                <w:bCs/>
                <w:color w:val="auto"/>
                <w:sz w:val="21"/>
                <w:szCs w:val="21"/>
                <w:lang w:val="en-US" w:eastAsia="zh-CN"/>
              </w:rPr>
              <w:t>2021</w:t>
            </w:r>
          </w:p>
        </w:tc>
        <w:tc>
          <w:tcPr>
            <w:tcW w:w="1056" w:type="dxa"/>
            <w:shd w:val="clear" w:color="auto" w:fill="auto"/>
            <w:vAlign w:val="center"/>
          </w:tcPr>
          <w:p>
            <w:pPr>
              <w:autoSpaceDE w:val="0"/>
              <w:autoSpaceDN w:val="0"/>
              <w:adjustRightInd w:val="0"/>
              <w:spacing w:line="2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月均流量</w:t>
            </w:r>
          </w:p>
          <w:p>
            <w:pPr>
              <w:autoSpaceDE w:val="0"/>
              <w:autoSpaceDN w:val="0"/>
              <w:adjustRightInd w:val="0"/>
              <w:spacing w:line="2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日均流量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shd w:val="clear" w:color="auto" w:fill="auto"/>
            <w:vAlign w:val="center"/>
          </w:tcPr>
          <w:p>
            <w:pPr>
              <w:spacing w:line="30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w:t>
            </w:r>
          </w:p>
        </w:tc>
        <w:tc>
          <w:tcPr>
            <w:tcW w:w="1056" w:type="dxa"/>
            <w:shd w:val="clear" w:color="auto" w:fill="auto"/>
            <w:vAlign w:val="center"/>
          </w:tcPr>
          <w:p>
            <w:pPr>
              <w:spacing w:line="300" w:lineRule="exact"/>
              <w:jc w:val="center"/>
              <w:rPr>
                <w:rFonts w:ascii="Times New Roman" w:hAnsi="Times New Roman" w:eastAsia="仿宋" w:cs="Times New Roman"/>
                <w:bCs/>
                <w:color w:val="auto"/>
                <w:sz w:val="21"/>
                <w:szCs w:val="21"/>
              </w:rPr>
            </w:pPr>
            <w:r>
              <w:rPr>
                <w:rFonts w:hint="eastAsia" w:ascii="Times New Roman" w:hAnsi="Times New Roman" w:eastAsia="仿宋" w:cs="Times New Roman"/>
                <w:bCs/>
                <w:color w:val="auto"/>
                <w:sz w:val="21"/>
                <w:szCs w:val="21"/>
                <w:lang w:val="en-US" w:eastAsia="zh-CN"/>
              </w:rPr>
              <w:t>资源</w:t>
            </w:r>
          </w:p>
        </w:tc>
        <w:tc>
          <w:tcPr>
            <w:tcW w:w="846" w:type="dxa"/>
            <w:shd w:val="clear" w:color="auto" w:fill="auto"/>
            <w:vAlign w:val="center"/>
          </w:tcPr>
          <w:p>
            <w:pPr>
              <w:spacing w:line="300" w:lineRule="exact"/>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水文站</w:t>
            </w:r>
          </w:p>
        </w:tc>
        <w:tc>
          <w:tcPr>
            <w:tcW w:w="1056" w:type="dxa"/>
            <w:shd w:val="clear" w:color="auto" w:fill="auto"/>
            <w:vAlign w:val="center"/>
          </w:tcPr>
          <w:p>
            <w:pPr>
              <w:spacing w:line="300" w:lineRule="exact"/>
              <w:jc w:val="center"/>
              <w:rPr>
                <w:rFonts w:hint="default" w:ascii="Times New Roman" w:hAnsi="Times New Roman" w:eastAsia="仿宋" w:cs="Times New Roman"/>
                <w:bCs/>
                <w:color w:val="auto"/>
                <w:sz w:val="21"/>
                <w:szCs w:val="21"/>
                <w:lang w:val="en-US" w:eastAsia="zh-CN"/>
              </w:rPr>
            </w:pPr>
            <w:r>
              <w:rPr>
                <w:rFonts w:hint="eastAsia" w:ascii="Times New Roman" w:hAnsi="Times New Roman" w:eastAsia="仿宋" w:cs="Times New Roman"/>
                <w:bCs/>
                <w:color w:val="auto"/>
                <w:sz w:val="21"/>
                <w:szCs w:val="21"/>
                <w:lang w:eastAsia="zh-CN"/>
              </w:rPr>
              <w:t>资江</w:t>
            </w:r>
            <w:r>
              <w:rPr>
                <w:rFonts w:hint="eastAsia" w:ascii="Times New Roman" w:hAnsi="Times New Roman" w:eastAsia="仿宋" w:cs="Times New Roman"/>
                <w:bCs/>
                <w:color w:val="auto"/>
                <w:sz w:val="21"/>
                <w:szCs w:val="21"/>
                <w:lang w:val="en-US" w:eastAsia="zh-CN"/>
              </w:rPr>
              <w:t>支流</w:t>
            </w:r>
          </w:p>
        </w:tc>
        <w:tc>
          <w:tcPr>
            <w:tcW w:w="3366" w:type="dxa"/>
            <w:shd w:val="clear" w:color="auto" w:fill="auto"/>
            <w:vAlign w:val="center"/>
          </w:tcPr>
          <w:p>
            <w:pPr>
              <w:spacing w:line="300" w:lineRule="exact"/>
              <w:rPr>
                <w:rFonts w:ascii="Times New Roman" w:hAnsi="Times New Roman" w:eastAsia="仿宋" w:cs="Times New Roman"/>
                <w:bCs/>
                <w:color w:val="auto"/>
                <w:sz w:val="21"/>
                <w:szCs w:val="21"/>
              </w:rPr>
            </w:pPr>
            <w:r>
              <w:rPr>
                <w:rFonts w:hint="eastAsia" w:ascii="Times New Roman" w:hAnsi="Times New Roman" w:eastAsia="仿宋" w:cs="Times New Roman"/>
                <w:bCs/>
                <w:color w:val="auto"/>
                <w:sz w:val="21"/>
                <w:szCs w:val="21"/>
                <w:lang w:val="en-US" w:eastAsia="zh-CN"/>
              </w:rPr>
              <w:t>各支流河段水功能区</w:t>
            </w:r>
          </w:p>
        </w:tc>
        <w:tc>
          <w:tcPr>
            <w:tcW w:w="1266" w:type="dxa"/>
            <w:shd w:val="clear" w:color="auto" w:fill="auto"/>
            <w:vAlign w:val="center"/>
          </w:tcPr>
          <w:p>
            <w:pPr>
              <w:spacing w:line="300" w:lineRule="exact"/>
              <w:jc w:val="center"/>
              <w:rPr>
                <w:rFonts w:ascii="Times New Roman" w:hAnsi="Times New Roman" w:eastAsia="仿宋" w:cs="Times New Roman"/>
                <w:color w:val="auto"/>
                <w:sz w:val="21"/>
                <w:szCs w:val="21"/>
              </w:rPr>
            </w:pPr>
            <w:r>
              <w:rPr>
                <w:rFonts w:ascii="Times New Roman" w:hAnsi="Times New Roman" w:eastAsia="仿宋" w:cs="Times New Roman"/>
                <w:bCs/>
                <w:color w:val="auto"/>
                <w:sz w:val="21"/>
                <w:szCs w:val="21"/>
              </w:rPr>
              <w:t>1957～</w:t>
            </w:r>
            <w:r>
              <w:rPr>
                <w:rFonts w:hint="eastAsia" w:ascii="Times New Roman" w:hAnsi="Times New Roman" w:eastAsia="仿宋" w:cs="Times New Roman"/>
                <w:bCs/>
                <w:color w:val="auto"/>
                <w:sz w:val="21"/>
                <w:szCs w:val="21"/>
                <w:lang w:val="en-US" w:eastAsia="zh-CN"/>
              </w:rPr>
              <w:t>2021</w:t>
            </w:r>
          </w:p>
        </w:tc>
        <w:tc>
          <w:tcPr>
            <w:tcW w:w="1056" w:type="dxa"/>
            <w:shd w:val="clear" w:color="auto" w:fill="auto"/>
          </w:tcPr>
          <w:p>
            <w:pPr>
              <w:autoSpaceDE w:val="0"/>
              <w:autoSpaceDN w:val="0"/>
              <w:adjustRightInd w:val="0"/>
              <w:spacing w:line="240" w:lineRule="exact"/>
              <w:jc w:val="center"/>
              <w:rPr>
                <w:rFonts w:hint="default"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降雨径流关系</w:t>
            </w:r>
          </w:p>
        </w:tc>
      </w:tr>
    </w:tbl>
    <w:p>
      <w:pPr>
        <w:spacing w:line="560" w:lineRule="exact"/>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 xml:space="preserve">4.1.2 物理结构指标调查 </w:t>
      </w:r>
    </w:p>
    <w:p>
      <w:pPr>
        <w:autoSpaceDE w:val="0"/>
        <w:autoSpaceDN w:val="0"/>
        <w:adjustRightInd w:val="0"/>
        <w:spacing w:line="560" w:lineRule="exact"/>
        <w:ind w:firstLine="420" w:firstLineChars="15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（1） 河流连通性调查 </w:t>
      </w:r>
    </w:p>
    <w:p>
      <w:pPr>
        <w:spacing w:line="560" w:lineRule="exact"/>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河流连通性主要调查评估河流因为闸坝阻隔等原因对鱼类等生物物种迁徙及水流与营养物质传递阻隔的影响。该指标调查以收集资料为主，通过收集各个相关水利部门资料闸坝数量以及分布情况，并通过遥感分析确定位置，分析各个评估河段闸坝数量与分布情况；同时结合现场查勘与资料搜集，了解其鱼道设置及其运行情况。</w:t>
      </w:r>
    </w:p>
    <w:p>
      <w:pPr>
        <w:autoSpaceDE w:val="0"/>
        <w:autoSpaceDN w:val="0"/>
        <w:adjustRightInd w:val="0"/>
        <w:spacing w:line="560" w:lineRule="exact"/>
        <w:ind w:firstLine="420" w:firstLineChars="15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（2） 河岸带状况调查 </w:t>
      </w:r>
    </w:p>
    <w:p>
      <w:pPr>
        <w:autoSpaceDE w:val="0"/>
        <w:autoSpaceDN w:val="0"/>
        <w:adjustRightInd w:val="0"/>
        <w:spacing w:line="560" w:lineRule="exact"/>
        <w:ind w:firstLine="560" w:firstLineChars="200"/>
        <w:rPr>
          <w:rFonts w:ascii="Times New Roman" w:hAnsi="Times New Roman" w:eastAsia="仿宋" w:cs="Times New Roman"/>
          <w:color w:val="auto"/>
          <w:sz w:val="28"/>
          <w:szCs w:val="28"/>
        </w:rPr>
      </w:pPr>
      <w:r>
        <w:rPr>
          <w:rFonts w:hint="eastAsia" w:ascii="宋体" w:hAnsi="宋体" w:eastAsia="宋体" w:cs="宋体"/>
          <w:color w:val="auto"/>
          <w:sz w:val="28"/>
          <w:szCs w:val="28"/>
        </w:rPr>
        <w:t>①</w:t>
      </w:r>
      <w:r>
        <w:rPr>
          <w:rFonts w:ascii="Times New Roman" w:hAnsi="Times New Roman" w:eastAsia="仿宋" w:cs="Times New Roman"/>
          <w:color w:val="auto"/>
          <w:sz w:val="28"/>
          <w:szCs w:val="28"/>
        </w:rPr>
        <w:t xml:space="preserve">调查方法 </w:t>
      </w:r>
    </w:p>
    <w:p>
      <w:pPr>
        <w:autoSpaceDE w:val="0"/>
        <w:autoSpaceDN w:val="0"/>
        <w:adjustRightInd w:val="0"/>
        <w:spacing w:line="560" w:lineRule="exact"/>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河流形态调查采用《方法（1.0版）》中的方法，结合实际情况，设计河流形态调查表如表4.1-1所示。具体说明如下： </w:t>
      </w:r>
    </w:p>
    <w:p>
      <w:pPr>
        <w:autoSpaceDE w:val="0"/>
        <w:autoSpaceDN w:val="0"/>
        <w:adjustRightInd w:val="0"/>
        <w:spacing w:line="560" w:lineRule="exact"/>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1、灰底色单元格为不可修改部分，填写表格时仅针对白底色单元格填写； </w:t>
      </w:r>
    </w:p>
    <w:p>
      <w:pPr>
        <w:autoSpaceDE w:val="0"/>
        <w:autoSpaceDN w:val="0"/>
        <w:adjustRightInd w:val="0"/>
        <w:spacing w:line="560" w:lineRule="exact"/>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2、“评估水体”一栏根据所调查的试点水体，选择“</w:t>
      </w:r>
      <w:r>
        <w:rPr>
          <w:rFonts w:hint="eastAsia" w:ascii="Times New Roman" w:hAnsi="Times New Roman" w:eastAsia="仿宋" w:cs="Times New Roman"/>
          <w:color w:val="auto"/>
          <w:sz w:val="28"/>
          <w:szCs w:val="28"/>
          <w:lang w:eastAsia="zh-CN"/>
        </w:rPr>
        <w:t>资江</w:t>
      </w:r>
      <w:r>
        <w:rPr>
          <w:rFonts w:ascii="Times New Roman" w:hAnsi="Times New Roman" w:eastAsia="仿宋" w:cs="Times New Roman"/>
          <w:color w:val="auto"/>
          <w:sz w:val="28"/>
          <w:szCs w:val="28"/>
        </w:rPr>
        <w:t>”；</w:t>
      </w:r>
    </w:p>
    <w:p>
      <w:pPr>
        <w:autoSpaceDE w:val="0"/>
        <w:autoSpaceDN w:val="0"/>
        <w:adjustRightInd w:val="0"/>
        <w:spacing w:line="560" w:lineRule="exact"/>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3、“评估水功能区”一栏根据附表1中一级水功能区名称填写；</w:t>
      </w:r>
    </w:p>
    <w:p>
      <w:pPr>
        <w:autoSpaceDE w:val="0"/>
        <w:autoSpaceDN w:val="0"/>
        <w:adjustRightInd w:val="0"/>
        <w:spacing w:line="560" w:lineRule="exact"/>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4、“调查时间”为“年. 月.日”型，如2017.09.05； </w:t>
      </w:r>
    </w:p>
    <w:p>
      <w:pPr>
        <w:autoSpaceDE w:val="0"/>
        <w:autoSpaceDN w:val="0"/>
        <w:adjustRightInd w:val="0"/>
        <w:spacing w:line="560" w:lineRule="exact"/>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5、“填表人”填写个人姓名； </w:t>
      </w:r>
    </w:p>
    <w:p>
      <w:pPr>
        <w:autoSpaceDE w:val="0"/>
        <w:autoSpaceDN w:val="0"/>
        <w:adjustRightInd w:val="0"/>
        <w:spacing w:line="560" w:lineRule="exact"/>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6、考虑到具体调查点位现场河流左右岸情况可能差别较大，故实际调查中按左右岸分别调查填写； </w:t>
      </w:r>
    </w:p>
    <w:p>
      <w:pPr>
        <w:autoSpaceDE w:val="0"/>
        <w:autoSpaceDN w:val="0"/>
        <w:adjustRightInd w:val="0"/>
        <w:spacing w:line="560" w:lineRule="exact"/>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7、调查范围横向为河岸线向陆域一侧30米以内，纵向为调查点上下游视野范围； </w:t>
      </w:r>
    </w:p>
    <w:p>
      <w:pPr>
        <w:autoSpaceDE w:val="0"/>
        <w:autoSpaceDN w:val="0"/>
        <w:adjustRightInd w:val="0"/>
        <w:spacing w:line="560" w:lineRule="exact"/>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8、定性化调查指标（如河岸基质）直接填写所属类别，赋予相应分值；定量化指标（如植被覆盖度）则根据实际调查结果，通过差值计算相应分数； </w:t>
      </w:r>
    </w:p>
    <w:p>
      <w:pPr>
        <w:spacing w:line="560" w:lineRule="exact"/>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9、为尽量减少调查人员主观判断因素造成的误差，每个调查点位表均应至少由两人填写，若两人定性化指标调查选项相同，或定量化指标调查结果相对误差小于10%，则属有效调查，其估算结果取定性化指标的相同选项或定量化指标调查结果的平均值；否则视为无效调查，应予以重新调查，邀请第三人共同判定。</w:t>
      </w:r>
    </w:p>
    <w:p>
      <w:pPr>
        <w:autoSpaceDE w:val="0"/>
        <w:autoSpaceDN w:val="0"/>
        <w:adjustRightInd w:val="0"/>
        <w:spacing w:line="560" w:lineRule="exact"/>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②</w:t>
      </w:r>
      <w:r>
        <w:rPr>
          <w:rFonts w:ascii="Times New Roman" w:hAnsi="Times New Roman" w:eastAsia="仿宋" w:cs="Times New Roman"/>
          <w:color w:val="auto"/>
          <w:sz w:val="28"/>
          <w:szCs w:val="28"/>
        </w:rPr>
        <w:t xml:space="preserve">调查具体情况 </w:t>
      </w:r>
    </w:p>
    <w:p>
      <w:pPr>
        <w:spacing w:line="560" w:lineRule="exact"/>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河岸带情况调查于</w:t>
      </w:r>
      <w:r>
        <w:rPr>
          <w:rFonts w:hint="eastAsia" w:ascii="Times New Roman" w:hAnsi="Times New Roman" w:eastAsia="仿宋" w:cs="Times New Roman"/>
          <w:color w:val="auto"/>
          <w:sz w:val="28"/>
          <w:szCs w:val="28"/>
          <w:lang w:val="en-US" w:eastAsia="zh-CN"/>
        </w:rPr>
        <w:t>2021</w:t>
      </w:r>
      <w:r>
        <w:rPr>
          <w:rFonts w:ascii="Times New Roman" w:hAnsi="Times New Roman" w:eastAsia="仿宋" w:cs="Times New Roman"/>
          <w:color w:val="auto"/>
          <w:sz w:val="28"/>
          <w:szCs w:val="28"/>
        </w:rPr>
        <w:t>年</w:t>
      </w:r>
      <w:r>
        <w:rPr>
          <w:rFonts w:hint="eastAsia" w:ascii="Times New Roman" w:hAnsi="Times New Roman" w:eastAsia="仿宋" w:cs="Times New Roman"/>
          <w:color w:val="auto"/>
          <w:sz w:val="28"/>
          <w:szCs w:val="28"/>
          <w:lang w:val="en-US" w:eastAsia="zh-CN"/>
        </w:rPr>
        <w:t>11</w:t>
      </w:r>
      <w:r>
        <w:rPr>
          <w:rFonts w:ascii="Times New Roman" w:hAnsi="Times New Roman" w:eastAsia="仿宋" w:cs="Times New Roman"/>
          <w:color w:val="auto"/>
          <w:sz w:val="28"/>
          <w:szCs w:val="28"/>
        </w:rPr>
        <w:t>月</w:t>
      </w:r>
      <w:r>
        <w:rPr>
          <w:rFonts w:hint="eastAsia" w:ascii="Times New Roman" w:hAnsi="Times New Roman" w:eastAsia="仿宋" w:cs="Times New Roman"/>
          <w:color w:val="auto"/>
          <w:sz w:val="28"/>
          <w:szCs w:val="28"/>
          <w:lang w:val="en-US" w:eastAsia="zh-CN"/>
        </w:rPr>
        <w:t>-2021</w:t>
      </w:r>
      <w:r>
        <w:rPr>
          <w:rFonts w:hint="eastAsia" w:ascii="Times New Roman" w:hAnsi="Times New Roman" w:eastAsia="仿宋" w:cs="Times New Roman"/>
          <w:color w:val="auto"/>
          <w:sz w:val="28"/>
          <w:szCs w:val="28"/>
        </w:rPr>
        <w:t>年1</w:t>
      </w:r>
      <w:r>
        <w:rPr>
          <w:rFonts w:hint="eastAsia" w:ascii="Times New Roman" w:hAnsi="Times New Roman" w:eastAsia="仿宋" w:cs="Times New Roman"/>
          <w:color w:val="auto"/>
          <w:sz w:val="28"/>
          <w:szCs w:val="28"/>
          <w:lang w:val="en-US" w:eastAsia="zh-CN"/>
        </w:rPr>
        <w:t>2</w:t>
      </w:r>
      <w:r>
        <w:rPr>
          <w:rFonts w:hint="eastAsia" w:ascii="Times New Roman" w:hAnsi="Times New Roman" w:eastAsia="仿宋" w:cs="Times New Roman"/>
          <w:color w:val="auto"/>
          <w:sz w:val="28"/>
          <w:szCs w:val="28"/>
        </w:rPr>
        <w:t>月</w:t>
      </w:r>
      <w:r>
        <w:rPr>
          <w:rFonts w:ascii="Times New Roman" w:hAnsi="Times New Roman" w:eastAsia="仿宋" w:cs="Times New Roman"/>
          <w:color w:val="auto"/>
          <w:sz w:val="28"/>
          <w:szCs w:val="28"/>
        </w:rPr>
        <w:t>由</w:t>
      </w:r>
      <w:r>
        <w:rPr>
          <w:rFonts w:hint="eastAsia" w:ascii="Times New Roman" w:hAnsi="Times New Roman" w:eastAsia="仿宋" w:cs="Times New Roman"/>
          <w:color w:val="auto"/>
          <w:sz w:val="28"/>
          <w:szCs w:val="28"/>
          <w:lang w:eastAsia="zh-CN"/>
        </w:rPr>
        <w:t>桂林兴源水利科技有限责任公司</w:t>
      </w:r>
      <w:r>
        <w:rPr>
          <w:rFonts w:ascii="Times New Roman" w:hAnsi="Times New Roman" w:eastAsia="仿宋" w:cs="Times New Roman"/>
          <w:color w:val="auto"/>
          <w:sz w:val="28"/>
          <w:szCs w:val="28"/>
        </w:rPr>
        <w:t>派出人员实地考察并填写了河岸带调查表，其中包括了</w:t>
      </w:r>
      <w:r>
        <w:rPr>
          <w:rFonts w:hint="eastAsia" w:ascii="Times New Roman" w:hAnsi="Times New Roman" w:eastAsia="仿宋" w:cs="Times New Roman"/>
          <w:color w:val="auto"/>
          <w:sz w:val="28"/>
          <w:szCs w:val="28"/>
          <w:lang w:eastAsia="zh-CN"/>
        </w:rPr>
        <w:t>资江</w:t>
      </w:r>
      <w:r>
        <w:rPr>
          <w:rFonts w:ascii="Times New Roman" w:hAnsi="Times New Roman" w:eastAsia="仿宋" w:cs="Times New Roman"/>
          <w:color w:val="auto"/>
          <w:sz w:val="28"/>
          <w:szCs w:val="28"/>
        </w:rPr>
        <w:t>干流以及一级支流。现场调查横向为河岸带30米以内，纵向为调查点上下游视野范围，并且按左右岸分别进行调查和填写。</w:t>
      </w:r>
    </w:p>
    <w:p>
      <w:pPr>
        <w:spacing w:line="560" w:lineRule="exact"/>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lang w:eastAsia="zh-CN"/>
        </w:rPr>
        <w:t>资江流域</w:t>
      </w:r>
      <w:r>
        <w:rPr>
          <w:rFonts w:hint="eastAsia" w:ascii="Times New Roman" w:hAnsi="Times New Roman" w:eastAsia="仿宋" w:cs="Times New Roman"/>
          <w:color w:val="auto"/>
          <w:sz w:val="28"/>
          <w:szCs w:val="28"/>
        </w:rPr>
        <w:t>河岸带状况评估选用的调查点如表4.1.2-1，</w:t>
      </w:r>
      <w:r>
        <w:rPr>
          <w:rFonts w:hint="eastAsia" w:ascii="Times New Roman" w:hAnsi="Times New Roman" w:eastAsia="仿宋" w:cs="Times New Roman"/>
          <w:color w:val="auto"/>
          <w:sz w:val="28"/>
          <w:szCs w:val="28"/>
          <w:lang w:eastAsia="zh-CN"/>
        </w:rPr>
        <w:t>资江流域</w:t>
      </w:r>
      <w:r>
        <w:rPr>
          <w:rFonts w:hint="eastAsia" w:ascii="Times New Roman" w:hAnsi="Times New Roman" w:eastAsia="仿宋" w:cs="Times New Roman"/>
          <w:color w:val="auto"/>
          <w:sz w:val="28"/>
          <w:szCs w:val="28"/>
        </w:rPr>
        <w:t>河岸带调查表如表4.1.2-2。</w:t>
      </w:r>
    </w:p>
    <w:p>
      <w:pPr>
        <w:spacing w:line="560" w:lineRule="exact"/>
        <w:ind w:firstLine="562" w:firstLineChars="200"/>
        <w:rPr>
          <w:rFonts w:ascii="Times New Roman" w:hAnsi="Times New Roman" w:cs="Times New Roman"/>
          <w:b/>
          <w:color w:val="auto"/>
        </w:rPr>
      </w:pPr>
      <w:r>
        <w:rPr>
          <w:rFonts w:ascii="Times New Roman" w:hAnsi="Times New Roman" w:eastAsia="仿宋" w:cs="Times New Roman"/>
          <w:b/>
          <w:color w:val="auto"/>
          <w:sz w:val="28"/>
          <w:szCs w:val="28"/>
        </w:rPr>
        <w:t>表4.1.2-</w:t>
      </w:r>
      <w:r>
        <w:rPr>
          <w:rFonts w:hint="eastAsia" w:ascii="Times New Roman" w:hAnsi="Times New Roman" w:eastAsia="仿宋" w:cs="Times New Roman"/>
          <w:b/>
          <w:color w:val="auto"/>
          <w:sz w:val="28"/>
          <w:szCs w:val="28"/>
        </w:rPr>
        <w:t>1</w:t>
      </w:r>
      <w:r>
        <w:rPr>
          <w:rFonts w:ascii="Times New Roman" w:hAnsi="Times New Roman" w:eastAsia="仿宋" w:cs="Times New Roman"/>
          <w:b/>
          <w:color w:val="auto"/>
          <w:sz w:val="28"/>
          <w:szCs w:val="28"/>
        </w:rPr>
        <w:t xml:space="preserve">       </w:t>
      </w:r>
      <w:r>
        <w:rPr>
          <w:rFonts w:hint="eastAsia" w:ascii="Times New Roman" w:hAnsi="Times New Roman" w:eastAsia="仿宋" w:cs="Times New Roman"/>
          <w:b/>
          <w:color w:val="auto"/>
          <w:sz w:val="28"/>
          <w:szCs w:val="28"/>
        </w:rPr>
        <w:t xml:space="preserve"> </w:t>
      </w:r>
      <w:r>
        <w:rPr>
          <w:rFonts w:ascii="Times New Roman" w:hAnsi="Times New Roman" w:eastAsia="仿宋" w:cs="Times New Roman"/>
          <w:b/>
          <w:color w:val="auto"/>
          <w:sz w:val="28"/>
          <w:szCs w:val="28"/>
        </w:rPr>
        <w:t xml:space="preserve">   </w:t>
      </w:r>
      <w:r>
        <w:rPr>
          <w:rFonts w:hint="eastAsia" w:ascii="Times New Roman" w:hAnsi="Times New Roman" w:eastAsia="仿宋" w:cs="Times New Roman"/>
          <w:b/>
          <w:color w:val="auto"/>
          <w:sz w:val="28"/>
          <w:szCs w:val="28"/>
          <w:lang w:val="en-US" w:eastAsia="zh-CN"/>
        </w:rPr>
        <w:t xml:space="preserve">  </w:t>
      </w:r>
      <w:r>
        <w:rPr>
          <w:rFonts w:hint="eastAsia" w:ascii="Times New Roman" w:hAnsi="Times New Roman" w:eastAsia="仿宋" w:cs="Times New Roman"/>
          <w:b/>
          <w:color w:val="auto"/>
          <w:sz w:val="28"/>
          <w:szCs w:val="28"/>
          <w:lang w:eastAsia="zh-CN"/>
        </w:rPr>
        <w:t>资江流域</w:t>
      </w:r>
      <w:r>
        <w:rPr>
          <w:rFonts w:hint="eastAsia" w:ascii="Times New Roman" w:hAnsi="Times New Roman" w:eastAsia="仿宋" w:cs="Times New Roman"/>
          <w:b/>
          <w:color w:val="auto"/>
          <w:sz w:val="28"/>
          <w:szCs w:val="28"/>
        </w:rPr>
        <w:t>河岸带状况选用调查点</w:t>
      </w:r>
      <w:r>
        <w:rPr>
          <w:rFonts w:ascii="Times New Roman" w:hAnsi="Times New Roman" w:eastAsia="仿宋" w:cs="Times New Roman"/>
          <w:b/>
          <w:color w:val="auto"/>
          <w:sz w:val="28"/>
          <w:szCs w:val="28"/>
        </w:rPr>
        <w:t>表</w:t>
      </w:r>
    </w:p>
    <w:tbl>
      <w:tblPr>
        <w:tblStyle w:val="15"/>
        <w:tblW w:w="9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2091"/>
        <w:gridCol w:w="1401"/>
        <w:gridCol w:w="940"/>
        <w:gridCol w:w="824"/>
        <w:gridCol w:w="1286"/>
        <w:gridCol w:w="1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河段号</w:t>
            </w:r>
          </w:p>
        </w:tc>
        <w:tc>
          <w:tcPr>
            <w:tcW w:w="2091"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河段</w:t>
            </w:r>
          </w:p>
        </w:tc>
        <w:tc>
          <w:tcPr>
            <w:tcW w:w="1401"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位置</w:t>
            </w:r>
          </w:p>
        </w:tc>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东经</w:t>
            </w:r>
          </w:p>
        </w:tc>
        <w:tc>
          <w:tcPr>
            <w:tcW w:w="824"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北纬</w:t>
            </w:r>
          </w:p>
        </w:tc>
        <w:tc>
          <w:tcPr>
            <w:tcW w:w="1286"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调查时间</w:t>
            </w:r>
          </w:p>
        </w:tc>
        <w:tc>
          <w:tcPr>
            <w:tcW w:w="1861"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调查人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1 </w:t>
            </w:r>
          </w:p>
        </w:tc>
        <w:tc>
          <w:tcPr>
            <w:tcW w:w="2091" w:type="dxa"/>
            <w:shd w:val="clear" w:color="auto" w:fill="auto"/>
            <w:vAlign w:val="center"/>
          </w:tcPr>
          <w:p>
            <w:pPr>
              <w:widowControl/>
              <w:spacing w:line="380" w:lineRule="exact"/>
              <w:jc w:val="left"/>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eastAsia="zh-CN"/>
              </w:rPr>
              <w:t>资江</w:t>
            </w:r>
            <w:r>
              <w:rPr>
                <w:rFonts w:ascii="Times New Roman" w:hAnsi="Times New Roman" w:eastAsia="仿宋" w:cs="Times New Roman"/>
                <w:color w:val="auto"/>
                <w:kern w:val="0"/>
                <w:sz w:val="21"/>
                <w:szCs w:val="21"/>
              </w:rPr>
              <w:t>保护段</w:t>
            </w:r>
          </w:p>
        </w:tc>
        <w:tc>
          <w:tcPr>
            <w:tcW w:w="1401" w:type="dxa"/>
            <w:shd w:val="clear" w:color="auto" w:fill="auto"/>
            <w:vAlign w:val="center"/>
          </w:tcPr>
          <w:p>
            <w:pPr>
              <w:widowControl/>
              <w:spacing w:line="380" w:lineRule="exact"/>
              <w:jc w:val="center"/>
              <w:rPr>
                <w:rFonts w:hint="default"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枫木</w:t>
            </w:r>
          </w:p>
        </w:tc>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110.47 </w:t>
            </w:r>
          </w:p>
        </w:tc>
        <w:tc>
          <w:tcPr>
            <w:tcW w:w="824"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25.77 </w:t>
            </w:r>
          </w:p>
        </w:tc>
        <w:tc>
          <w:tcPr>
            <w:tcW w:w="1286"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2017/9/20</w:t>
            </w:r>
          </w:p>
        </w:tc>
        <w:tc>
          <w:tcPr>
            <w:tcW w:w="1861" w:type="dxa"/>
            <w:shd w:val="clear" w:color="auto" w:fill="auto"/>
            <w:vAlign w:val="center"/>
          </w:tcPr>
          <w:p>
            <w:pPr>
              <w:widowControl/>
              <w:spacing w:line="380" w:lineRule="exact"/>
              <w:jc w:val="center"/>
              <w:rPr>
                <w:rFonts w:hint="eastAsia" w:ascii="Times New Roman" w:hAnsi="Times New Roman" w:eastAsia="仿宋" w:cs="Times New Roman"/>
                <w:color w:val="auto"/>
                <w:kern w:val="0"/>
                <w:sz w:val="21"/>
                <w:szCs w:val="21"/>
                <w:lang w:eastAsia="zh-CN"/>
              </w:rPr>
            </w:pPr>
            <w:r>
              <w:rPr>
                <w:rFonts w:ascii="Times New Roman" w:hAnsi="Times New Roman" w:eastAsia="仿宋" w:cs="Times New Roman"/>
                <w:color w:val="auto"/>
                <w:kern w:val="0"/>
                <w:sz w:val="21"/>
                <w:szCs w:val="21"/>
              </w:rPr>
              <w:t>蒋杨明、</w:t>
            </w:r>
            <w:r>
              <w:rPr>
                <w:rFonts w:hint="eastAsia" w:ascii="Times New Roman" w:hAnsi="Times New Roman" w:eastAsia="仿宋" w:cs="Times New Roman"/>
                <w:color w:val="auto"/>
                <w:kern w:val="0"/>
                <w:sz w:val="21"/>
                <w:szCs w:val="21"/>
                <w:lang w:eastAsia="zh-CN"/>
              </w:rPr>
              <w:t>冯真万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2 </w:t>
            </w:r>
          </w:p>
        </w:tc>
        <w:tc>
          <w:tcPr>
            <w:tcW w:w="2091" w:type="dxa"/>
            <w:shd w:val="clear" w:color="auto" w:fill="auto"/>
            <w:vAlign w:val="center"/>
          </w:tcPr>
          <w:p>
            <w:pPr>
              <w:widowControl/>
              <w:spacing w:line="380" w:lineRule="exact"/>
              <w:jc w:val="left"/>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eastAsia="zh-CN"/>
              </w:rPr>
              <w:t>资江</w:t>
            </w:r>
            <w:r>
              <w:rPr>
                <w:rFonts w:hint="eastAsia" w:ascii="Times New Roman" w:hAnsi="Times New Roman" w:eastAsia="仿宋" w:cs="Times New Roman"/>
                <w:color w:val="auto"/>
                <w:kern w:val="0"/>
                <w:sz w:val="21"/>
                <w:szCs w:val="21"/>
                <w:lang w:val="en-US" w:eastAsia="zh-CN"/>
              </w:rPr>
              <w:t>中锋</w:t>
            </w:r>
            <w:r>
              <w:rPr>
                <w:rFonts w:ascii="Times New Roman" w:hAnsi="Times New Roman" w:eastAsia="仿宋" w:cs="Times New Roman"/>
                <w:color w:val="auto"/>
                <w:kern w:val="0"/>
                <w:sz w:val="21"/>
                <w:szCs w:val="21"/>
              </w:rPr>
              <w:t>段</w:t>
            </w:r>
          </w:p>
        </w:tc>
        <w:tc>
          <w:tcPr>
            <w:tcW w:w="1401"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中锋</w:t>
            </w:r>
          </w:p>
        </w:tc>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110.48 </w:t>
            </w:r>
          </w:p>
        </w:tc>
        <w:tc>
          <w:tcPr>
            <w:tcW w:w="824"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25.64 </w:t>
            </w:r>
          </w:p>
        </w:tc>
        <w:tc>
          <w:tcPr>
            <w:tcW w:w="1286"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2017/9/20</w:t>
            </w:r>
          </w:p>
        </w:tc>
        <w:tc>
          <w:tcPr>
            <w:tcW w:w="1861" w:type="dxa"/>
            <w:shd w:val="clear" w:color="auto" w:fill="auto"/>
            <w:vAlign w:val="center"/>
          </w:tcPr>
          <w:p>
            <w:pPr>
              <w:widowControl/>
              <w:spacing w:line="380" w:lineRule="exact"/>
              <w:jc w:val="center"/>
              <w:rPr>
                <w:rFonts w:hint="eastAsia" w:ascii="Times New Roman" w:hAnsi="Times New Roman" w:eastAsia="仿宋" w:cs="Times New Roman"/>
                <w:color w:val="auto"/>
                <w:kern w:val="0"/>
                <w:sz w:val="21"/>
                <w:szCs w:val="21"/>
                <w:lang w:eastAsia="zh-CN"/>
              </w:rPr>
            </w:pPr>
            <w:r>
              <w:rPr>
                <w:rFonts w:ascii="Times New Roman" w:hAnsi="Times New Roman" w:eastAsia="仿宋" w:cs="Times New Roman"/>
                <w:color w:val="auto"/>
                <w:kern w:val="0"/>
                <w:sz w:val="21"/>
                <w:szCs w:val="21"/>
              </w:rPr>
              <w:t>蒋杨明、</w:t>
            </w:r>
            <w:r>
              <w:rPr>
                <w:rFonts w:hint="eastAsia" w:ascii="Times New Roman" w:hAnsi="Times New Roman" w:eastAsia="仿宋" w:cs="Times New Roman"/>
                <w:color w:val="auto"/>
                <w:kern w:val="0"/>
                <w:sz w:val="21"/>
                <w:szCs w:val="21"/>
                <w:lang w:eastAsia="zh-CN"/>
              </w:rPr>
              <w:t>冯真万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3 </w:t>
            </w:r>
          </w:p>
        </w:tc>
        <w:tc>
          <w:tcPr>
            <w:tcW w:w="2091" w:type="dxa"/>
            <w:shd w:val="clear" w:color="auto" w:fill="auto"/>
            <w:vAlign w:val="center"/>
          </w:tcPr>
          <w:p>
            <w:pPr>
              <w:widowControl/>
              <w:spacing w:line="380" w:lineRule="exact"/>
              <w:jc w:val="left"/>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eastAsia="zh-CN"/>
              </w:rPr>
              <w:t>资江</w:t>
            </w:r>
            <w:r>
              <w:rPr>
                <w:rFonts w:hint="eastAsia" w:ascii="Times New Roman" w:hAnsi="Times New Roman" w:eastAsia="仿宋" w:cs="Times New Roman"/>
                <w:color w:val="auto"/>
                <w:kern w:val="0"/>
                <w:sz w:val="21"/>
                <w:szCs w:val="21"/>
                <w:lang w:val="en-US" w:eastAsia="zh-CN"/>
              </w:rPr>
              <w:t>县城</w:t>
            </w:r>
            <w:r>
              <w:rPr>
                <w:rFonts w:ascii="Times New Roman" w:hAnsi="Times New Roman" w:eastAsia="仿宋" w:cs="Times New Roman"/>
                <w:color w:val="auto"/>
                <w:kern w:val="0"/>
                <w:sz w:val="21"/>
                <w:szCs w:val="21"/>
              </w:rPr>
              <w:t>段</w:t>
            </w:r>
          </w:p>
        </w:tc>
        <w:tc>
          <w:tcPr>
            <w:tcW w:w="1401"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县城</w:t>
            </w:r>
          </w:p>
        </w:tc>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110.40 </w:t>
            </w:r>
          </w:p>
        </w:tc>
        <w:tc>
          <w:tcPr>
            <w:tcW w:w="824"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25.47 </w:t>
            </w:r>
          </w:p>
        </w:tc>
        <w:tc>
          <w:tcPr>
            <w:tcW w:w="1286"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2017/9/20</w:t>
            </w:r>
          </w:p>
        </w:tc>
        <w:tc>
          <w:tcPr>
            <w:tcW w:w="1861" w:type="dxa"/>
            <w:shd w:val="clear" w:color="auto" w:fill="auto"/>
            <w:vAlign w:val="center"/>
          </w:tcPr>
          <w:p>
            <w:pPr>
              <w:widowControl/>
              <w:spacing w:line="380" w:lineRule="exact"/>
              <w:jc w:val="center"/>
              <w:rPr>
                <w:rFonts w:hint="eastAsia" w:ascii="Times New Roman" w:hAnsi="Times New Roman" w:eastAsia="仿宋" w:cs="Times New Roman"/>
                <w:color w:val="auto"/>
                <w:kern w:val="0"/>
                <w:sz w:val="21"/>
                <w:szCs w:val="21"/>
                <w:lang w:eastAsia="zh-CN"/>
              </w:rPr>
            </w:pPr>
            <w:r>
              <w:rPr>
                <w:rFonts w:ascii="Times New Roman" w:hAnsi="Times New Roman" w:eastAsia="仿宋" w:cs="Times New Roman"/>
                <w:color w:val="auto"/>
                <w:kern w:val="0"/>
                <w:sz w:val="21"/>
                <w:szCs w:val="21"/>
              </w:rPr>
              <w:t>蒋杨明、</w:t>
            </w:r>
            <w:r>
              <w:rPr>
                <w:rFonts w:hint="eastAsia" w:ascii="Times New Roman" w:hAnsi="Times New Roman" w:eastAsia="仿宋" w:cs="Times New Roman"/>
                <w:color w:val="auto"/>
                <w:kern w:val="0"/>
                <w:sz w:val="21"/>
                <w:szCs w:val="21"/>
                <w:lang w:eastAsia="zh-CN"/>
              </w:rPr>
              <w:t>冯真万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4 </w:t>
            </w:r>
          </w:p>
        </w:tc>
        <w:tc>
          <w:tcPr>
            <w:tcW w:w="2091" w:type="dxa"/>
            <w:shd w:val="clear" w:color="auto" w:fill="auto"/>
            <w:vAlign w:val="center"/>
          </w:tcPr>
          <w:p>
            <w:pPr>
              <w:widowControl/>
              <w:spacing w:line="380" w:lineRule="exact"/>
              <w:jc w:val="left"/>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eastAsia="zh-CN"/>
              </w:rPr>
              <w:t>资江</w:t>
            </w:r>
            <w:r>
              <w:rPr>
                <w:rFonts w:hint="eastAsia" w:ascii="Times New Roman" w:hAnsi="Times New Roman" w:eastAsia="仿宋" w:cs="Times New Roman"/>
                <w:color w:val="auto"/>
                <w:kern w:val="0"/>
                <w:sz w:val="21"/>
                <w:szCs w:val="21"/>
                <w:lang w:val="en-US" w:eastAsia="zh-CN"/>
              </w:rPr>
              <w:t>梅溪</w:t>
            </w:r>
            <w:r>
              <w:rPr>
                <w:rFonts w:ascii="Times New Roman" w:hAnsi="Times New Roman" w:eastAsia="仿宋" w:cs="Times New Roman"/>
                <w:color w:val="auto"/>
                <w:kern w:val="0"/>
                <w:sz w:val="21"/>
                <w:szCs w:val="21"/>
              </w:rPr>
              <w:t>段</w:t>
            </w:r>
          </w:p>
        </w:tc>
        <w:tc>
          <w:tcPr>
            <w:tcW w:w="1401"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梅溪</w:t>
            </w:r>
          </w:p>
        </w:tc>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110.32 </w:t>
            </w:r>
          </w:p>
        </w:tc>
        <w:tc>
          <w:tcPr>
            <w:tcW w:w="824"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25.32 </w:t>
            </w:r>
          </w:p>
        </w:tc>
        <w:tc>
          <w:tcPr>
            <w:tcW w:w="1286"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2017/9/21</w:t>
            </w:r>
          </w:p>
        </w:tc>
        <w:tc>
          <w:tcPr>
            <w:tcW w:w="1861" w:type="dxa"/>
            <w:shd w:val="clear" w:color="auto" w:fill="auto"/>
            <w:vAlign w:val="center"/>
          </w:tcPr>
          <w:p>
            <w:pPr>
              <w:widowControl/>
              <w:spacing w:line="380" w:lineRule="exact"/>
              <w:jc w:val="center"/>
              <w:rPr>
                <w:rFonts w:hint="eastAsia" w:ascii="Times New Roman" w:hAnsi="Times New Roman" w:eastAsia="仿宋" w:cs="Times New Roman"/>
                <w:color w:val="auto"/>
                <w:kern w:val="0"/>
                <w:sz w:val="21"/>
                <w:szCs w:val="21"/>
                <w:lang w:eastAsia="zh-CN"/>
              </w:rPr>
            </w:pPr>
            <w:r>
              <w:rPr>
                <w:rFonts w:ascii="Times New Roman" w:hAnsi="Times New Roman" w:eastAsia="仿宋" w:cs="Times New Roman"/>
                <w:color w:val="auto"/>
                <w:kern w:val="0"/>
                <w:sz w:val="21"/>
                <w:szCs w:val="21"/>
              </w:rPr>
              <w:t>蒋杨明、</w:t>
            </w:r>
            <w:r>
              <w:rPr>
                <w:rFonts w:hint="eastAsia" w:ascii="Times New Roman" w:hAnsi="Times New Roman" w:eastAsia="仿宋" w:cs="Times New Roman"/>
                <w:color w:val="auto"/>
                <w:kern w:val="0"/>
                <w:sz w:val="21"/>
                <w:szCs w:val="21"/>
                <w:lang w:eastAsia="zh-CN"/>
              </w:rPr>
              <w:t>冯真万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5</w:t>
            </w:r>
            <w:r>
              <w:rPr>
                <w:rFonts w:ascii="Times New Roman" w:hAnsi="Times New Roman" w:eastAsia="仿宋" w:cs="Times New Roman"/>
                <w:color w:val="auto"/>
                <w:kern w:val="0"/>
                <w:sz w:val="21"/>
                <w:szCs w:val="21"/>
              </w:rPr>
              <w:t xml:space="preserve"> </w:t>
            </w:r>
          </w:p>
        </w:tc>
        <w:tc>
          <w:tcPr>
            <w:tcW w:w="2091" w:type="dxa"/>
            <w:shd w:val="clear" w:color="auto" w:fill="auto"/>
            <w:vAlign w:val="center"/>
          </w:tcPr>
          <w:p>
            <w:pPr>
              <w:widowControl/>
              <w:spacing w:line="380" w:lineRule="exact"/>
              <w:jc w:val="left"/>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eastAsia="zh-CN"/>
              </w:rPr>
              <w:t>白竹洞河</w:t>
            </w:r>
            <w:r>
              <w:rPr>
                <w:rFonts w:ascii="Times New Roman" w:hAnsi="Times New Roman" w:eastAsia="仿宋" w:cs="Times New Roman"/>
                <w:color w:val="auto"/>
                <w:kern w:val="0"/>
                <w:sz w:val="21"/>
                <w:szCs w:val="21"/>
              </w:rPr>
              <w:t>保护段</w:t>
            </w:r>
          </w:p>
        </w:tc>
        <w:tc>
          <w:tcPr>
            <w:tcW w:w="1401"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两岔河</w:t>
            </w:r>
          </w:p>
        </w:tc>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110.07 </w:t>
            </w:r>
          </w:p>
        </w:tc>
        <w:tc>
          <w:tcPr>
            <w:tcW w:w="824"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24.93 </w:t>
            </w:r>
          </w:p>
        </w:tc>
        <w:tc>
          <w:tcPr>
            <w:tcW w:w="1286"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2018/1/1</w:t>
            </w:r>
          </w:p>
        </w:tc>
        <w:tc>
          <w:tcPr>
            <w:tcW w:w="1861" w:type="dxa"/>
            <w:shd w:val="clear" w:color="auto" w:fill="auto"/>
            <w:vAlign w:val="center"/>
          </w:tcPr>
          <w:p>
            <w:pPr>
              <w:widowControl/>
              <w:spacing w:line="380" w:lineRule="exact"/>
              <w:jc w:val="center"/>
              <w:rPr>
                <w:rFonts w:hint="eastAsia" w:ascii="Times New Roman" w:hAnsi="Times New Roman" w:eastAsia="仿宋" w:cs="Times New Roman"/>
                <w:color w:val="auto"/>
                <w:kern w:val="0"/>
                <w:sz w:val="21"/>
                <w:szCs w:val="21"/>
                <w:lang w:eastAsia="zh-CN"/>
              </w:rPr>
            </w:pPr>
            <w:r>
              <w:rPr>
                <w:rFonts w:hint="eastAsia" w:ascii="Times New Roman" w:hAnsi="Times New Roman" w:eastAsia="仿宋" w:cs="Times New Roman"/>
                <w:color w:val="auto"/>
                <w:kern w:val="0"/>
                <w:sz w:val="21"/>
                <w:szCs w:val="21"/>
                <w:lang w:eastAsia="zh-CN"/>
              </w:rPr>
              <w:t>赵瑞年</w:t>
            </w:r>
            <w:r>
              <w:rPr>
                <w:rFonts w:ascii="Times New Roman" w:hAnsi="Times New Roman" w:eastAsia="仿宋" w:cs="Times New Roman"/>
                <w:color w:val="auto"/>
                <w:kern w:val="0"/>
                <w:sz w:val="21"/>
                <w:szCs w:val="21"/>
              </w:rPr>
              <w:t>、</w:t>
            </w:r>
            <w:r>
              <w:rPr>
                <w:rFonts w:hint="eastAsia" w:ascii="Times New Roman" w:hAnsi="Times New Roman" w:eastAsia="仿宋" w:cs="Times New Roman"/>
                <w:color w:val="auto"/>
                <w:kern w:val="0"/>
                <w:sz w:val="21"/>
                <w:szCs w:val="21"/>
                <w:lang w:eastAsia="zh-CN"/>
              </w:rPr>
              <w:t>冯真万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6</w:t>
            </w:r>
            <w:r>
              <w:rPr>
                <w:rFonts w:ascii="Times New Roman" w:hAnsi="Times New Roman" w:eastAsia="仿宋" w:cs="Times New Roman"/>
                <w:color w:val="auto"/>
                <w:kern w:val="0"/>
                <w:sz w:val="21"/>
                <w:szCs w:val="21"/>
              </w:rPr>
              <w:t xml:space="preserve"> </w:t>
            </w:r>
          </w:p>
        </w:tc>
        <w:tc>
          <w:tcPr>
            <w:tcW w:w="2091" w:type="dxa"/>
            <w:shd w:val="clear" w:color="auto" w:fill="auto"/>
            <w:vAlign w:val="center"/>
          </w:tcPr>
          <w:p>
            <w:pPr>
              <w:widowControl/>
              <w:spacing w:line="380" w:lineRule="exact"/>
              <w:jc w:val="left"/>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eastAsia="zh-CN"/>
              </w:rPr>
              <w:t>白竹洞河</w:t>
            </w:r>
            <w:r>
              <w:rPr>
                <w:rFonts w:ascii="Times New Roman" w:hAnsi="Times New Roman" w:eastAsia="仿宋" w:cs="Times New Roman"/>
                <w:color w:val="auto"/>
                <w:kern w:val="0"/>
                <w:sz w:val="21"/>
                <w:szCs w:val="21"/>
              </w:rPr>
              <w:t>保留段</w:t>
            </w:r>
          </w:p>
        </w:tc>
        <w:tc>
          <w:tcPr>
            <w:tcW w:w="1401"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龙虎</w:t>
            </w:r>
          </w:p>
        </w:tc>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110.95 </w:t>
            </w:r>
          </w:p>
        </w:tc>
        <w:tc>
          <w:tcPr>
            <w:tcW w:w="824"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25.08 </w:t>
            </w:r>
          </w:p>
        </w:tc>
        <w:tc>
          <w:tcPr>
            <w:tcW w:w="1286"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2018/1/1</w:t>
            </w:r>
          </w:p>
        </w:tc>
        <w:tc>
          <w:tcPr>
            <w:tcW w:w="1861" w:type="dxa"/>
            <w:shd w:val="clear" w:color="auto" w:fill="auto"/>
            <w:vAlign w:val="center"/>
          </w:tcPr>
          <w:p>
            <w:pPr>
              <w:widowControl/>
              <w:spacing w:line="380" w:lineRule="exact"/>
              <w:jc w:val="center"/>
              <w:rPr>
                <w:rFonts w:hint="eastAsia" w:ascii="Times New Roman" w:hAnsi="Times New Roman" w:eastAsia="仿宋" w:cs="Times New Roman"/>
                <w:color w:val="auto"/>
                <w:kern w:val="0"/>
                <w:sz w:val="21"/>
                <w:szCs w:val="21"/>
                <w:lang w:eastAsia="zh-CN"/>
              </w:rPr>
            </w:pPr>
            <w:r>
              <w:rPr>
                <w:rFonts w:hint="eastAsia" w:ascii="Times New Roman" w:hAnsi="Times New Roman" w:eastAsia="仿宋" w:cs="Times New Roman"/>
                <w:color w:val="auto"/>
                <w:kern w:val="0"/>
                <w:sz w:val="21"/>
                <w:szCs w:val="21"/>
                <w:lang w:eastAsia="zh-CN"/>
              </w:rPr>
              <w:t>赵瑞年</w:t>
            </w:r>
            <w:r>
              <w:rPr>
                <w:rFonts w:ascii="Times New Roman" w:hAnsi="Times New Roman" w:eastAsia="仿宋" w:cs="Times New Roman"/>
                <w:color w:val="auto"/>
                <w:kern w:val="0"/>
                <w:sz w:val="21"/>
                <w:szCs w:val="21"/>
              </w:rPr>
              <w:t>、</w:t>
            </w:r>
            <w:r>
              <w:rPr>
                <w:rFonts w:hint="eastAsia" w:ascii="Times New Roman" w:hAnsi="Times New Roman" w:eastAsia="仿宋" w:cs="Times New Roman"/>
                <w:color w:val="auto"/>
                <w:kern w:val="0"/>
                <w:sz w:val="21"/>
                <w:szCs w:val="21"/>
                <w:lang w:eastAsia="zh-CN"/>
              </w:rPr>
              <w:t>冯真万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7</w:t>
            </w:r>
          </w:p>
        </w:tc>
        <w:tc>
          <w:tcPr>
            <w:tcW w:w="2091" w:type="dxa"/>
            <w:shd w:val="clear" w:color="auto" w:fill="auto"/>
            <w:vAlign w:val="center"/>
          </w:tcPr>
          <w:p>
            <w:pPr>
              <w:widowControl/>
              <w:spacing w:line="380" w:lineRule="exact"/>
              <w:jc w:val="left"/>
              <w:rPr>
                <w:rFonts w:hint="default" w:ascii="Times New Roman" w:hAnsi="Times New Roman" w:eastAsia="仿宋" w:cs="Times New Roman"/>
                <w:color w:val="auto"/>
                <w:kern w:val="0"/>
                <w:sz w:val="21"/>
                <w:szCs w:val="21"/>
                <w:lang w:val="en-US"/>
              </w:rPr>
            </w:pPr>
            <w:r>
              <w:rPr>
                <w:rFonts w:hint="eastAsia" w:ascii="Times New Roman" w:hAnsi="Times New Roman" w:eastAsia="仿宋" w:cs="Times New Roman"/>
                <w:color w:val="auto"/>
                <w:kern w:val="0"/>
                <w:sz w:val="21"/>
                <w:szCs w:val="21"/>
                <w:lang w:eastAsia="zh-CN"/>
              </w:rPr>
              <w:t>白竹洞</w:t>
            </w:r>
            <w:r>
              <w:rPr>
                <w:rFonts w:hint="eastAsia" w:ascii="Times New Roman" w:hAnsi="Times New Roman" w:eastAsia="仿宋" w:cs="Times New Roman"/>
                <w:color w:val="auto"/>
                <w:kern w:val="0"/>
                <w:sz w:val="21"/>
                <w:szCs w:val="21"/>
                <w:lang w:val="en-US" w:eastAsia="zh-CN"/>
              </w:rPr>
              <w:t>开发利用段</w:t>
            </w:r>
          </w:p>
        </w:tc>
        <w:tc>
          <w:tcPr>
            <w:tcW w:w="1401"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白竹</w:t>
            </w:r>
          </w:p>
        </w:tc>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110.84 </w:t>
            </w:r>
          </w:p>
        </w:tc>
        <w:tc>
          <w:tcPr>
            <w:tcW w:w="824"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24.92 </w:t>
            </w:r>
          </w:p>
        </w:tc>
        <w:tc>
          <w:tcPr>
            <w:tcW w:w="1286"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2018/1/1</w:t>
            </w:r>
          </w:p>
        </w:tc>
        <w:tc>
          <w:tcPr>
            <w:tcW w:w="1861" w:type="dxa"/>
            <w:shd w:val="clear" w:color="auto" w:fill="auto"/>
            <w:vAlign w:val="center"/>
          </w:tcPr>
          <w:p>
            <w:pPr>
              <w:widowControl/>
              <w:spacing w:line="380" w:lineRule="exact"/>
              <w:jc w:val="center"/>
              <w:rPr>
                <w:rFonts w:hint="eastAsia" w:ascii="Times New Roman" w:hAnsi="Times New Roman" w:eastAsia="仿宋" w:cs="Times New Roman"/>
                <w:color w:val="auto"/>
                <w:kern w:val="0"/>
                <w:sz w:val="21"/>
                <w:szCs w:val="21"/>
                <w:lang w:eastAsia="zh-CN"/>
              </w:rPr>
            </w:pPr>
            <w:r>
              <w:rPr>
                <w:rFonts w:hint="eastAsia" w:ascii="Times New Roman" w:hAnsi="Times New Roman" w:eastAsia="仿宋" w:cs="Times New Roman"/>
                <w:color w:val="auto"/>
                <w:kern w:val="0"/>
                <w:sz w:val="21"/>
                <w:szCs w:val="21"/>
                <w:lang w:eastAsia="zh-CN"/>
              </w:rPr>
              <w:t>赵瑞年</w:t>
            </w:r>
            <w:r>
              <w:rPr>
                <w:rFonts w:ascii="Times New Roman" w:hAnsi="Times New Roman" w:eastAsia="仿宋" w:cs="Times New Roman"/>
                <w:color w:val="auto"/>
                <w:kern w:val="0"/>
                <w:sz w:val="21"/>
                <w:szCs w:val="21"/>
              </w:rPr>
              <w:t>、</w:t>
            </w:r>
            <w:r>
              <w:rPr>
                <w:rFonts w:hint="eastAsia" w:ascii="Times New Roman" w:hAnsi="Times New Roman" w:eastAsia="仿宋" w:cs="Times New Roman"/>
                <w:color w:val="auto"/>
                <w:kern w:val="0"/>
                <w:sz w:val="21"/>
                <w:szCs w:val="21"/>
                <w:lang w:eastAsia="zh-CN"/>
              </w:rPr>
              <w:t>冯真万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8</w:t>
            </w:r>
            <w:r>
              <w:rPr>
                <w:rFonts w:ascii="Times New Roman" w:hAnsi="Times New Roman" w:eastAsia="仿宋" w:cs="Times New Roman"/>
                <w:color w:val="auto"/>
                <w:kern w:val="0"/>
                <w:sz w:val="21"/>
                <w:szCs w:val="21"/>
              </w:rPr>
              <w:t xml:space="preserve"> </w:t>
            </w:r>
          </w:p>
        </w:tc>
        <w:tc>
          <w:tcPr>
            <w:tcW w:w="2091" w:type="dxa"/>
            <w:shd w:val="clear" w:color="auto" w:fill="auto"/>
            <w:vAlign w:val="center"/>
          </w:tcPr>
          <w:p>
            <w:pPr>
              <w:widowControl/>
              <w:spacing w:line="380" w:lineRule="exact"/>
              <w:jc w:val="left"/>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eastAsia="zh-CN"/>
              </w:rPr>
              <w:t>大湾河</w:t>
            </w:r>
            <w:r>
              <w:rPr>
                <w:rFonts w:ascii="Times New Roman" w:hAnsi="Times New Roman" w:eastAsia="仿宋" w:cs="Times New Roman"/>
                <w:color w:val="auto"/>
                <w:kern w:val="0"/>
                <w:sz w:val="21"/>
                <w:szCs w:val="21"/>
              </w:rPr>
              <w:t>保护段</w:t>
            </w:r>
          </w:p>
        </w:tc>
        <w:tc>
          <w:tcPr>
            <w:tcW w:w="1401"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金龙</w:t>
            </w:r>
          </w:p>
        </w:tc>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110.22 </w:t>
            </w:r>
          </w:p>
        </w:tc>
        <w:tc>
          <w:tcPr>
            <w:tcW w:w="824"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24.31 </w:t>
            </w:r>
          </w:p>
        </w:tc>
        <w:tc>
          <w:tcPr>
            <w:tcW w:w="1286"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2017/9/24</w:t>
            </w:r>
          </w:p>
        </w:tc>
        <w:tc>
          <w:tcPr>
            <w:tcW w:w="1861" w:type="dxa"/>
            <w:shd w:val="clear" w:color="auto" w:fill="auto"/>
            <w:vAlign w:val="center"/>
          </w:tcPr>
          <w:p>
            <w:pPr>
              <w:widowControl/>
              <w:spacing w:line="380" w:lineRule="exact"/>
              <w:jc w:val="center"/>
              <w:rPr>
                <w:rFonts w:hint="eastAsia" w:ascii="Times New Roman" w:hAnsi="Times New Roman" w:eastAsia="仿宋" w:cs="Times New Roman"/>
                <w:color w:val="auto"/>
                <w:kern w:val="0"/>
                <w:sz w:val="21"/>
                <w:szCs w:val="21"/>
                <w:lang w:eastAsia="zh-CN"/>
              </w:rPr>
            </w:pPr>
            <w:r>
              <w:rPr>
                <w:rFonts w:hint="eastAsia" w:ascii="Times New Roman" w:hAnsi="Times New Roman" w:eastAsia="仿宋" w:cs="Times New Roman"/>
                <w:color w:val="auto"/>
                <w:kern w:val="0"/>
                <w:sz w:val="21"/>
                <w:szCs w:val="21"/>
                <w:lang w:eastAsia="zh-CN"/>
              </w:rPr>
              <w:t>赵瑞年</w:t>
            </w:r>
            <w:r>
              <w:rPr>
                <w:rFonts w:ascii="Times New Roman" w:hAnsi="Times New Roman" w:eastAsia="仿宋" w:cs="Times New Roman"/>
                <w:color w:val="auto"/>
                <w:kern w:val="0"/>
                <w:sz w:val="21"/>
                <w:szCs w:val="21"/>
              </w:rPr>
              <w:t>、</w:t>
            </w:r>
            <w:r>
              <w:rPr>
                <w:rFonts w:hint="eastAsia" w:ascii="Times New Roman" w:hAnsi="Times New Roman" w:eastAsia="仿宋" w:cs="Times New Roman"/>
                <w:color w:val="auto"/>
                <w:kern w:val="0"/>
                <w:sz w:val="21"/>
                <w:szCs w:val="21"/>
                <w:lang w:eastAsia="zh-CN"/>
              </w:rPr>
              <w:t>冯真万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9</w:t>
            </w:r>
            <w:r>
              <w:rPr>
                <w:rFonts w:ascii="Times New Roman" w:hAnsi="Times New Roman" w:eastAsia="仿宋" w:cs="Times New Roman"/>
                <w:color w:val="auto"/>
                <w:kern w:val="0"/>
                <w:sz w:val="21"/>
                <w:szCs w:val="21"/>
              </w:rPr>
              <w:t xml:space="preserve"> </w:t>
            </w:r>
          </w:p>
        </w:tc>
        <w:tc>
          <w:tcPr>
            <w:tcW w:w="2091" w:type="dxa"/>
            <w:shd w:val="clear" w:color="auto" w:fill="auto"/>
            <w:vAlign w:val="center"/>
          </w:tcPr>
          <w:p>
            <w:pPr>
              <w:widowControl/>
              <w:spacing w:line="380" w:lineRule="exact"/>
              <w:jc w:val="left"/>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eastAsia="zh-CN"/>
              </w:rPr>
              <w:t>大湾河</w:t>
            </w:r>
            <w:r>
              <w:rPr>
                <w:rFonts w:hint="eastAsia" w:ascii="Times New Roman" w:hAnsi="Times New Roman" w:eastAsia="仿宋" w:cs="Times New Roman"/>
                <w:color w:val="auto"/>
                <w:kern w:val="0"/>
                <w:sz w:val="21"/>
                <w:szCs w:val="21"/>
                <w:lang w:val="en-US" w:eastAsia="zh-CN"/>
              </w:rPr>
              <w:t>保留段</w:t>
            </w:r>
          </w:p>
        </w:tc>
        <w:tc>
          <w:tcPr>
            <w:tcW w:w="1401"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益民</w:t>
            </w:r>
          </w:p>
        </w:tc>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110.40 </w:t>
            </w:r>
          </w:p>
        </w:tc>
        <w:tc>
          <w:tcPr>
            <w:tcW w:w="824"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24.49 </w:t>
            </w:r>
          </w:p>
        </w:tc>
        <w:tc>
          <w:tcPr>
            <w:tcW w:w="1286"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2017/9/24</w:t>
            </w:r>
          </w:p>
        </w:tc>
        <w:tc>
          <w:tcPr>
            <w:tcW w:w="1861" w:type="dxa"/>
            <w:shd w:val="clear" w:color="auto" w:fill="auto"/>
            <w:vAlign w:val="center"/>
          </w:tcPr>
          <w:p>
            <w:pPr>
              <w:widowControl/>
              <w:spacing w:line="380" w:lineRule="exact"/>
              <w:jc w:val="center"/>
              <w:rPr>
                <w:rFonts w:hint="eastAsia" w:ascii="Times New Roman" w:hAnsi="Times New Roman" w:eastAsia="仿宋" w:cs="Times New Roman"/>
                <w:color w:val="auto"/>
                <w:kern w:val="0"/>
                <w:sz w:val="21"/>
                <w:szCs w:val="21"/>
                <w:lang w:eastAsia="zh-CN"/>
              </w:rPr>
            </w:pPr>
            <w:r>
              <w:rPr>
                <w:rFonts w:hint="eastAsia" w:ascii="Times New Roman" w:hAnsi="Times New Roman" w:eastAsia="仿宋" w:cs="Times New Roman"/>
                <w:color w:val="auto"/>
                <w:kern w:val="0"/>
                <w:sz w:val="21"/>
                <w:szCs w:val="21"/>
                <w:lang w:eastAsia="zh-CN"/>
              </w:rPr>
              <w:t>赵瑞年</w:t>
            </w:r>
            <w:r>
              <w:rPr>
                <w:rFonts w:ascii="Times New Roman" w:hAnsi="Times New Roman" w:eastAsia="仿宋" w:cs="Times New Roman"/>
                <w:color w:val="auto"/>
                <w:kern w:val="0"/>
                <w:sz w:val="21"/>
                <w:szCs w:val="21"/>
              </w:rPr>
              <w:t>、</w:t>
            </w:r>
            <w:r>
              <w:rPr>
                <w:rFonts w:hint="eastAsia" w:ascii="Times New Roman" w:hAnsi="Times New Roman" w:eastAsia="仿宋" w:cs="Times New Roman"/>
                <w:color w:val="auto"/>
                <w:kern w:val="0"/>
                <w:sz w:val="21"/>
                <w:szCs w:val="21"/>
                <w:lang w:eastAsia="zh-CN"/>
              </w:rPr>
              <w:t>冯真万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10</w:t>
            </w:r>
          </w:p>
        </w:tc>
        <w:tc>
          <w:tcPr>
            <w:tcW w:w="2091" w:type="dxa"/>
            <w:shd w:val="clear" w:color="auto" w:fill="auto"/>
            <w:vAlign w:val="center"/>
          </w:tcPr>
          <w:p>
            <w:pPr>
              <w:widowControl/>
              <w:spacing w:line="380" w:lineRule="exact"/>
              <w:jc w:val="left"/>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eastAsia="zh-CN"/>
              </w:rPr>
              <w:t>大湾河</w:t>
            </w:r>
            <w:r>
              <w:rPr>
                <w:rFonts w:hint="eastAsia" w:ascii="Times New Roman" w:hAnsi="Times New Roman" w:eastAsia="仿宋" w:cs="Times New Roman"/>
                <w:color w:val="auto"/>
                <w:kern w:val="0"/>
                <w:sz w:val="21"/>
                <w:szCs w:val="21"/>
                <w:lang w:val="en-US" w:eastAsia="zh-CN"/>
              </w:rPr>
              <w:t>开发段</w:t>
            </w:r>
          </w:p>
        </w:tc>
        <w:tc>
          <w:tcPr>
            <w:tcW w:w="1401"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大湾</w:t>
            </w:r>
          </w:p>
        </w:tc>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110.39 </w:t>
            </w:r>
          </w:p>
        </w:tc>
        <w:tc>
          <w:tcPr>
            <w:tcW w:w="824"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24.49 </w:t>
            </w:r>
          </w:p>
        </w:tc>
        <w:tc>
          <w:tcPr>
            <w:tcW w:w="1286"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2017/9/24</w:t>
            </w:r>
          </w:p>
        </w:tc>
        <w:tc>
          <w:tcPr>
            <w:tcW w:w="1861" w:type="dxa"/>
            <w:shd w:val="clear" w:color="auto" w:fill="auto"/>
            <w:vAlign w:val="center"/>
          </w:tcPr>
          <w:p>
            <w:pPr>
              <w:widowControl/>
              <w:spacing w:line="380" w:lineRule="exact"/>
              <w:jc w:val="center"/>
              <w:rPr>
                <w:rFonts w:hint="eastAsia" w:ascii="Times New Roman" w:hAnsi="Times New Roman" w:eastAsia="仿宋" w:cs="Times New Roman"/>
                <w:color w:val="auto"/>
                <w:kern w:val="0"/>
                <w:sz w:val="21"/>
                <w:szCs w:val="21"/>
                <w:lang w:eastAsia="zh-CN"/>
              </w:rPr>
            </w:pPr>
            <w:r>
              <w:rPr>
                <w:rFonts w:hint="eastAsia" w:ascii="Times New Roman" w:hAnsi="Times New Roman" w:eastAsia="仿宋" w:cs="Times New Roman"/>
                <w:color w:val="auto"/>
                <w:kern w:val="0"/>
                <w:sz w:val="21"/>
                <w:szCs w:val="21"/>
                <w:lang w:eastAsia="zh-CN"/>
              </w:rPr>
              <w:t>赵瑞年</w:t>
            </w:r>
            <w:r>
              <w:rPr>
                <w:rFonts w:ascii="Times New Roman" w:hAnsi="Times New Roman" w:eastAsia="仿宋" w:cs="Times New Roman"/>
                <w:color w:val="auto"/>
                <w:kern w:val="0"/>
                <w:sz w:val="21"/>
                <w:szCs w:val="21"/>
              </w:rPr>
              <w:t>、</w:t>
            </w:r>
            <w:r>
              <w:rPr>
                <w:rFonts w:hint="eastAsia" w:ascii="Times New Roman" w:hAnsi="Times New Roman" w:eastAsia="仿宋" w:cs="Times New Roman"/>
                <w:color w:val="auto"/>
                <w:kern w:val="0"/>
                <w:sz w:val="21"/>
                <w:szCs w:val="21"/>
                <w:lang w:eastAsia="zh-CN"/>
              </w:rPr>
              <w:t>冯真万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11</w:t>
            </w:r>
          </w:p>
        </w:tc>
        <w:tc>
          <w:tcPr>
            <w:tcW w:w="2091" w:type="dxa"/>
            <w:shd w:val="clear" w:color="auto" w:fill="auto"/>
            <w:vAlign w:val="center"/>
          </w:tcPr>
          <w:p>
            <w:pPr>
              <w:widowControl/>
              <w:spacing w:line="380" w:lineRule="exact"/>
              <w:jc w:val="left"/>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eastAsia="zh-CN"/>
              </w:rPr>
              <w:t>瓜里河</w:t>
            </w:r>
            <w:r>
              <w:rPr>
                <w:rFonts w:ascii="Times New Roman" w:hAnsi="Times New Roman" w:eastAsia="仿宋" w:cs="Times New Roman"/>
                <w:color w:val="auto"/>
                <w:kern w:val="0"/>
                <w:sz w:val="21"/>
                <w:szCs w:val="21"/>
              </w:rPr>
              <w:t>保护段</w:t>
            </w:r>
          </w:p>
        </w:tc>
        <w:tc>
          <w:tcPr>
            <w:tcW w:w="1401" w:type="dxa"/>
            <w:shd w:val="clear" w:color="auto" w:fill="auto"/>
            <w:vAlign w:val="center"/>
          </w:tcPr>
          <w:p>
            <w:pPr>
              <w:widowControl/>
              <w:spacing w:line="380" w:lineRule="exact"/>
              <w:jc w:val="center"/>
              <w:rPr>
                <w:rFonts w:hint="eastAsia" w:ascii="Times New Roman" w:hAnsi="Times New Roman" w:eastAsia="仿宋" w:cs="Times New Roman"/>
                <w:color w:val="auto"/>
                <w:kern w:val="0"/>
                <w:sz w:val="21"/>
                <w:szCs w:val="21"/>
                <w:lang w:eastAsia="zh-CN"/>
              </w:rPr>
            </w:pPr>
            <w:r>
              <w:rPr>
                <w:rFonts w:hint="eastAsia" w:ascii="Times New Roman" w:hAnsi="Times New Roman" w:eastAsia="仿宋" w:cs="Times New Roman"/>
                <w:color w:val="auto"/>
                <w:kern w:val="0"/>
                <w:sz w:val="21"/>
                <w:szCs w:val="21"/>
                <w:lang w:val="en-US" w:eastAsia="zh-CN"/>
              </w:rPr>
              <w:t>双华江</w:t>
            </w:r>
          </w:p>
        </w:tc>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111.16 </w:t>
            </w:r>
          </w:p>
        </w:tc>
        <w:tc>
          <w:tcPr>
            <w:tcW w:w="824"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24.70 </w:t>
            </w:r>
          </w:p>
        </w:tc>
        <w:tc>
          <w:tcPr>
            <w:tcW w:w="1286"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2018/1/1</w:t>
            </w:r>
          </w:p>
        </w:tc>
        <w:tc>
          <w:tcPr>
            <w:tcW w:w="1861"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张永锋、周新智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12</w:t>
            </w:r>
          </w:p>
        </w:tc>
        <w:tc>
          <w:tcPr>
            <w:tcW w:w="2091" w:type="dxa"/>
            <w:shd w:val="clear" w:color="auto" w:fill="auto"/>
            <w:vAlign w:val="center"/>
          </w:tcPr>
          <w:p>
            <w:pPr>
              <w:widowControl/>
              <w:spacing w:line="380" w:lineRule="exact"/>
              <w:jc w:val="left"/>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eastAsia="zh-CN"/>
              </w:rPr>
              <w:t>瓜里河</w:t>
            </w:r>
            <w:r>
              <w:rPr>
                <w:rFonts w:ascii="Times New Roman" w:hAnsi="Times New Roman" w:eastAsia="仿宋" w:cs="Times New Roman"/>
                <w:color w:val="auto"/>
                <w:kern w:val="0"/>
                <w:sz w:val="21"/>
                <w:szCs w:val="21"/>
              </w:rPr>
              <w:t>保留段</w:t>
            </w:r>
          </w:p>
        </w:tc>
        <w:tc>
          <w:tcPr>
            <w:tcW w:w="1401"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白水</w:t>
            </w:r>
          </w:p>
        </w:tc>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111.18 </w:t>
            </w:r>
          </w:p>
        </w:tc>
        <w:tc>
          <w:tcPr>
            <w:tcW w:w="824"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24.60 </w:t>
            </w:r>
          </w:p>
        </w:tc>
        <w:tc>
          <w:tcPr>
            <w:tcW w:w="1286"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2018/1/1</w:t>
            </w:r>
          </w:p>
        </w:tc>
        <w:tc>
          <w:tcPr>
            <w:tcW w:w="1861"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张永锋、周新智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13</w:t>
            </w:r>
            <w:r>
              <w:rPr>
                <w:rFonts w:ascii="Times New Roman" w:hAnsi="Times New Roman" w:eastAsia="仿宋" w:cs="Times New Roman"/>
                <w:color w:val="auto"/>
                <w:kern w:val="0"/>
                <w:sz w:val="21"/>
                <w:szCs w:val="21"/>
              </w:rPr>
              <w:t xml:space="preserve"> </w:t>
            </w:r>
          </w:p>
        </w:tc>
        <w:tc>
          <w:tcPr>
            <w:tcW w:w="2091" w:type="dxa"/>
            <w:shd w:val="clear" w:color="auto" w:fill="auto"/>
            <w:vAlign w:val="center"/>
          </w:tcPr>
          <w:p>
            <w:pPr>
              <w:widowControl/>
              <w:spacing w:line="380" w:lineRule="exact"/>
              <w:jc w:val="left"/>
              <w:rPr>
                <w:rFonts w:hint="default"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eastAsia="zh-CN"/>
              </w:rPr>
              <w:t>瓜里河</w:t>
            </w:r>
            <w:r>
              <w:rPr>
                <w:rFonts w:hint="eastAsia" w:ascii="Times New Roman" w:hAnsi="Times New Roman" w:eastAsia="仿宋" w:cs="Times New Roman"/>
                <w:color w:val="auto"/>
                <w:kern w:val="0"/>
                <w:sz w:val="21"/>
                <w:szCs w:val="21"/>
                <w:lang w:val="en-US" w:eastAsia="zh-CN"/>
              </w:rPr>
              <w:t>开发段</w:t>
            </w:r>
          </w:p>
        </w:tc>
        <w:tc>
          <w:tcPr>
            <w:tcW w:w="1401"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瓜里、梅溪</w:t>
            </w:r>
          </w:p>
        </w:tc>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111.07 </w:t>
            </w:r>
          </w:p>
        </w:tc>
        <w:tc>
          <w:tcPr>
            <w:tcW w:w="824"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24.40 </w:t>
            </w:r>
          </w:p>
        </w:tc>
        <w:tc>
          <w:tcPr>
            <w:tcW w:w="1286"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2018/1/1</w:t>
            </w:r>
          </w:p>
        </w:tc>
        <w:tc>
          <w:tcPr>
            <w:tcW w:w="1861"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张永锋、周新智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14</w:t>
            </w:r>
            <w:r>
              <w:rPr>
                <w:rFonts w:ascii="Times New Roman" w:hAnsi="Times New Roman" w:eastAsia="仿宋" w:cs="Times New Roman"/>
                <w:color w:val="auto"/>
                <w:kern w:val="0"/>
                <w:sz w:val="21"/>
                <w:szCs w:val="21"/>
              </w:rPr>
              <w:t xml:space="preserve"> </w:t>
            </w:r>
          </w:p>
        </w:tc>
        <w:tc>
          <w:tcPr>
            <w:tcW w:w="2091" w:type="dxa"/>
            <w:shd w:val="clear" w:color="auto" w:fill="auto"/>
            <w:vAlign w:val="center"/>
          </w:tcPr>
          <w:p>
            <w:pPr>
              <w:widowControl/>
              <w:spacing w:line="380" w:lineRule="exact"/>
              <w:jc w:val="left"/>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eastAsia="zh-CN"/>
              </w:rPr>
              <w:t>木厂水</w:t>
            </w:r>
            <w:r>
              <w:rPr>
                <w:rFonts w:ascii="Times New Roman" w:hAnsi="Times New Roman" w:eastAsia="仿宋" w:cs="Times New Roman"/>
                <w:color w:val="auto"/>
                <w:kern w:val="0"/>
                <w:sz w:val="21"/>
                <w:szCs w:val="21"/>
              </w:rPr>
              <w:t>段</w:t>
            </w:r>
          </w:p>
        </w:tc>
        <w:tc>
          <w:tcPr>
            <w:tcW w:w="1401"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木厂</w:t>
            </w:r>
          </w:p>
        </w:tc>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111.32 </w:t>
            </w:r>
          </w:p>
        </w:tc>
        <w:tc>
          <w:tcPr>
            <w:tcW w:w="824"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24.25 </w:t>
            </w:r>
          </w:p>
        </w:tc>
        <w:tc>
          <w:tcPr>
            <w:tcW w:w="1286"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2018/1/2</w:t>
            </w:r>
          </w:p>
        </w:tc>
        <w:tc>
          <w:tcPr>
            <w:tcW w:w="1861"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张永锋、周新智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1</w:t>
            </w:r>
            <w:r>
              <w:rPr>
                <w:rFonts w:ascii="Times New Roman" w:hAnsi="Times New Roman" w:eastAsia="仿宋" w:cs="Times New Roman"/>
                <w:color w:val="auto"/>
                <w:kern w:val="0"/>
                <w:sz w:val="21"/>
                <w:szCs w:val="21"/>
              </w:rPr>
              <w:t xml:space="preserve">5 </w:t>
            </w:r>
          </w:p>
        </w:tc>
        <w:tc>
          <w:tcPr>
            <w:tcW w:w="2091" w:type="dxa"/>
            <w:shd w:val="clear" w:color="auto" w:fill="auto"/>
            <w:vAlign w:val="center"/>
          </w:tcPr>
          <w:p>
            <w:pPr>
              <w:widowControl/>
              <w:spacing w:line="380" w:lineRule="exact"/>
              <w:jc w:val="left"/>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高山溪</w:t>
            </w:r>
            <w:r>
              <w:rPr>
                <w:rFonts w:ascii="Times New Roman" w:hAnsi="Times New Roman" w:eastAsia="仿宋" w:cs="Times New Roman"/>
                <w:color w:val="auto"/>
                <w:kern w:val="0"/>
                <w:sz w:val="21"/>
                <w:szCs w:val="21"/>
              </w:rPr>
              <w:t>段</w:t>
            </w:r>
          </w:p>
        </w:tc>
        <w:tc>
          <w:tcPr>
            <w:tcW w:w="1401"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高山村</w:t>
            </w:r>
          </w:p>
        </w:tc>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111.26 </w:t>
            </w:r>
          </w:p>
        </w:tc>
        <w:tc>
          <w:tcPr>
            <w:tcW w:w="824"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24.16 </w:t>
            </w:r>
          </w:p>
        </w:tc>
        <w:tc>
          <w:tcPr>
            <w:tcW w:w="1286"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2018/1/2</w:t>
            </w:r>
          </w:p>
        </w:tc>
        <w:tc>
          <w:tcPr>
            <w:tcW w:w="1861"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张永锋、周新智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1</w:t>
            </w:r>
            <w:r>
              <w:rPr>
                <w:rFonts w:ascii="Times New Roman" w:hAnsi="Times New Roman" w:eastAsia="仿宋" w:cs="Times New Roman"/>
                <w:color w:val="auto"/>
                <w:kern w:val="0"/>
                <w:sz w:val="21"/>
                <w:szCs w:val="21"/>
              </w:rPr>
              <w:t xml:space="preserve">6 </w:t>
            </w:r>
          </w:p>
        </w:tc>
        <w:tc>
          <w:tcPr>
            <w:tcW w:w="2091" w:type="dxa"/>
            <w:shd w:val="clear" w:color="auto" w:fill="auto"/>
            <w:vAlign w:val="center"/>
          </w:tcPr>
          <w:p>
            <w:pPr>
              <w:widowControl/>
              <w:spacing w:line="380" w:lineRule="exact"/>
              <w:jc w:val="left"/>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义林河</w:t>
            </w:r>
          </w:p>
        </w:tc>
        <w:tc>
          <w:tcPr>
            <w:tcW w:w="1401"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val="en-US" w:eastAsia="zh-CN"/>
              </w:rPr>
              <w:t>义林</w:t>
            </w:r>
          </w:p>
        </w:tc>
        <w:tc>
          <w:tcPr>
            <w:tcW w:w="940"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111.13 </w:t>
            </w:r>
          </w:p>
        </w:tc>
        <w:tc>
          <w:tcPr>
            <w:tcW w:w="824"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24.02 </w:t>
            </w:r>
          </w:p>
        </w:tc>
        <w:tc>
          <w:tcPr>
            <w:tcW w:w="1286"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2018/1/2</w:t>
            </w:r>
          </w:p>
        </w:tc>
        <w:tc>
          <w:tcPr>
            <w:tcW w:w="1861" w:type="dxa"/>
            <w:shd w:val="clear" w:color="auto" w:fill="auto"/>
            <w:vAlign w:val="center"/>
          </w:tcPr>
          <w:p>
            <w:pPr>
              <w:widowControl/>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张永锋、周新智</w:t>
            </w:r>
          </w:p>
        </w:tc>
      </w:tr>
    </w:tbl>
    <w:p>
      <w:pPr>
        <w:spacing w:line="560" w:lineRule="exact"/>
        <w:ind w:firstLine="560" w:firstLineChars="200"/>
        <w:rPr>
          <w:rFonts w:ascii="Times New Roman" w:hAnsi="Times New Roman" w:eastAsia="仿宋" w:cs="Times New Roman"/>
          <w:color w:val="auto"/>
          <w:sz w:val="28"/>
          <w:szCs w:val="28"/>
        </w:rPr>
        <w:sectPr>
          <w:pgSz w:w="11906" w:h="16838"/>
          <w:pgMar w:top="1361" w:right="1361" w:bottom="1474" w:left="1418" w:header="1021" w:footer="964" w:gutter="0"/>
          <w:cols w:space="425" w:num="1"/>
          <w:docGrid w:linePitch="312" w:charSpace="0"/>
        </w:sectPr>
      </w:pPr>
    </w:p>
    <w:tbl>
      <w:tblPr>
        <w:tblStyle w:val="15"/>
        <w:tblW w:w="142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0"/>
        <w:gridCol w:w="1707"/>
        <w:gridCol w:w="333"/>
        <w:gridCol w:w="564"/>
        <w:gridCol w:w="287"/>
        <w:gridCol w:w="861"/>
        <w:gridCol w:w="131"/>
        <w:gridCol w:w="1017"/>
        <w:gridCol w:w="878"/>
        <w:gridCol w:w="952"/>
        <w:gridCol w:w="925"/>
        <w:gridCol w:w="925"/>
        <w:gridCol w:w="925"/>
        <w:gridCol w:w="979"/>
        <w:gridCol w:w="925"/>
        <w:gridCol w:w="925"/>
        <w:gridCol w:w="9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4219" w:type="dxa"/>
            <w:gridSpan w:val="17"/>
            <w:shd w:val="clear" w:color="auto" w:fill="auto"/>
            <w:vAlign w:val="center"/>
          </w:tcPr>
          <w:p>
            <w:pPr>
              <w:widowControl/>
              <w:spacing w:line="380" w:lineRule="exact"/>
              <w:jc w:val="center"/>
              <w:rPr>
                <w:rFonts w:ascii="Times New Roman" w:hAnsi="Times New Roman" w:eastAsia="仿宋" w:cs="Times New Roman"/>
                <w:b/>
                <w:bCs/>
                <w:color w:val="auto"/>
                <w:kern w:val="0"/>
                <w:sz w:val="28"/>
                <w:szCs w:val="28"/>
              </w:rPr>
            </w:pPr>
            <w:r>
              <w:rPr>
                <w:rFonts w:ascii="Times New Roman" w:hAnsi="Times New Roman" w:eastAsia="仿宋" w:cs="Times New Roman"/>
                <w:b/>
                <w:bCs/>
                <w:color w:val="auto"/>
                <w:kern w:val="0"/>
                <w:sz w:val="28"/>
                <w:szCs w:val="28"/>
              </w:rPr>
              <w:t xml:space="preserve">表4.1.2-2      </w:t>
            </w:r>
            <w:r>
              <w:rPr>
                <w:rFonts w:hint="eastAsia" w:ascii="Times New Roman" w:hAnsi="Times New Roman" w:eastAsia="仿宋" w:cs="Times New Roman"/>
                <w:b/>
                <w:bCs/>
                <w:color w:val="auto"/>
                <w:kern w:val="0"/>
                <w:sz w:val="28"/>
                <w:szCs w:val="28"/>
                <w:lang w:eastAsia="zh-CN"/>
              </w:rPr>
              <w:t>资江</w:t>
            </w:r>
            <w:r>
              <w:rPr>
                <w:rFonts w:ascii="Times New Roman" w:hAnsi="Times New Roman" w:eastAsia="仿宋" w:cs="Times New Roman"/>
                <w:b/>
                <w:bCs/>
                <w:color w:val="auto"/>
                <w:kern w:val="0"/>
                <w:sz w:val="28"/>
                <w:szCs w:val="28"/>
              </w:rPr>
              <w:t>河湖健康评估河岸带调查表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河段名称</w:t>
            </w:r>
          </w:p>
        </w:tc>
        <w:tc>
          <w:tcPr>
            <w:tcW w:w="5778" w:type="dxa"/>
            <w:gridSpan w:val="8"/>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hint="eastAsia" w:ascii="Times New Roman" w:hAnsi="Times New Roman" w:eastAsia="仿宋" w:cs="Times New Roman"/>
                <w:color w:val="auto"/>
                <w:kern w:val="0"/>
                <w:sz w:val="18"/>
                <w:szCs w:val="18"/>
                <w:lang w:eastAsia="zh-CN"/>
              </w:rPr>
              <w:t>资江</w:t>
            </w:r>
            <w:r>
              <w:rPr>
                <w:rFonts w:hint="eastAsia" w:ascii="Times New Roman" w:hAnsi="Times New Roman" w:eastAsia="仿宋" w:cs="Times New Roman"/>
                <w:color w:val="auto"/>
                <w:kern w:val="0"/>
                <w:sz w:val="18"/>
                <w:szCs w:val="18"/>
                <w:lang w:val="en-US" w:eastAsia="zh-CN"/>
              </w:rPr>
              <w:t>中锋</w:t>
            </w:r>
            <w:r>
              <w:rPr>
                <w:rFonts w:ascii="Times New Roman" w:hAnsi="Times New Roman" w:eastAsia="仿宋" w:cs="Times New Roman"/>
                <w:color w:val="auto"/>
                <w:kern w:val="0"/>
                <w:sz w:val="18"/>
                <w:szCs w:val="18"/>
              </w:rPr>
              <w:t>段</w:t>
            </w:r>
          </w:p>
        </w:tc>
        <w:tc>
          <w:tcPr>
            <w:tcW w:w="187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调查时间</w:t>
            </w:r>
          </w:p>
        </w:tc>
        <w:tc>
          <w:tcPr>
            <w:tcW w:w="185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2017/9/21</w:t>
            </w:r>
          </w:p>
        </w:tc>
        <w:tc>
          <w:tcPr>
            <w:tcW w:w="1904"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填表人</w:t>
            </w:r>
          </w:p>
        </w:tc>
        <w:tc>
          <w:tcPr>
            <w:tcW w:w="1850" w:type="dxa"/>
            <w:gridSpan w:val="2"/>
            <w:shd w:val="clear" w:color="auto" w:fill="auto"/>
            <w:vAlign w:val="center"/>
          </w:tcPr>
          <w:p>
            <w:pPr>
              <w:widowControl/>
              <w:spacing w:line="288" w:lineRule="exact"/>
              <w:jc w:val="center"/>
              <w:rPr>
                <w:rFonts w:hint="eastAsia" w:ascii="Times New Roman" w:hAnsi="Times New Roman" w:eastAsia="仿宋" w:cs="Times New Roman"/>
                <w:color w:val="auto"/>
                <w:kern w:val="0"/>
                <w:sz w:val="18"/>
                <w:szCs w:val="18"/>
                <w:lang w:eastAsia="zh-CN"/>
              </w:rPr>
            </w:pPr>
            <w:r>
              <w:rPr>
                <w:rFonts w:ascii="Times New Roman" w:hAnsi="Times New Roman" w:eastAsia="仿宋" w:cs="Times New Roman"/>
                <w:color w:val="auto"/>
                <w:kern w:val="0"/>
                <w:sz w:val="18"/>
                <w:szCs w:val="18"/>
              </w:rPr>
              <w:t>蒋杨明、</w:t>
            </w:r>
            <w:r>
              <w:rPr>
                <w:rFonts w:hint="eastAsia" w:ascii="Times New Roman" w:hAnsi="Times New Roman" w:eastAsia="仿宋" w:cs="Times New Roman"/>
                <w:color w:val="auto"/>
                <w:kern w:val="0"/>
                <w:sz w:val="18"/>
                <w:szCs w:val="18"/>
                <w:lang w:eastAsia="zh-CN"/>
              </w:rPr>
              <w:t>冯真万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二级指标</w:t>
            </w:r>
          </w:p>
        </w:tc>
        <w:tc>
          <w:tcPr>
            <w:tcW w:w="1707"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岸坡特征</w:t>
            </w:r>
          </w:p>
        </w:tc>
        <w:tc>
          <w:tcPr>
            <w:tcW w:w="897"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稳定（90）</w:t>
            </w:r>
          </w:p>
        </w:tc>
        <w:tc>
          <w:tcPr>
            <w:tcW w:w="1148"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基本稳定（75）</w:t>
            </w:r>
          </w:p>
        </w:tc>
        <w:tc>
          <w:tcPr>
            <w:tcW w:w="1148"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次不稳定（25）</w:t>
            </w:r>
          </w:p>
        </w:tc>
        <w:tc>
          <w:tcPr>
            <w:tcW w:w="878"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不稳定（0）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调查点1</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调查点2</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调查点3</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110.474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25.773</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110.477</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25.64</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110.398</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25.4742</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110.319</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25.319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河岸稳定性（BKS）</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斜坡倾角（度）（&lt;）</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植被覆盖度（%）（&gt;）</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75%</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80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80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80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80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岸坡高度（米）（&lt;）</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河岸基质（类别）</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岩土河岸</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黏土河岸</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非黏土河岸</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坡脚冲刷强度</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无冲刷迹象</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轻度冲刷</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中度冲刷</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冲刷</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轻度冲刷</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轻度冲刷</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河岸植被覆盖度（RVS）</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植被特性</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稀疏</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中度覆盖</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重度覆盖</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极重度覆盖</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乔木（TCr）</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灌木（SCr）</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草本</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河岸带人工干扰程度（RD）</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人类活动类型</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赋分</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河岸硬性砌护</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采砂</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沿岸建筑物（房屋）</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公路（或铁路）</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垃圾填埋场或垃圾堆放</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河滨公园</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管道</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农业耕种</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畜牧养殖</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9" w:type="dxa"/>
            <w:gridSpan w:val="17"/>
            <w:shd w:val="clear" w:color="auto" w:fill="auto"/>
            <w:vAlign w:val="center"/>
          </w:tcPr>
          <w:p>
            <w:pPr>
              <w:widowControl/>
              <w:spacing w:line="288"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备注：经纬度为10进制度数。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河段名称</w:t>
            </w:r>
          </w:p>
        </w:tc>
        <w:tc>
          <w:tcPr>
            <w:tcW w:w="5778" w:type="dxa"/>
            <w:gridSpan w:val="8"/>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hint="eastAsia" w:ascii="Times New Roman" w:hAnsi="Times New Roman" w:eastAsia="仿宋" w:cs="Times New Roman"/>
                <w:color w:val="auto"/>
                <w:kern w:val="0"/>
                <w:sz w:val="18"/>
                <w:szCs w:val="18"/>
                <w:lang w:eastAsia="zh-CN"/>
              </w:rPr>
              <w:t>资江</w:t>
            </w:r>
            <w:r>
              <w:rPr>
                <w:rFonts w:hint="eastAsia" w:ascii="Times New Roman" w:hAnsi="Times New Roman" w:eastAsia="仿宋" w:cs="Times New Roman"/>
                <w:color w:val="auto"/>
                <w:kern w:val="0"/>
                <w:sz w:val="18"/>
                <w:szCs w:val="18"/>
                <w:lang w:val="en-US" w:eastAsia="zh-CN"/>
              </w:rPr>
              <w:t>县城</w:t>
            </w:r>
            <w:r>
              <w:rPr>
                <w:rFonts w:ascii="Times New Roman" w:hAnsi="Times New Roman" w:eastAsia="仿宋" w:cs="Times New Roman"/>
                <w:color w:val="auto"/>
                <w:kern w:val="0"/>
                <w:sz w:val="18"/>
                <w:szCs w:val="18"/>
              </w:rPr>
              <w:t>段</w:t>
            </w:r>
          </w:p>
        </w:tc>
        <w:tc>
          <w:tcPr>
            <w:tcW w:w="187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调查时间</w:t>
            </w:r>
          </w:p>
        </w:tc>
        <w:tc>
          <w:tcPr>
            <w:tcW w:w="185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2017/9/22</w:t>
            </w:r>
          </w:p>
        </w:tc>
        <w:tc>
          <w:tcPr>
            <w:tcW w:w="1904"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填表人</w:t>
            </w:r>
          </w:p>
        </w:tc>
        <w:tc>
          <w:tcPr>
            <w:tcW w:w="1850" w:type="dxa"/>
            <w:gridSpan w:val="2"/>
            <w:shd w:val="clear" w:color="auto" w:fill="auto"/>
            <w:vAlign w:val="center"/>
          </w:tcPr>
          <w:p>
            <w:pPr>
              <w:widowControl/>
              <w:spacing w:line="288" w:lineRule="exact"/>
              <w:jc w:val="center"/>
              <w:rPr>
                <w:rFonts w:hint="eastAsia" w:ascii="Times New Roman" w:hAnsi="Times New Roman" w:eastAsia="仿宋" w:cs="Times New Roman"/>
                <w:color w:val="auto"/>
                <w:kern w:val="0"/>
                <w:sz w:val="18"/>
                <w:szCs w:val="18"/>
                <w:lang w:eastAsia="zh-CN"/>
              </w:rPr>
            </w:pPr>
            <w:r>
              <w:rPr>
                <w:rFonts w:ascii="Times New Roman" w:hAnsi="Times New Roman" w:eastAsia="仿宋" w:cs="Times New Roman"/>
                <w:color w:val="auto"/>
                <w:kern w:val="0"/>
                <w:sz w:val="18"/>
                <w:szCs w:val="18"/>
              </w:rPr>
              <w:t>蒋杨明、</w:t>
            </w:r>
            <w:r>
              <w:rPr>
                <w:rFonts w:hint="eastAsia" w:ascii="Times New Roman" w:hAnsi="Times New Roman" w:eastAsia="仿宋" w:cs="Times New Roman"/>
                <w:color w:val="auto"/>
                <w:kern w:val="0"/>
                <w:sz w:val="18"/>
                <w:szCs w:val="18"/>
                <w:lang w:eastAsia="zh-CN"/>
              </w:rPr>
              <w:t>冯真万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二级指标</w:t>
            </w:r>
          </w:p>
        </w:tc>
        <w:tc>
          <w:tcPr>
            <w:tcW w:w="1707"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岸坡特征</w:t>
            </w:r>
          </w:p>
        </w:tc>
        <w:tc>
          <w:tcPr>
            <w:tcW w:w="897"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稳定（90）</w:t>
            </w:r>
          </w:p>
        </w:tc>
        <w:tc>
          <w:tcPr>
            <w:tcW w:w="1148"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基本稳定（75）</w:t>
            </w:r>
          </w:p>
        </w:tc>
        <w:tc>
          <w:tcPr>
            <w:tcW w:w="1148"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次不稳定（25）</w:t>
            </w:r>
          </w:p>
        </w:tc>
        <w:tc>
          <w:tcPr>
            <w:tcW w:w="878"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不稳定（0）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调查点1</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调查点2</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调查点3</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110.302</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25.301</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110.307</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25.239</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110.422</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25.183</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110.443</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河岸稳定性（BKS）</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斜坡倾角（度）（&lt;）</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植被覆盖度（%）（&gt;）</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75%</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12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25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80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80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岸坡高度（米）（&lt;）</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河岸基质（类别）</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岩土河岸</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黏土河岸</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非黏土河岸</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坡脚冲刷强度</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无冲刷迹象</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轻度冲刷</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中度冲刷</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冲刷</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河岸植被覆盖度（RVS）</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植被特性</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稀疏</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中度覆盖</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重度覆盖</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极重度覆盖</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乔木（TCr）</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灌木（SCr）</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草本</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河岸带人工干扰程度（RD）</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人类活动类型</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赋分</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河岸硬性砌护</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采砂</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沿岸建筑物（房屋）</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公路（或铁路）</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垃圾填埋场或垃圾堆放</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河滨公园</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管道</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农业耕种</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畜牧养殖</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14219" w:type="dxa"/>
            <w:gridSpan w:val="17"/>
            <w:shd w:val="clear" w:color="auto" w:fill="auto"/>
            <w:vAlign w:val="center"/>
          </w:tcPr>
          <w:p>
            <w:pPr>
              <w:widowControl/>
              <w:spacing w:line="288"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备注：经纬度为10进制度数。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河段名称</w:t>
            </w:r>
          </w:p>
        </w:tc>
        <w:tc>
          <w:tcPr>
            <w:tcW w:w="5778" w:type="dxa"/>
            <w:gridSpan w:val="8"/>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hint="eastAsia" w:ascii="Times New Roman" w:hAnsi="Times New Roman" w:eastAsia="仿宋" w:cs="Times New Roman"/>
                <w:color w:val="auto"/>
                <w:kern w:val="0"/>
                <w:sz w:val="18"/>
                <w:szCs w:val="18"/>
                <w:lang w:eastAsia="zh-CN"/>
              </w:rPr>
              <w:t>资江梅溪</w:t>
            </w:r>
            <w:r>
              <w:rPr>
                <w:rFonts w:ascii="Times New Roman" w:hAnsi="Times New Roman" w:eastAsia="仿宋" w:cs="Times New Roman"/>
                <w:color w:val="auto"/>
                <w:kern w:val="0"/>
                <w:sz w:val="18"/>
                <w:szCs w:val="18"/>
              </w:rPr>
              <w:t>开发段</w:t>
            </w:r>
          </w:p>
        </w:tc>
        <w:tc>
          <w:tcPr>
            <w:tcW w:w="1877"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调查时间</w:t>
            </w:r>
          </w:p>
        </w:tc>
        <w:tc>
          <w:tcPr>
            <w:tcW w:w="1850"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2017/9/23</w:t>
            </w:r>
          </w:p>
        </w:tc>
        <w:tc>
          <w:tcPr>
            <w:tcW w:w="1904"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填表人</w:t>
            </w:r>
          </w:p>
        </w:tc>
        <w:tc>
          <w:tcPr>
            <w:tcW w:w="1850" w:type="dxa"/>
            <w:gridSpan w:val="2"/>
            <w:shd w:val="clear" w:color="auto" w:fill="auto"/>
            <w:vAlign w:val="center"/>
          </w:tcPr>
          <w:p>
            <w:pPr>
              <w:widowControl/>
              <w:spacing w:line="280" w:lineRule="exact"/>
              <w:jc w:val="center"/>
              <w:rPr>
                <w:rFonts w:hint="eastAsia" w:ascii="Times New Roman" w:hAnsi="Times New Roman" w:eastAsia="仿宋" w:cs="Times New Roman"/>
                <w:color w:val="auto"/>
                <w:kern w:val="0"/>
                <w:sz w:val="18"/>
                <w:szCs w:val="18"/>
                <w:lang w:eastAsia="zh-CN"/>
              </w:rPr>
            </w:pPr>
            <w:r>
              <w:rPr>
                <w:rFonts w:ascii="Times New Roman" w:hAnsi="Times New Roman" w:eastAsia="仿宋" w:cs="Times New Roman"/>
                <w:color w:val="auto"/>
                <w:kern w:val="0"/>
                <w:sz w:val="18"/>
                <w:szCs w:val="18"/>
              </w:rPr>
              <w:t>蒋杨明、</w:t>
            </w:r>
            <w:r>
              <w:rPr>
                <w:rFonts w:hint="eastAsia" w:ascii="Times New Roman" w:hAnsi="Times New Roman" w:eastAsia="仿宋" w:cs="Times New Roman"/>
                <w:color w:val="auto"/>
                <w:kern w:val="0"/>
                <w:sz w:val="18"/>
                <w:szCs w:val="18"/>
                <w:lang w:eastAsia="zh-CN"/>
              </w:rPr>
              <w:t>冯真万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二级指标</w:t>
            </w:r>
          </w:p>
        </w:tc>
        <w:tc>
          <w:tcPr>
            <w:tcW w:w="1707" w:type="dxa"/>
            <w:vMerge w:val="restart"/>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岸坡特征</w:t>
            </w:r>
          </w:p>
        </w:tc>
        <w:tc>
          <w:tcPr>
            <w:tcW w:w="897" w:type="dxa"/>
            <w:gridSpan w:val="2"/>
            <w:vMerge w:val="restart"/>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稳定（90）</w:t>
            </w:r>
          </w:p>
        </w:tc>
        <w:tc>
          <w:tcPr>
            <w:tcW w:w="1148" w:type="dxa"/>
            <w:gridSpan w:val="2"/>
            <w:vMerge w:val="restart"/>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基本稳定（75）</w:t>
            </w:r>
          </w:p>
        </w:tc>
        <w:tc>
          <w:tcPr>
            <w:tcW w:w="1148" w:type="dxa"/>
            <w:gridSpan w:val="2"/>
            <w:vMerge w:val="restart"/>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次不稳定（25）</w:t>
            </w:r>
          </w:p>
        </w:tc>
        <w:tc>
          <w:tcPr>
            <w:tcW w:w="878" w:type="dxa"/>
            <w:vMerge w:val="restart"/>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不稳定（0）</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调查点1</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调查点2</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调查点3</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调查点4</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110.52</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24.923</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110.506</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24.9059</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110.51</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24.7779</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110.566</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24.7723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河岸稳定性（BKS）</w:t>
            </w: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斜坡倾角（度）（&lt;）</w:t>
            </w:r>
          </w:p>
        </w:tc>
        <w:tc>
          <w:tcPr>
            <w:tcW w:w="897"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1148"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1148"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878"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35</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80</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70</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植被覆盖度（%）（&gt;）</w:t>
            </w:r>
          </w:p>
        </w:tc>
        <w:tc>
          <w:tcPr>
            <w:tcW w:w="897"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75%</w:t>
            </w:r>
          </w:p>
        </w:tc>
        <w:tc>
          <w:tcPr>
            <w:tcW w:w="1148"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1148"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w:t>
            </w:r>
          </w:p>
        </w:tc>
        <w:tc>
          <w:tcPr>
            <w:tcW w:w="878"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80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70 </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40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25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岸坡高度（米）（&lt;）</w:t>
            </w:r>
          </w:p>
        </w:tc>
        <w:tc>
          <w:tcPr>
            <w:tcW w:w="897"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w:t>
            </w:r>
          </w:p>
        </w:tc>
        <w:tc>
          <w:tcPr>
            <w:tcW w:w="1148"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w:t>
            </w:r>
          </w:p>
        </w:tc>
        <w:tc>
          <w:tcPr>
            <w:tcW w:w="1148"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w:t>
            </w:r>
          </w:p>
        </w:tc>
        <w:tc>
          <w:tcPr>
            <w:tcW w:w="878"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100</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100</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20</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河岸基质（类别）</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岩土河岸</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黏土河岸</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非黏土河岸</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坡脚冲刷强度</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无冲刷迹象</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轻度冲刷</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中度冲刷</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冲刷</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轻度冲刷</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河岸植被覆盖度（RVS）</w:t>
            </w: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植被特性</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稀疏</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中度覆盖</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重度覆盖</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极重度覆盖</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乔木（TCr）</w:t>
            </w:r>
          </w:p>
        </w:tc>
        <w:tc>
          <w:tcPr>
            <w:tcW w:w="897"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灌木（SCr）</w:t>
            </w:r>
          </w:p>
        </w:tc>
        <w:tc>
          <w:tcPr>
            <w:tcW w:w="897"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草本</w:t>
            </w:r>
          </w:p>
        </w:tc>
        <w:tc>
          <w:tcPr>
            <w:tcW w:w="897"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河岸带人工干扰程度（RD）</w:t>
            </w: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人类活动类型</w:t>
            </w:r>
          </w:p>
        </w:tc>
        <w:tc>
          <w:tcPr>
            <w:tcW w:w="4071" w:type="dxa"/>
            <w:gridSpan w:val="7"/>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赋分</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河岸硬性砌护</w:t>
            </w:r>
          </w:p>
        </w:tc>
        <w:tc>
          <w:tcPr>
            <w:tcW w:w="4071" w:type="dxa"/>
            <w:gridSpan w:val="7"/>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采砂</w:t>
            </w:r>
          </w:p>
        </w:tc>
        <w:tc>
          <w:tcPr>
            <w:tcW w:w="4071" w:type="dxa"/>
            <w:gridSpan w:val="7"/>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沿岸建筑物（房屋）</w:t>
            </w:r>
          </w:p>
        </w:tc>
        <w:tc>
          <w:tcPr>
            <w:tcW w:w="4071" w:type="dxa"/>
            <w:gridSpan w:val="7"/>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公路（或铁路）</w:t>
            </w:r>
          </w:p>
        </w:tc>
        <w:tc>
          <w:tcPr>
            <w:tcW w:w="4071" w:type="dxa"/>
            <w:gridSpan w:val="7"/>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垃圾填埋场或垃圾堆放</w:t>
            </w:r>
          </w:p>
        </w:tc>
        <w:tc>
          <w:tcPr>
            <w:tcW w:w="4071" w:type="dxa"/>
            <w:gridSpan w:val="7"/>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河滨公园</w:t>
            </w:r>
          </w:p>
        </w:tc>
        <w:tc>
          <w:tcPr>
            <w:tcW w:w="4071" w:type="dxa"/>
            <w:gridSpan w:val="7"/>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管道</w:t>
            </w:r>
          </w:p>
        </w:tc>
        <w:tc>
          <w:tcPr>
            <w:tcW w:w="4071" w:type="dxa"/>
            <w:gridSpan w:val="7"/>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农业耕种</w:t>
            </w:r>
          </w:p>
        </w:tc>
        <w:tc>
          <w:tcPr>
            <w:tcW w:w="4071" w:type="dxa"/>
            <w:gridSpan w:val="7"/>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畜牧养殖</w:t>
            </w:r>
          </w:p>
        </w:tc>
        <w:tc>
          <w:tcPr>
            <w:tcW w:w="4071" w:type="dxa"/>
            <w:gridSpan w:val="7"/>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9" w:type="dxa"/>
            <w:gridSpan w:val="17"/>
            <w:shd w:val="clear" w:color="auto" w:fill="auto"/>
            <w:vAlign w:val="center"/>
          </w:tcPr>
          <w:p>
            <w:pPr>
              <w:widowControl/>
              <w:spacing w:line="28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备注：经纬度为10进制度数。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河段名称</w:t>
            </w:r>
          </w:p>
        </w:tc>
        <w:tc>
          <w:tcPr>
            <w:tcW w:w="5778" w:type="dxa"/>
            <w:gridSpan w:val="8"/>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hint="eastAsia" w:ascii="Times New Roman" w:hAnsi="Times New Roman" w:eastAsia="仿宋" w:cs="Times New Roman"/>
                <w:color w:val="auto"/>
                <w:kern w:val="0"/>
                <w:sz w:val="18"/>
                <w:szCs w:val="18"/>
                <w:lang w:eastAsia="zh-CN"/>
              </w:rPr>
              <w:t>资江梅溪</w:t>
            </w:r>
            <w:r>
              <w:rPr>
                <w:rFonts w:ascii="Times New Roman" w:hAnsi="Times New Roman" w:eastAsia="仿宋" w:cs="Times New Roman"/>
                <w:color w:val="auto"/>
                <w:kern w:val="0"/>
                <w:sz w:val="18"/>
                <w:szCs w:val="18"/>
              </w:rPr>
              <w:t>开发段</w:t>
            </w:r>
          </w:p>
        </w:tc>
        <w:tc>
          <w:tcPr>
            <w:tcW w:w="187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调查时间</w:t>
            </w:r>
          </w:p>
        </w:tc>
        <w:tc>
          <w:tcPr>
            <w:tcW w:w="185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2018/1/1</w:t>
            </w:r>
          </w:p>
        </w:tc>
        <w:tc>
          <w:tcPr>
            <w:tcW w:w="1904"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填表人</w:t>
            </w:r>
          </w:p>
        </w:tc>
        <w:tc>
          <w:tcPr>
            <w:tcW w:w="185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林钊、蒋杨明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二级指标</w:t>
            </w:r>
          </w:p>
        </w:tc>
        <w:tc>
          <w:tcPr>
            <w:tcW w:w="1707"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岸坡特征</w:t>
            </w:r>
          </w:p>
        </w:tc>
        <w:tc>
          <w:tcPr>
            <w:tcW w:w="897"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稳定（90）</w:t>
            </w:r>
          </w:p>
        </w:tc>
        <w:tc>
          <w:tcPr>
            <w:tcW w:w="1148"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基本稳定（75）</w:t>
            </w:r>
          </w:p>
        </w:tc>
        <w:tc>
          <w:tcPr>
            <w:tcW w:w="1148"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次不稳定（25）</w:t>
            </w:r>
          </w:p>
        </w:tc>
        <w:tc>
          <w:tcPr>
            <w:tcW w:w="878"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不稳定（0）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调查点1</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调查点2</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调查点3</w:t>
            </w:r>
          </w:p>
        </w:tc>
        <w:tc>
          <w:tcPr>
            <w:tcW w:w="925" w:type="dxa"/>
            <w:shd w:val="clear" w:color="auto" w:fill="auto"/>
            <w:vAlign w:val="center"/>
          </w:tcPr>
          <w:p>
            <w:pPr>
              <w:widowControl/>
              <w:spacing w:line="288" w:lineRule="exact"/>
              <w:jc w:val="center"/>
              <w:rPr>
                <w:rFonts w:hint="eastAsia" w:ascii="Times New Roman" w:hAnsi="Times New Roman" w:eastAsia="仿宋" w:cs="Times New Roman"/>
                <w:color w:val="auto"/>
                <w:kern w:val="0"/>
                <w:sz w:val="18"/>
                <w:szCs w:val="18"/>
                <w:lang w:eastAsia="zh-CN"/>
              </w:rPr>
            </w:pP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110.601</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24.6927</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110.6</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24.677</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110.661</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24.6183</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110.679</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24.5896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河岸稳定性（BKS）</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斜坡倾角（度）（&lt;）</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46</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46</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植被覆盖度（%）（&gt;）</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75%</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75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75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75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75 </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45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40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45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40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岸坡高度（米）（&lt;）</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河岸基质（类别）</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岩土河岸</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黏土河岸</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非黏土河岸</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坡脚冲刷强度</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无冲刷迹象</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轻度冲刷</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中度冲刷</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冲刷</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河岸植被覆盖度（RVS）</w:t>
            </w: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植被特性</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稀疏</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中度覆盖</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重度覆盖</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极重度覆盖</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乔木（TCr）</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灌木（SCr）</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草本</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河岸带人工干扰程度（RD）</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人类活动类型</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赋分</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河岸硬性砌护</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采砂</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沿岸建筑物（房屋）</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公路（或铁路）</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垃圾填埋场或垃圾堆放</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河滨公园</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管道</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农业耕种</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畜牧养殖</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9" w:type="dxa"/>
            <w:gridSpan w:val="17"/>
            <w:shd w:val="clear" w:color="auto" w:fill="auto"/>
            <w:vAlign w:val="center"/>
          </w:tcPr>
          <w:p>
            <w:pPr>
              <w:widowControl/>
              <w:spacing w:line="288"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备注：经纬度为10进制度数。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河段名称</w:t>
            </w:r>
          </w:p>
        </w:tc>
        <w:tc>
          <w:tcPr>
            <w:tcW w:w="5778" w:type="dxa"/>
            <w:gridSpan w:val="8"/>
            <w:shd w:val="clear" w:color="auto" w:fill="auto"/>
            <w:vAlign w:val="center"/>
          </w:tcPr>
          <w:p>
            <w:pPr>
              <w:widowControl/>
              <w:spacing w:line="288" w:lineRule="exact"/>
              <w:jc w:val="both"/>
              <w:rPr>
                <w:rFonts w:ascii="Times New Roman" w:hAnsi="Times New Roman" w:eastAsia="仿宋" w:cs="Times New Roman"/>
                <w:color w:val="auto"/>
                <w:kern w:val="0"/>
                <w:sz w:val="18"/>
                <w:szCs w:val="18"/>
              </w:rPr>
            </w:pPr>
            <w:r>
              <w:rPr>
                <w:rFonts w:hint="eastAsia" w:ascii="Times New Roman" w:hAnsi="Times New Roman" w:eastAsia="仿宋" w:cs="Times New Roman"/>
                <w:color w:val="auto"/>
                <w:kern w:val="0"/>
                <w:sz w:val="18"/>
                <w:szCs w:val="18"/>
                <w:lang w:val="en-US" w:eastAsia="zh-CN"/>
              </w:rPr>
              <w:t>白竹洞河</w:t>
            </w:r>
            <w:r>
              <w:rPr>
                <w:rFonts w:ascii="Times New Roman" w:hAnsi="Times New Roman" w:eastAsia="仿宋" w:cs="Times New Roman"/>
                <w:color w:val="auto"/>
                <w:kern w:val="0"/>
                <w:sz w:val="18"/>
                <w:szCs w:val="18"/>
              </w:rPr>
              <w:t>保留段</w:t>
            </w:r>
          </w:p>
        </w:tc>
        <w:tc>
          <w:tcPr>
            <w:tcW w:w="187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调查时间</w:t>
            </w:r>
          </w:p>
        </w:tc>
        <w:tc>
          <w:tcPr>
            <w:tcW w:w="185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2018/1/1</w:t>
            </w:r>
          </w:p>
        </w:tc>
        <w:tc>
          <w:tcPr>
            <w:tcW w:w="1904"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填表人</w:t>
            </w:r>
          </w:p>
        </w:tc>
        <w:tc>
          <w:tcPr>
            <w:tcW w:w="185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林钊、蒋杨明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二级指标</w:t>
            </w:r>
          </w:p>
        </w:tc>
        <w:tc>
          <w:tcPr>
            <w:tcW w:w="1707"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岸坡特征</w:t>
            </w:r>
          </w:p>
        </w:tc>
        <w:tc>
          <w:tcPr>
            <w:tcW w:w="897"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稳定（90）</w:t>
            </w:r>
          </w:p>
        </w:tc>
        <w:tc>
          <w:tcPr>
            <w:tcW w:w="1148"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基本稳定（75）</w:t>
            </w:r>
          </w:p>
        </w:tc>
        <w:tc>
          <w:tcPr>
            <w:tcW w:w="1148"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次不稳定（25）</w:t>
            </w:r>
          </w:p>
        </w:tc>
        <w:tc>
          <w:tcPr>
            <w:tcW w:w="878"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不稳定（0）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调查点1</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调查点2</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调查点3</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110.71</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24.5764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110.669</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24.5592</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110.657</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24.5338</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110.701</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24.4737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河岸稳定性（BKS）</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斜坡倾角（度）（&lt;）</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65</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植被覆盖度（%）（&gt;）</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75%</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80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80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70 </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岸坡高度（米）（&lt;）</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河岸基质（类别）</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岩土河岸</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黏土河岸</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非黏土河岸</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坡脚冲刷强度</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无冲刷迹象</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轻度冲刷</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中度冲刷</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w:t>
            </w:r>
          </w:p>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冲刷</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w:t>
            </w:r>
          </w:p>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河岸植被覆盖度（RVS）</w:t>
            </w: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植被特性</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w:t>
            </w:r>
          </w:p>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稀疏</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中度覆盖</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重度覆盖</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极重度覆盖</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乔木（TCr）</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灌木（SCr）</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草本</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河岸带人工干扰程度（RD）</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人类活动类型</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赋分</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河岸硬性砌护</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采砂</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沿岸建筑物（房屋）</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公路（或铁路）</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垃圾填埋场或垃圾堆放</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河滨公园</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管道</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农业耕种</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畜牧养殖</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9" w:type="dxa"/>
            <w:gridSpan w:val="17"/>
            <w:shd w:val="clear" w:color="auto" w:fill="auto"/>
            <w:vAlign w:val="center"/>
          </w:tcPr>
          <w:p>
            <w:pPr>
              <w:widowControl/>
              <w:spacing w:line="288"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备注：经纬度为10进制度数。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河段名称</w:t>
            </w:r>
          </w:p>
        </w:tc>
        <w:tc>
          <w:tcPr>
            <w:tcW w:w="5778" w:type="dxa"/>
            <w:gridSpan w:val="8"/>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hint="eastAsia" w:ascii="Times New Roman" w:hAnsi="Times New Roman" w:eastAsia="仿宋" w:cs="Times New Roman"/>
                <w:color w:val="auto"/>
                <w:kern w:val="0"/>
                <w:sz w:val="18"/>
                <w:szCs w:val="18"/>
                <w:lang w:val="en-US" w:eastAsia="zh-CN"/>
              </w:rPr>
              <w:t>白竹洞</w:t>
            </w:r>
            <w:r>
              <w:rPr>
                <w:rFonts w:ascii="Times New Roman" w:hAnsi="Times New Roman" w:eastAsia="仿宋" w:cs="Times New Roman"/>
                <w:color w:val="auto"/>
                <w:kern w:val="0"/>
                <w:sz w:val="18"/>
                <w:szCs w:val="18"/>
              </w:rPr>
              <w:t>开发段</w:t>
            </w:r>
          </w:p>
        </w:tc>
        <w:tc>
          <w:tcPr>
            <w:tcW w:w="187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调查时间</w:t>
            </w:r>
          </w:p>
        </w:tc>
        <w:tc>
          <w:tcPr>
            <w:tcW w:w="185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2018/1/2</w:t>
            </w:r>
          </w:p>
        </w:tc>
        <w:tc>
          <w:tcPr>
            <w:tcW w:w="1904"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填表人</w:t>
            </w:r>
          </w:p>
        </w:tc>
        <w:tc>
          <w:tcPr>
            <w:tcW w:w="185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林钊、蒋杨明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二级指标</w:t>
            </w:r>
          </w:p>
        </w:tc>
        <w:tc>
          <w:tcPr>
            <w:tcW w:w="1707"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岸坡特征</w:t>
            </w:r>
          </w:p>
        </w:tc>
        <w:tc>
          <w:tcPr>
            <w:tcW w:w="897"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稳定（90）</w:t>
            </w:r>
          </w:p>
        </w:tc>
        <w:tc>
          <w:tcPr>
            <w:tcW w:w="1148"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基本稳定（75）</w:t>
            </w:r>
          </w:p>
        </w:tc>
        <w:tc>
          <w:tcPr>
            <w:tcW w:w="1148"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次不稳定（25）</w:t>
            </w:r>
          </w:p>
        </w:tc>
        <w:tc>
          <w:tcPr>
            <w:tcW w:w="878"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不稳定（0）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调查点1</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调查点2</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调查点3</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110.736</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24.375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110.819</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24.204</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110.814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24.1529</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110.807</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24.079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河岸稳定性（BKS）</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斜坡倾角（度）（&lt;）</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植被覆盖度（%）（&gt;）</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75%</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80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80 </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岸坡高度（米）（&lt;）</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河岸基质（类别）</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岩土河岸</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黏土河岸</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非黏土河岸</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坡脚冲刷强度</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无冲刷迹象</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轻度冲刷</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中度冲刷</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冲刷</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河岸植被覆盖度（RVS）</w:t>
            </w: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植被特性</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稀疏</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中度覆盖</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重度覆盖</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极重度覆盖</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乔木（TCr）</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灌木（SCr）</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草本</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河岸带人工干扰程度（RD）</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人类活动类型</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赋分</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河岸硬性砌护</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采砂</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沿岸建筑物（房屋）</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公路（或铁路）</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垃圾填埋场或垃圾堆放</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河滨公园</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管道</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农业耕种</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畜牧养殖</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9" w:type="dxa"/>
            <w:gridSpan w:val="17"/>
            <w:shd w:val="clear" w:color="auto" w:fill="auto"/>
            <w:vAlign w:val="center"/>
          </w:tcPr>
          <w:p>
            <w:pPr>
              <w:widowControl/>
              <w:spacing w:line="288"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备注：经纬度为10进制度数。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河段名称</w:t>
            </w:r>
          </w:p>
        </w:tc>
        <w:tc>
          <w:tcPr>
            <w:tcW w:w="5778" w:type="dxa"/>
            <w:gridSpan w:val="8"/>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hint="eastAsia" w:ascii="Times New Roman" w:hAnsi="Times New Roman" w:eastAsia="仿宋" w:cs="Times New Roman"/>
                <w:color w:val="auto"/>
                <w:kern w:val="0"/>
                <w:sz w:val="18"/>
                <w:szCs w:val="18"/>
                <w:lang w:val="en-US" w:eastAsia="zh-CN"/>
              </w:rPr>
              <w:t>义林河</w:t>
            </w:r>
            <w:r>
              <w:rPr>
                <w:rFonts w:ascii="Times New Roman" w:hAnsi="Times New Roman" w:eastAsia="仿宋" w:cs="Times New Roman"/>
                <w:color w:val="auto"/>
                <w:kern w:val="0"/>
                <w:sz w:val="18"/>
                <w:szCs w:val="18"/>
              </w:rPr>
              <w:t>段</w:t>
            </w:r>
          </w:p>
        </w:tc>
        <w:tc>
          <w:tcPr>
            <w:tcW w:w="1877"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调查时间</w:t>
            </w:r>
          </w:p>
        </w:tc>
        <w:tc>
          <w:tcPr>
            <w:tcW w:w="1850"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2018/1/2</w:t>
            </w:r>
          </w:p>
        </w:tc>
        <w:tc>
          <w:tcPr>
            <w:tcW w:w="1904"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填表人</w:t>
            </w:r>
          </w:p>
        </w:tc>
        <w:tc>
          <w:tcPr>
            <w:tcW w:w="1850"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林钊、蒋杨明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二级指标</w:t>
            </w:r>
          </w:p>
        </w:tc>
        <w:tc>
          <w:tcPr>
            <w:tcW w:w="1707" w:type="dxa"/>
            <w:vMerge w:val="restart"/>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岸坡特征</w:t>
            </w:r>
          </w:p>
        </w:tc>
        <w:tc>
          <w:tcPr>
            <w:tcW w:w="897" w:type="dxa"/>
            <w:gridSpan w:val="2"/>
            <w:vMerge w:val="restart"/>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稳定（90）</w:t>
            </w:r>
          </w:p>
        </w:tc>
        <w:tc>
          <w:tcPr>
            <w:tcW w:w="1148" w:type="dxa"/>
            <w:gridSpan w:val="2"/>
            <w:vMerge w:val="restart"/>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基本稳定（75）</w:t>
            </w:r>
          </w:p>
        </w:tc>
        <w:tc>
          <w:tcPr>
            <w:tcW w:w="1148" w:type="dxa"/>
            <w:gridSpan w:val="2"/>
            <w:vMerge w:val="restart"/>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次不稳定（25）</w:t>
            </w:r>
          </w:p>
        </w:tc>
        <w:tc>
          <w:tcPr>
            <w:tcW w:w="878" w:type="dxa"/>
            <w:vMerge w:val="restart"/>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不稳定（0）</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调查点1</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调查点2</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调查点3</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调查点4</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110.856</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24.002</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110.914</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23.9799</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110.946</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23.9269</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111</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23.913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河岸稳定性（BKS）</w:t>
            </w: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斜坡倾角（度）（&lt;）</w:t>
            </w:r>
          </w:p>
        </w:tc>
        <w:tc>
          <w:tcPr>
            <w:tcW w:w="897"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1148"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1148"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878"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65</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植被覆盖度（%）（&gt;）</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75%</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80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90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35 </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95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岸坡高度（米）（&lt;）</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12</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20</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河岸基质（类别）</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岩土河岸</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黏土河岸</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非黏土河岸</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坡脚冲刷强度</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无冲刷迹象</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轻度冲刷</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中度冲刷</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w:t>
            </w:r>
          </w:p>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冲刷</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w:t>
            </w:r>
          </w:p>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河岸植被覆盖度（RVS）</w:t>
            </w: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植被特性</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w:t>
            </w:r>
          </w:p>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稀疏</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中度覆盖</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重度覆盖</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极重度覆盖</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乔木（TCr）</w:t>
            </w:r>
          </w:p>
        </w:tc>
        <w:tc>
          <w:tcPr>
            <w:tcW w:w="897"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0 </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35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灌木（SCr）</w:t>
            </w:r>
          </w:p>
        </w:tc>
        <w:tc>
          <w:tcPr>
            <w:tcW w:w="897"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40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40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草本</w:t>
            </w:r>
          </w:p>
        </w:tc>
        <w:tc>
          <w:tcPr>
            <w:tcW w:w="897"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85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85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河岸带人工干扰程度（RD）</w:t>
            </w: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人类活动类型</w:t>
            </w:r>
          </w:p>
        </w:tc>
        <w:tc>
          <w:tcPr>
            <w:tcW w:w="4071" w:type="dxa"/>
            <w:gridSpan w:val="7"/>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赋分</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河岸硬性砌护</w:t>
            </w:r>
          </w:p>
        </w:tc>
        <w:tc>
          <w:tcPr>
            <w:tcW w:w="4071" w:type="dxa"/>
            <w:gridSpan w:val="7"/>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采砂</w:t>
            </w:r>
          </w:p>
        </w:tc>
        <w:tc>
          <w:tcPr>
            <w:tcW w:w="4071" w:type="dxa"/>
            <w:gridSpan w:val="7"/>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沿岸建筑物（房屋）</w:t>
            </w:r>
          </w:p>
        </w:tc>
        <w:tc>
          <w:tcPr>
            <w:tcW w:w="4071" w:type="dxa"/>
            <w:gridSpan w:val="7"/>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公路（或铁路）</w:t>
            </w:r>
          </w:p>
        </w:tc>
        <w:tc>
          <w:tcPr>
            <w:tcW w:w="4071" w:type="dxa"/>
            <w:gridSpan w:val="7"/>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垃圾填埋场或垃圾堆放</w:t>
            </w:r>
          </w:p>
        </w:tc>
        <w:tc>
          <w:tcPr>
            <w:tcW w:w="4071" w:type="dxa"/>
            <w:gridSpan w:val="7"/>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河滨公园</w:t>
            </w:r>
          </w:p>
        </w:tc>
        <w:tc>
          <w:tcPr>
            <w:tcW w:w="4071" w:type="dxa"/>
            <w:gridSpan w:val="7"/>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管道</w:t>
            </w:r>
          </w:p>
        </w:tc>
        <w:tc>
          <w:tcPr>
            <w:tcW w:w="4071" w:type="dxa"/>
            <w:gridSpan w:val="7"/>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农业耕种</w:t>
            </w:r>
          </w:p>
        </w:tc>
        <w:tc>
          <w:tcPr>
            <w:tcW w:w="4071" w:type="dxa"/>
            <w:gridSpan w:val="7"/>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0"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畜牧养殖</w:t>
            </w:r>
          </w:p>
        </w:tc>
        <w:tc>
          <w:tcPr>
            <w:tcW w:w="4071" w:type="dxa"/>
            <w:gridSpan w:val="7"/>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9" w:type="dxa"/>
            <w:gridSpan w:val="17"/>
            <w:shd w:val="clear" w:color="auto" w:fill="auto"/>
            <w:vAlign w:val="center"/>
          </w:tcPr>
          <w:p>
            <w:pPr>
              <w:widowControl/>
              <w:spacing w:line="288"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备注：经纬度为10进制度数。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河段名称</w:t>
            </w:r>
          </w:p>
        </w:tc>
        <w:tc>
          <w:tcPr>
            <w:tcW w:w="5778" w:type="dxa"/>
            <w:gridSpan w:val="8"/>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hint="eastAsia" w:ascii="Times New Roman" w:hAnsi="Times New Roman" w:eastAsia="仿宋" w:cs="Times New Roman"/>
                <w:color w:val="auto"/>
                <w:kern w:val="0"/>
                <w:sz w:val="18"/>
                <w:szCs w:val="18"/>
                <w:lang w:val="en-US" w:eastAsia="zh-CN"/>
              </w:rPr>
              <w:t>瓜里河保留</w:t>
            </w:r>
            <w:r>
              <w:rPr>
                <w:rFonts w:ascii="Times New Roman" w:hAnsi="Times New Roman" w:eastAsia="仿宋" w:cs="Times New Roman"/>
                <w:color w:val="auto"/>
                <w:kern w:val="0"/>
                <w:sz w:val="18"/>
                <w:szCs w:val="18"/>
              </w:rPr>
              <w:t>段</w:t>
            </w:r>
          </w:p>
        </w:tc>
        <w:tc>
          <w:tcPr>
            <w:tcW w:w="187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调查时间</w:t>
            </w:r>
          </w:p>
        </w:tc>
        <w:tc>
          <w:tcPr>
            <w:tcW w:w="185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2018/1/3</w:t>
            </w:r>
          </w:p>
        </w:tc>
        <w:tc>
          <w:tcPr>
            <w:tcW w:w="1904"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填表人</w:t>
            </w:r>
          </w:p>
        </w:tc>
        <w:tc>
          <w:tcPr>
            <w:tcW w:w="185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林钊、蒋杨明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二级指标</w:t>
            </w:r>
          </w:p>
        </w:tc>
        <w:tc>
          <w:tcPr>
            <w:tcW w:w="1707"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岸坡特征</w:t>
            </w:r>
          </w:p>
        </w:tc>
        <w:tc>
          <w:tcPr>
            <w:tcW w:w="897"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稳定（90）</w:t>
            </w:r>
          </w:p>
        </w:tc>
        <w:tc>
          <w:tcPr>
            <w:tcW w:w="1148"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基本稳定（75）</w:t>
            </w:r>
          </w:p>
        </w:tc>
        <w:tc>
          <w:tcPr>
            <w:tcW w:w="1148"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次不稳定（25）</w:t>
            </w:r>
          </w:p>
        </w:tc>
        <w:tc>
          <w:tcPr>
            <w:tcW w:w="878"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不稳定（0）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调查点1</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调查点2</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调查点3</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111.014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23.8891</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111.016</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23.8621</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110.983</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23.806</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111.043</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23.724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河岸稳定性（BKS）</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斜坡倾角（度）（&lt;）</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植被覆盖度（%）（&gt;）</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75%</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50 </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75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90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岸坡高度（米）（&lt;）</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12</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河岸基质（类别）</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岩土河岸</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黏土河岸</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非黏土河岸</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坡脚冲刷强度</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无冲刷迹象</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轻度冲刷</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中度冲刷</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w:t>
            </w:r>
          </w:p>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冲刷</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w:t>
            </w:r>
          </w:p>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河岸植被覆盖度（RVS）</w:t>
            </w: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植被特性</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w:t>
            </w:r>
          </w:p>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稀疏</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中度覆盖</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重度覆盖</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极重度覆盖</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乔木（TCr）</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灌木（SCr）</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草本</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河岸带人工干扰程度（RD）</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人类活动类型</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赋分</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河岸硬性砌护</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采砂</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沿岸建筑物（房屋）</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公路（或铁路）</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垃圾填埋场或垃圾堆放</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河滨公园</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管道</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农业耕种</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畜牧养殖</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9" w:type="dxa"/>
            <w:gridSpan w:val="17"/>
            <w:shd w:val="clear" w:color="auto" w:fill="auto"/>
            <w:vAlign w:val="center"/>
          </w:tcPr>
          <w:p>
            <w:pPr>
              <w:widowControl/>
              <w:spacing w:line="288"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备注：经纬度为10进制度数。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河段名称</w:t>
            </w:r>
          </w:p>
        </w:tc>
        <w:tc>
          <w:tcPr>
            <w:tcW w:w="5778" w:type="dxa"/>
            <w:gridSpan w:val="8"/>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hint="eastAsia" w:ascii="Times New Roman" w:hAnsi="Times New Roman" w:eastAsia="仿宋" w:cs="Times New Roman"/>
                <w:color w:val="auto"/>
                <w:kern w:val="0"/>
                <w:sz w:val="18"/>
                <w:szCs w:val="18"/>
                <w:lang w:eastAsia="zh-CN"/>
              </w:rPr>
              <w:t>资江</w:t>
            </w:r>
            <w:r>
              <w:rPr>
                <w:rFonts w:ascii="Times New Roman" w:hAnsi="Times New Roman" w:eastAsia="仿宋" w:cs="Times New Roman"/>
                <w:color w:val="auto"/>
                <w:kern w:val="0"/>
                <w:sz w:val="18"/>
                <w:szCs w:val="18"/>
              </w:rPr>
              <w:t>梧州开发段</w:t>
            </w:r>
          </w:p>
        </w:tc>
        <w:tc>
          <w:tcPr>
            <w:tcW w:w="187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调查时间</w:t>
            </w:r>
          </w:p>
        </w:tc>
        <w:tc>
          <w:tcPr>
            <w:tcW w:w="185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2018/1/4</w:t>
            </w:r>
          </w:p>
        </w:tc>
        <w:tc>
          <w:tcPr>
            <w:tcW w:w="1904"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填表人</w:t>
            </w:r>
          </w:p>
        </w:tc>
        <w:tc>
          <w:tcPr>
            <w:tcW w:w="185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林钊、蒋杨明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二级指标</w:t>
            </w:r>
          </w:p>
        </w:tc>
        <w:tc>
          <w:tcPr>
            <w:tcW w:w="1707"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岸坡特征</w:t>
            </w:r>
          </w:p>
        </w:tc>
        <w:tc>
          <w:tcPr>
            <w:tcW w:w="897"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稳定（90）</w:t>
            </w:r>
          </w:p>
        </w:tc>
        <w:tc>
          <w:tcPr>
            <w:tcW w:w="1148"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基本稳定（75）</w:t>
            </w:r>
          </w:p>
        </w:tc>
        <w:tc>
          <w:tcPr>
            <w:tcW w:w="1148"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次不稳定（25）</w:t>
            </w:r>
          </w:p>
        </w:tc>
        <w:tc>
          <w:tcPr>
            <w:tcW w:w="878"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不稳定（0）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调查点1</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长发镇</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调查点2</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倒水</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调查点3</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莲花大桥</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紫竹大桥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111.101</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23.687</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111.133</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23.573</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111.314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23.518</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111.327</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23.506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河岸稳定性（BKS）</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斜坡倾角（度）（&lt;）</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植被覆盖度（%）（&gt;）</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75%</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80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75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岸坡高度（米）（&lt;）</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12</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河岸基质（类别）</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岩土河岸</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黏土河岸</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非黏土河岸</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坡脚冲刷强度</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无冲刷迹象</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轻度冲刷</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中度冲刷</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冲刷</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河岸植被覆盖度（RVS）</w:t>
            </w: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植被特性</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稀疏</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中度覆盖</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重度覆盖</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极重度覆盖</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乔木（TCr）</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灌木（SCr）</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草本</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80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80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85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85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河岸带人工干扰程度（RD）</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人类活动类型</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赋分</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河岸硬性砌护</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采砂</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沿岸建筑物（房屋）</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公路（或铁路）</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垃圾填埋场或垃圾堆放</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河滨公园</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管道</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农业耕种</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畜牧养殖</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9" w:type="dxa"/>
            <w:gridSpan w:val="17"/>
            <w:shd w:val="clear" w:color="auto" w:fill="auto"/>
            <w:vAlign w:val="center"/>
          </w:tcPr>
          <w:p>
            <w:pPr>
              <w:widowControl/>
              <w:spacing w:line="288"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备注：经纬度为10进制度数。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河段名称</w:t>
            </w:r>
          </w:p>
        </w:tc>
        <w:tc>
          <w:tcPr>
            <w:tcW w:w="5778" w:type="dxa"/>
            <w:gridSpan w:val="8"/>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hint="eastAsia" w:ascii="Times New Roman" w:hAnsi="Times New Roman" w:eastAsia="仿宋" w:cs="Times New Roman"/>
                <w:color w:val="auto"/>
                <w:kern w:val="0"/>
                <w:sz w:val="18"/>
                <w:szCs w:val="18"/>
                <w:lang w:val="en-US" w:eastAsia="zh-CN"/>
              </w:rPr>
              <w:t>白竹河</w:t>
            </w:r>
            <w:r>
              <w:rPr>
                <w:rFonts w:ascii="Times New Roman" w:hAnsi="Times New Roman" w:eastAsia="仿宋" w:cs="Times New Roman"/>
                <w:color w:val="auto"/>
                <w:kern w:val="0"/>
                <w:sz w:val="18"/>
                <w:szCs w:val="18"/>
              </w:rPr>
              <w:t>保留段</w:t>
            </w:r>
          </w:p>
        </w:tc>
        <w:tc>
          <w:tcPr>
            <w:tcW w:w="187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调查时间</w:t>
            </w:r>
          </w:p>
        </w:tc>
        <w:tc>
          <w:tcPr>
            <w:tcW w:w="185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2018/1/1</w:t>
            </w:r>
          </w:p>
        </w:tc>
        <w:tc>
          <w:tcPr>
            <w:tcW w:w="1904"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填表人</w:t>
            </w:r>
          </w:p>
        </w:tc>
        <w:tc>
          <w:tcPr>
            <w:tcW w:w="1850" w:type="dxa"/>
            <w:gridSpan w:val="2"/>
            <w:shd w:val="clear" w:color="auto" w:fill="auto"/>
            <w:vAlign w:val="center"/>
          </w:tcPr>
          <w:p>
            <w:pPr>
              <w:widowControl/>
              <w:spacing w:line="288" w:lineRule="exact"/>
              <w:jc w:val="center"/>
              <w:rPr>
                <w:rFonts w:hint="eastAsia" w:ascii="Times New Roman" w:hAnsi="Times New Roman" w:eastAsia="仿宋" w:cs="Times New Roman"/>
                <w:color w:val="auto"/>
                <w:kern w:val="0"/>
                <w:sz w:val="18"/>
                <w:szCs w:val="18"/>
                <w:lang w:eastAsia="zh-CN"/>
              </w:rPr>
            </w:pPr>
            <w:r>
              <w:rPr>
                <w:rFonts w:hint="eastAsia" w:ascii="Times New Roman" w:hAnsi="Times New Roman" w:eastAsia="仿宋" w:cs="Times New Roman"/>
                <w:color w:val="auto"/>
                <w:kern w:val="0"/>
                <w:sz w:val="18"/>
                <w:szCs w:val="18"/>
                <w:lang w:eastAsia="zh-CN"/>
              </w:rPr>
              <w:t>赵瑞年</w:t>
            </w:r>
            <w:r>
              <w:rPr>
                <w:rFonts w:ascii="Times New Roman" w:hAnsi="Times New Roman" w:eastAsia="仿宋" w:cs="Times New Roman"/>
                <w:color w:val="auto"/>
                <w:kern w:val="0"/>
                <w:sz w:val="18"/>
                <w:szCs w:val="18"/>
              </w:rPr>
              <w:t>、</w:t>
            </w:r>
            <w:r>
              <w:rPr>
                <w:rFonts w:hint="eastAsia" w:ascii="Times New Roman" w:hAnsi="Times New Roman" w:eastAsia="仿宋" w:cs="Times New Roman"/>
                <w:color w:val="auto"/>
                <w:kern w:val="0"/>
                <w:sz w:val="18"/>
                <w:szCs w:val="18"/>
                <w:lang w:eastAsia="zh-CN"/>
              </w:rPr>
              <w:t>冯真万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二级指标</w:t>
            </w:r>
          </w:p>
        </w:tc>
        <w:tc>
          <w:tcPr>
            <w:tcW w:w="1707"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岸坡特征</w:t>
            </w:r>
          </w:p>
        </w:tc>
        <w:tc>
          <w:tcPr>
            <w:tcW w:w="897"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稳定（90）</w:t>
            </w:r>
          </w:p>
        </w:tc>
        <w:tc>
          <w:tcPr>
            <w:tcW w:w="1148"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基本稳定（75）</w:t>
            </w:r>
          </w:p>
        </w:tc>
        <w:tc>
          <w:tcPr>
            <w:tcW w:w="1148"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次不稳定（25）</w:t>
            </w:r>
          </w:p>
        </w:tc>
        <w:tc>
          <w:tcPr>
            <w:tcW w:w="878"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不稳定（0）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调查点1</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调查点2</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调查点3</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111.263</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23.505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111.306</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23.473</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110.0657</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24.9259</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110.95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25.0838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河岸稳定性（BKS）</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斜坡倾角（度）（&lt;）</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植被覆盖度（%）（&gt;）</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75%</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80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25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25 </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岸坡高度（米）（&lt;）</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20</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12</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12</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河岸基质（类别）</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岩土河岸</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黏土河岸</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非黏土河岸</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坡脚冲刷强度</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无冲刷迹象</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轻度冲刷</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中度冲刷</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冲刷</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河岸植被覆盖度（RVS）</w:t>
            </w: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植被特性</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稀疏</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中度覆盖</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重度覆盖</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极重度覆盖</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乔木（TCr）</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灌木（SCr）</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40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草本</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80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河岸带人工干扰程度（RD）</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人类活动类型</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赋分</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河岸硬性砌护</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采砂</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沿岸建筑物（房屋）</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公路（或铁路）</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垃圾填埋场或垃圾堆放</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河滨公园</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管道</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农业耕种</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畜牧养殖</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9" w:type="dxa"/>
            <w:gridSpan w:val="17"/>
            <w:shd w:val="clear" w:color="auto" w:fill="auto"/>
            <w:vAlign w:val="center"/>
          </w:tcPr>
          <w:p>
            <w:pPr>
              <w:widowControl/>
              <w:spacing w:line="288"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备注：经纬度为10进制度数。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河段名称</w:t>
            </w:r>
          </w:p>
        </w:tc>
        <w:tc>
          <w:tcPr>
            <w:tcW w:w="5778" w:type="dxa"/>
            <w:gridSpan w:val="8"/>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hint="eastAsia" w:ascii="Times New Roman" w:hAnsi="Times New Roman" w:eastAsia="仿宋" w:cs="Times New Roman"/>
                <w:color w:val="auto"/>
                <w:kern w:val="0"/>
                <w:sz w:val="18"/>
                <w:szCs w:val="18"/>
                <w:lang w:eastAsia="zh-CN"/>
              </w:rPr>
              <w:t>白竹洞河</w:t>
            </w:r>
            <w:r>
              <w:rPr>
                <w:rFonts w:hint="eastAsia" w:ascii="Times New Roman" w:hAnsi="Times New Roman" w:eastAsia="仿宋" w:cs="Times New Roman"/>
                <w:color w:val="auto"/>
                <w:kern w:val="0"/>
                <w:sz w:val="18"/>
                <w:szCs w:val="18"/>
                <w:lang w:val="en-US" w:eastAsia="zh-CN"/>
              </w:rPr>
              <w:t>开发</w:t>
            </w:r>
            <w:r>
              <w:rPr>
                <w:rFonts w:ascii="Times New Roman" w:hAnsi="Times New Roman" w:eastAsia="仿宋" w:cs="Times New Roman"/>
                <w:color w:val="auto"/>
                <w:kern w:val="0"/>
                <w:sz w:val="18"/>
                <w:szCs w:val="18"/>
              </w:rPr>
              <w:t>段</w:t>
            </w:r>
          </w:p>
        </w:tc>
        <w:tc>
          <w:tcPr>
            <w:tcW w:w="187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调查时间</w:t>
            </w:r>
          </w:p>
        </w:tc>
        <w:tc>
          <w:tcPr>
            <w:tcW w:w="185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2018/1/2</w:t>
            </w:r>
          </w:p>
        </w:tc>
        <w:tc>
          <w:tcPr>
            <w:tcW w:w="1904"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填表人</w:t>
            </w:r>
          </w:p>
        </w:tc>
        <w:tc>
          <w:tcPr>
            <w:tcW w:w="1850" w:type="dxa"/>
            <w:gridSpan w:val="2"/>
            <w:shd w:val="clear" w:color="auto" w:fill="auto"/>
            <w:vAlign w:val="center"/>
          </w:tcPr>
          <w:p>
            <w:pPr>
              <w:widowControl/>
              <w:spacing w:line="288" w:lineRule="exact"/>
              <w:jc w:val="center"/>
              <w:rPr>
                <w:rFonts w:hint="eastAsia" w:ascii="Times New Roman" w:hAnsi="Times New Roman" w:eastAsia="仿宋" w:cs="Times New Roman"/>
                <w:color w:val="auto"/>
                <w:kern w:val="0"/>
                <w:sz w:val="18"/>
                <w:szCs w:val="18"/>
                <w:lang w:eastAsia="zh-CN"/>
              </w:rPr>
            </w:pPr>
            <w:r>
              <w:rPr>
                <w:rFonts w:hint="eastAsia" w:ascii="Times New Roman" w:hAnsi="Times New Roman" w:eastAsia="仿宋" w:cs="Times New Roman"/>
                <w:color w:val="auto"/>
                <w:kern w:val="0"/>
                <w:sz w:val="18"/>
                <w:szCs w:val="18"/>
                <w:lang w:eastAsia="zh-CN"/>
              </w:rPr>
              <w:t>赵瑞年</w:t>
            </w:r>
            <w:r>
              <w:rPr>
                <w:rFonts w:ascii="Times New Roman" w:hAnsi="Times New Roman" w:eastAsia="仿宋" w:cs="Times New Roman"/>
                <w:color w:val="auto"/>
                <w:kern w:val="0"/>
                <w:sz w:val="18"/>
                <w:szCs w:val="18"/>
              </w:rPr>
              <w:t>、</w:t>
            </w:r>
            <w:r>
              <w:rPr>
                <w:rFonts w:hint="eastAsia" w:ascii="Times New Roman" w:hAnsi="Times New Roman" w:eastAsia="仿宋" w:cs="Times New Roman"/>
                <w:color w:val="auto"/>
                <w:kern w:val="0"/>
                <w:sz w:val="18"/>
                <w:szCs w:val="18"/>
                <w:lang w:eastAsia="zh-CN"/>
              </w:rPr>
              <w:t>冯真万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二级指标</w:t>
            </w:r>
          </w:p>
        </w:tc>
        <w:tc>
          <w:tcPr>
            <w:tcW w:w="1707"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岸坡特征</w:t>
            </w:r>
          </w:p>
        </w:tc>
        <w:tc>
          <w:tcPr>
            <w:tcW w:w="897"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稳定（90）</w:t>
            </w:r>
          </w:p>
        </w:tc>
        <w:tc>
          <w:tcPr>
            <w:tcW w:w="1148"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基本稳定（75）</w:t>
            </w:r>
          </w:p>
        </w:tc>
        <w:tc>
          <w:tcPr>
            <w:tcW w:w="1148"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次不稳定（25）</w:t>
            </w:r>
          </w:p>
        </w:tc>
        <w:tc>
          <w:tcPr>
            <w:tcW w:w="878"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不稳定（0）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调查点1</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调查点2</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调查点3</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110.844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24.9185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110.819</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24.8085</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110.696</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24.7685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110.642</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24.6424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河岸稳定性（BKS）</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斜坡倾角（度）（&lt;）</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植被覆盖度（%）（&gt;）</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75%</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40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40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45 </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35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岸坡高度（米）（&lt;）</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河岸基质（类别）</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岩土河岸</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黏土河岸</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非黏土河岸</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粘土</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非黏土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非黏土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坡脚冲刷强度</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无冲刷迹象</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轻度冲刷</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中度冲刷</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冲刷</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轻度冲刷</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河岸植被覆盖度（RVS）</w:t>
            </w: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植被特性</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稀疏</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中度覆盖</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重度覆盖</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极重度覆盖</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乔木（TCr）</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灌木（SCr）</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草本</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40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河岸带人工干扰程度（RD）</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人类活动类型</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赋分</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河岸硬性砌护</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采砂</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沿岸建筑物（房屋）</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公路（或铁路）</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垃圾填埋场或垃圾堆放</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河滨公园</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管道</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农业耕种</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畜牧养殖</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9" w:type="dxa"/>
            <w:gridSpan w:val="17"/>
            <w:shd w:val="clear" w:color="auto" w:fill="auto"/>
            <w:vAlign w:val="center"/>
          </w:tcPr>
          <w:p>
            <w:pPr>
              <w:widowControl/>
              <w:spacing w:line="288"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备注：经纬度为10进制度数。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河段名称</w:t>
            </w:r>
          </w:p>
        </w:tc>
        <w:tc>
          <w:tcPr>
            <w:tcW w:w="5778" w:type="dxa"/>
            <w:gridSpan w:val="8"/>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hint="eastAsia" w:ascii="Times New Roman" w:hAnsi="Times New Roman" w:eastAsia="仿宋" w:cs="Times New Roman"/>
                <w:color w:val="auto"/>
                <w:kern w:val="0"/>
                <w:sz w:val="18"/>
                <w:szCs w:val="18"/>
                <w:lang w:eastAsia="zh-CN"/>
              </w:rPr>
              <w:t>大湾河</w:t>
            </w:r>
            <w:r>
              <w:rPr>
                <w:rFonts w:hint="eastAsia" w:ascii="Times New Roman" w:hAnsi="Times New Roman" w:eastAsia="仿宋" w:cs="Times New Roman"/>
                <w:color w:val="auto"/>
                <w:kern w:val="0"/>
                <w:sz w:val="18"/>
                <w:szCs w:val="18"/>
                <w:lang w:val="en-US" w:eastAsia="zh-CN"/>
              </w:rPr>
              <w:t>保留</w:t>
            </w:r>
            <w:r>
              <w:rPr>
                <w:rFonts w:ascii="Times New Roman" w:hAnsi="Times New Roman" w:eastAsia="仿宋" w:cs="Times New Roman"/>
                <w:color w:val="auto"/>
                <w:kern w:val="0"/>
                <w:sz w:val="18"/>
                <w:szCs w:val="18"/>
              </w:rPr>
              <w:t>段</w:t>
            </w:r>
          </w:p>
        </w:tc>
        <w:tc>
          <w:tcPr>
            <w:tcW w:w="187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调查时间</w:t>
            </w:r>
          </w:p>
        </w:tc>
        <w:tc>
          <w:tcPr>
            <w:tcW w:w="185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2017/9/24</w:t>
            </w:r>
          </w:p>
        </w:tc>
        <w:tc>
          <w:tcPr>
            <w:tcW w:w="1904"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填表人</w:t>
            </w:r>
          </w:p>
        </w:tc>
        <w:tc>
          <w:tcPr>
            <w:tcW w:w="1850" w:type="dxa"/>
            <w:gridSpan w:val="2"/>
            <w:shd w:val="clear" w:color="auto" w:fill="auto"/>
            <w:vAlign w:val="center"/>
          </w:tcPr>
          <w:p>
            <w:pPr>
              <w:widowControl/>
              <w:spacing w:line="288" w:lineRule="exact"/>
              <w:jc w:val="center"/>
              <w:rPr>
                <w:rFonts w:hint="eastAsia" w:ascii="Times New Roman" w:hAnsi="Times New Roman" w:eastAsia="仿宋" w:cs="Times New Roman"/>
                <w:color w:val="auto"/>
                <w:kern w:val="0"/>
                <w:sz w:val="18"/>
                <w:szCs w:val="18"/>
                <w:lang w:eastAsia="zh-CN"/>
              </w:rPr>
            </w:pPr>
            <w:r>
              <w:rPr>
                <w:rFonts w:hint="eastAsia" w:ascii="Times New Roman" w:hAnsi="Times New Roman" w:eastAsia="仿宋" w:cs="Times New Roman"/>
                <w:color w:val="auto"/>
                <w:kern w:val="0"/>
                <w:sz w:val="18"/>
                <w:szCs w:val="18"/>
                <w:lang w:eastAsia="zh-CN"/>
              </w:rPr>
              <w:t>赵瑞年</w:t>
            </w:r>
            <w:r>
              <w:rPr>
                <w:rFonts w:ascii="Times New Roman" w:hAnsi="Times New Roman" w:eastAsia="仿宋" w:cs="Times New Roman"/>
                <w:color w:val="auto"/>
                <w:kern w:val="0"/>
                <w:sz w:val="18"/>
                <w:szCs w:val="18"/>
              </w:rPr>
              <w:t>、</w:t>
            </w:r>
            <w:r>
              <w:rPr>
                <w:rFonts w:hint="eastAsia" w:ascii="Times New Roman" w:hAnsi="Times New Roman" w:eastAsia="仿宋" w:cs="Times New Roman"/>
                <w:color w:val="auto"/>
                <w:kern w:val="0"/>
                <w:sz w:val="18"/>
                <w:szCs w:val="18"/>
                <w:lang w:eastAsia="zh-CN"/>
              </w:rPr>
              <w:t>冯真万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二级指标</w:t>
            </w:r>
          </w:p>
        </w:tc>
        <w:tc>
          <w:tcPr>
            <w:tcW w:w="1707"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岸坡特征</w:t>
            </w:r>
          </w:p>
        </w:tc>
        <w:tc>
          <w:tcPr>
            <w:tcW w:w="897"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稳定（90）</w:t>
            </w:r>
          </w:p>
        </w:tc>
        <w:tc>
          <w:tcPr>
            <w:tcW w:w="1148"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基本稳定（75）</w:t>
            </w:r>
          </w:p>
        </w:tc>
        <w:tc>
          <w:tcPr>
            <w:tcW w:w="1148"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次不稳定（25）</w:t>
            </w:r>
          </w:p>
        </w:tc>
        <w:tc>
          <w:tcPr>
            <w:tcW w:w="878"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不稳定（0）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调查点1</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调查点2</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调查点3</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110.2219</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24.3096</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24.489</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110.393</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24.488</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110.249</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河岸稳定性（BKS）</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斜坡倾角（度）（&lt;）</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70</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植被覆盖度（%）（&gt;）</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75%</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40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80 </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40 </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40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岸坡高度（米）（&lt;）</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河岸基质（类别）</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岩土河岸</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黏土河岸</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非黏土河岸</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坡脚冲刷强度</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无冲刷迹象</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轻度冲刷</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中度冲刷</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冲刷</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河岸植被覆盖度（RVS）</w:t>
            </w:r>
          </w:p>
        </w:tc>
        <w:tc>
          <w:tcPr>
            <w:tcW w:w="1707"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植被特性</w:t>
            </w:r>
          </w:p>
        </w:tc>
        <w:tc>
          <w:tcPr>
            <w:tcW w:w="897"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w:t>
            </w:r>
          </w:p>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稀疏</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中度覆盖</w:t>
            </w:r>
          </w:p>
        </w:tc>
        <w:tc>
          <w:tcPr>
            <w:tcW w:w="1148" w:type="dxa"/>
            <w:gridSpan w:val="2"/>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重度覆盖</w:t>
            </w:r>
          </w:p>
        </w:tc>
        <w:tc>
          <w:tcPr>
            <w:tcW w:w="878"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极重度覆盖</w:t>
            </w:r>
          </w:p>
        </w:tc>
        <w:tc>
          <w:tcPr>
            <w:tcW w:w="952"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2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乔木（TCr）</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灌木（SCr）</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40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草本</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河岸带人工干扰程度（RD）</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人类活动类型</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赋分</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河岸硬性砌护</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采砂</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沿岸建筑物（房屋）</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公路（或铁路）</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垃圾填埋场或垃圾堆放</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河滨公园</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管道</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农业耕种</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畜牧养殖</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9" w:type="dxa"/>
            <w:gridSpan w:val="17"/>
            <w:shd w:val="clear" w:color="auto" w:fill="auto"/>
            <w:vAlign w:val="center"/>
          </w:tcPr>
          <w:p>
            <w:pPr>
              <w:widowControl/>
              <w:spacing w:line="288"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备注：经纬度为10进制度数。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河段名称</w:t>
            </w:r>
          </w:p>
        </w:tc>
        <w:tc>
          <w:tcPr>
            <w:tcW w:w="5778" w:type="dxa"/>
            <w:gridSpan w:val="8"/>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hint="eastAsia" w:ascii="Times New Roman" w:hAnsi="Times New Roman" w:eastAsia="仿宋" w:cs="Times New Roman"/>
                <w:color w:val="auto"/>
                <w:kern w:val="0"/>
                <w:sz w:val="18"/>
                <w:szCs w:val="18"/>
                <w:lang w:eastAsia="zh-CN"/>
              </w:rPr>
              <w:t>瓜里河</w:t>
            </w:r>
            <w:r>
              <w:rPr>
                <w:rFonts w:ascii="Times New Roman" w:hAnsi="Times New Roman" w:eastAsia="仿宋" w:cs="Times New Roman"/>
                <w:color w:val="auto"/>
                <w:kern w:val="0"/>
                <w:sz w:val="18"/>
                <w:szCs w:val="18"/>
              </w:rPr>
              <w:t>保留段</w:t>
            </w:r>
          </w:p>
        </w:tc>
        <w:tc>
          <w:tcPr>
            <w:tcW w:w="187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调查时间</w:t>
            </w:r>
          </w:p>
        </w:tc>
        <w:tc>
          <w:tcPr>
            <w:tcW w:w="185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2018/1/1</w:t>
            </w:r>
          </w:p>
        </w:tc>
        <w:tc>
          <w:tcPr>
            <w:tcW w:w="1904"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填表人</w:t>
            </w:r>
          </w:p>
        </w:tc>
        <w:tc>
          <w:tcPr>
            <w:tcW w:w="185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张永锋、周新智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二级指标</w:t>
            </w:r>
          </w:p>
        </w:tc>
        <w:tc>
          <w:tcPr>
            <w:tcW w:w="1707"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岸坡特征</w:t>
            </w:r>
          </w:p>
        </w:tc>
        <w:tc>
          <w:tcPr>
            <w:tcW w:w="897"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稳定（90）</w:t>
            </w:r>
          </w:p>
        </w:tc>
        <w:tc>
          <w:tcPr>
            <w:tcW w:w="1148"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基本稳定（75）</w:t>
            </w:r>
          </w:p>
        </w:tc>
        <w:tc>
          <w:tcPr>
            <w:tcW w:w="1148"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次不稳定（25）</w:t>
            </w:r>
          </w:p>
        </w:tc>
        <w:tc>
          <w:tcPr>
            <w:tcW w:w="878"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不稳定（0）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调查点1</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调查点2</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调查点3</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111.161</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24.7022</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111.179</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24.5962</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111.067</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24.3952</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110.966</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24.2578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河岸稳定性（BKS）</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斜坡倾角（度）（&lt;）</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35</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植被覆盖度（%）（&gt;）</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75%</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40 </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75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95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65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岸坡高度（米）（&lt;）</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河岸基质（类别）</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岩土河岸</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黏土河岸</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非黏土河岸</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坡脚冲刷强度</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无冲刷迹象</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轻度冲刷</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中度冲刷</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重度冲刷</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w:t>
            </w:r>
          </w:p>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河岸植被覆盖度（RVS）</w:t>
            </w: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植被特性</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w:t>
            </w:r>
          </w:p>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稀疏</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中度覆盖</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重度覆盖</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极重度覆盖</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乔木（TCr）</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灌木（SCr）</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35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草本</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40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河岸带人工干扰程度（RD）</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人类活动类型</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赋分</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河岸硬性砌护</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采砂</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沿岸建筑物（房屋）</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公路（或铁路）</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垃圾填埋场或垃圾堆放</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河滨公园</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管道</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农业耕种</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畜牧养殖</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9" w:type="dxa"/>
            <w:gridSpan w:val="17"/>
            <w:shd w:val="clear" w:color="auto" w:fill="auto"/>
            <w:vAlign w:val="center"/>
          </w:tcPr>
          <w:p>
            <w:pPr>
              <w:widowControl/>
              <w:spacing w:line="288"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备注：经纬度为10进制度数。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河段名称</w:t>
            </w:r>
          </w:p>
        </w:tc>
        <w:tc>
          <w:tcPr>
            <w:tcW w:w="5778" w:type="dxa"/>
            <w:gridSpan w:val="8"/>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hint="eastAsia" w:ascii="Times New Roman" w:hAnsi="Times New Roman" w:eastAsia="仿宋" w:cs="Times New Roman"/>
                <w:color w:val="auto"/>
                <w:kern w:val="0"/>
                <w:sz w:val="18"/>
                <w:szCs w:val="18"/>
                <w:lang w:eastAsia="zh-CN"/>
              </w:rPr>
              <w:t>木厂水开发段</w:t>
            </w:r>
          </w:p>
        </w:tc>
        <w:tc>
          <w:tcPr>
            <w:tcW w:w="187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调查时间</w:t>
            </w:r>
          </w:p>
        </w:tc>
        <w:tc>
          <w:tcPr>
            <w:tcW w:w="185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2018/1/2</w:t>
            </w:r>
          </w:p>
        </w:tc>
        <w:tc>
          <w:tcPr>
            <w:tcW w:w="1904"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填表人</w:t>
            </w:r>
          </w:p>
        </w:tc>
        <w:tc>
          <w:tcPr>
            <w:tcW w:w="185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张永锋、周新智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二级指标</w:t>
            </w:r>
          </w:p>
        </w:tc>
        <w:tc>
          <w:tcPr>
            <w:tcW w:w="1707"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岸坡特征</w:t>
            </w:r>
          </w:p>
        </w:tc>
        <w:tc>
          <w:tcPr>
            <w:tcW w:w="897"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稳定（90）</w:t>
            </w:r>
          </w:p>
        </w:tc>
        <w:tc>
          <w:tcPr>
            <w:tcW w:w="1148"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基本稳定（75）</w:t>
            </w:r>
          </w:p>
        </w:tc>
        <w:tc>
          <w:tcPr>
            <w:tcW w:w="1148"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次不稳定（25）</w:t>
            </w:r>
          </w:p>
        </w:tc>
        <w:tc>
          <w:tcPr>
            <w:tcW w:w="878"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不稳定（0）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调查点1</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庇江</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调查点2</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公会</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调查点3</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樟木林</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富罗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110.927</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24.2191</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111.317</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24.2466</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111.259</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24.1629</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111.131</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24.0181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97"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148"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河岸稳定性（BKS）</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斜坡倾角（度）（&lt;）</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70</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65</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植被覆盖度（%）（&gt;）</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75%</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90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40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40 </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80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岸坡高度（米）（&lt;）</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河岸基质（类别）</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岩土河岸</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黏土河岸</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非黏土河岸</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坡脚冲刷强度</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无冲刷迹象</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轻度冲刷</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中度冲刷</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w:t>
            </w:r>
          </w:p>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冲刷</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w:t>
            </w:r>
          </w:p>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河岸植被覆盖度（RVS）</w:t>
            </w:r>
          </w:p>
        </w:tc>
        <w:tc>
          <w:tcPr>
            <w:tcW w:w="170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植被特性</w:t>
            </w:r>
          </w:p>
        </w:tc>
        <w:tc>
          <w:tcPr>
            <w:tcW w:w="897"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w:t>
            </w:r>
          </w:p>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稀疏</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中度覆盖</w:t>
            </w:r>
          </w:p>
        </w:tc>
        <w:tc>
          <w:tcPr>
            <w:tcW w:w="1148"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重度覆盖</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极重度覆盖</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乔木（TCr）</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灌木（SCr）</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50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草本</w:t>
            </w:r>
          </w:p>
        </w:tc>
        <w:tc>
          <w:tcPr>
            <w:tcW w:w="89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148"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40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河岸带人工干扰程度（RD）</w:t>
            </w: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人类活动类型</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赋分</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河岸硬性砌护</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采砂</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沿岸建筑物（房屋）</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公路（或铁路）</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垃圾填埋场或垃圾堆放</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河滨公园</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管道</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农业耕种</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70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畜牧养殖</w:t>
            </w:r>
          </w:p>
        </w:tc>
        <w:tc>
          <w:tcPr>
            <w:tcW w:w="4071" w:type="dxa"/>
            <w:gridSpan w:val="7"/>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9" w:type="dxa"/>
            <w:gridSpan w:val="17"/>
            <w:shd w:val="clear" w:color="auto" w:fill="auto"/>
            <w:vAlign w:val="center"/>
          </w:tcPr>
          <w:p>
            <w:pPr>
              <w:widowControl/>
              <w:spacing w:line="288"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备注：经纬度为10进制度数。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河段名称</w:t>
            </w:r>
          </w:p>
        </w:tc>
        <w:tc>
          <w:tcPr>
            <w:tcW w:w="5778" w:type="dxa"/>
            <w:gridSpan w:val="8"/>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hint="eastAsia" w:ascii="Times New Roman" w:hAnsi="Times New Roman" w:eastAsia="仿宋" w:cs="Times New Roman"/>
                <w:color w:val="auto"/>
                <w:kern w:val="0"/>
                <w:sz w:val="18"/>
                <w:szCs w:val="18"/>
                <w:lang w:eastAsia="zh-CN"/>
              </w:rPr>
              <w:t>木厂水</w:t>
            </w:r>
            <w:r>
              <w:rPr>
                <w:rFonts w:ascii="Times New Roman" w:hAnsi="Times New Roman" w:eastAsia="仿宋" w:cs="Times New Roman"/>
                <w:color w:val="auto"/>
                <w:kern w:val="0"/>
                <w:sz w:val="18"/>
                <w:szCs w:val="18"/>
              </w:rPr>
              <w:t>保留段</w:t>
            </w:r>
          </w:p>
        </w:tc>
        <w:tc>
          <w:tcPr>
            <w:tcW w:w="1877"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调查时间</w:t>
            </w:r>
          </w:p>
        </w:tc>
        <w:tc>
          <w:tcPr>
            <w:tcW w:w="185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2018/1/2</w:t>
            </w:r>
          </w:p>
        </w:tc>
        <w:tc>
          <w:tcPr>
            <w:tcW w:w="1904"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填表人</w:t>
            </w:r>
          </w:p>
        </w:tc>
        <w:tc>
          <w:tcPr>
            <w:tcW w:w="185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张永锋、周新智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二级指标</w:t>
            </w:r>
          </w:p>
        </w:tc>
        <w:tc>
          <w:tcPr>
            <w:tcW w:w="2040"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岸坡特征</w:t>
            </w:r>
          </w:p>
        </w:tc>
        <w:tc>
          <w:tcPr>
            <w:tcW w:w="851"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稳定（90）</w:t>
            </w:r>
          </w:p>
        </w:tc>
        <w:tc>
          <w:tcPr>
            <w:tcW w:w="992" w:type="dxa"/>
            <w:gridSpan w:val="2"/>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基本稳定（75）</w:t>
            </w:r>
          </w:p>
        </w:tc>
        <w:tc>
          <w:tcPr>
            <w:tcW w:w="1017"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次不稳定（25）</w:t>
            </w:r>
          </w:p>
        </w:tc>
        <w:tc>
          <w:tcPr>
            <w:tcW w:w="878"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不稳定（0）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调查点1</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调查点2</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调查点3</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调查点4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2040"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51"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92"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01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经度（E）</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纬度（N）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2040"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51"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92"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01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111.061</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23.8894</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2040"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51"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92" w:type="dxa"/>
            <w:gridSpan w:val="2"/>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1017"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878"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河岸稳定性（BKS）</w:t>
            </w:r>
          </w:p>
        </w:tc>
        <w:tc>
          <w:tcPr>
            <w:tcW w:w="204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斜坡倾角（度）（&lt;）</w:t>
            </w:r>
          </w:p>
        </w:tc>
        <w:tc>
          <w:tcPr>
            <w:tcW w:w="851"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92"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w:t>
            </w:r>
          </w:p>
        </w:tc>
        <w:tc>
          <w:tcPr>
            <w:tcW w:w="101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2040"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植被覆盖度（%）（&gt;）</w:t>
            </w:r>
          </w:p>
        </w:tc>
        <w:tc>
          <w:tcPr>
            <w:tcW w:w="851"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75%</w:t>
            </w:r>
          </w:p>
        </w:tc>
        <w:tc>
          <w:tcPr>
            <w:tcW w:w="992"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50%</w:t>
            </w:r>
          </w:p>
        </w:tc>
        <w:tc>
          <w:tcPr>
            <w:tcW w:w="101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25%</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40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2040"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岸坡高度（米）（&lt;）</w:t>
            </w:r>
          </w:p>
        </w:tc>
        <w:tc>
          <w:tcPr>
            <w:tcW w:w="851"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w:t>
            </w:r>
          </w:p>
        </w:tc>
        <w:tc>
          <w:tcPr>
            <w:tcW w:w="992"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w:t>
            </w:r>
          </w:p>
        </w:tc>
        <w:tc>
          <w:tcPr>
            <w:tcW w:w="101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2040"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河岸基质（类别）</w:t>
            </w:r>
          </w:p>
        </w:tc>
        <w:tc>
          <w:tcPr>
            <w:tcW w:w="851"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基岩</w:t>
            </w:r>
          </w:p>
        </w:tc>
        <w:tc>
          <w:tcPr>
            <w:tcW w:w="992"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岩土河岸</w:t>
            </w:r>
          </w:p>
        </w:tc>
        <w:tc>
          <w:tcPr>
            <w:tcW w:w="101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黏土河岸</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非黏土河岸</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非粘土</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2040"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坡脚冲刷强度</w:t>
            </w:r>
          </w:p>
        </w:tc>
        <w:tc>
          <w:tcPr>
            <w:tcW w:w="851"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无冲刷迹象</w:t>
            </w:r>
          </w:p>
        </w:tc>
        <w:tc>
          <w:tcPr>
            <w:tcW w:w="992"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轻度冲刷</w:t>
            </w:r>
          </w:p>
        </w:tc>
        <w:tc>
          <w:tcPr>
            <w:tcW w:w="101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中度冲刷</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w:t>
            </w:r>
          </w:p>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冲刷</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w:t>
            </w:r>
          </w:p>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无冲刷痕迹</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河岸植被覆盖度（RVS）</w:t>
            </w:r>
          </w:p>
        </w:tc>
        <w:tc>
          <w:tcPr>
            <w:tcW w:w="2040"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植被特性</w:t>
            </w:r>
          </w:p>
        </w:tc>
        <w:tc>
          <w:tcPr>
            <w:tcW w:w="851"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植被</w:t>
            </w:r>
          </w:p>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稀疏</w:t>
            </w:r>
          </w:p>
        </w:tc>
        <w:tc>
          <w:tcPr>
            <w:tcW w:w="992" w:type="dxa"/>
            <w:gridSpan w:val="2"/>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中度覆盖</w:t>
            </w:r>
          </w:p>
        </w:tc>
        <w:tc>
          <w:tcPr>
            <w:tcW w:w="1017"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重度覆盖</w:t>
            </w:r>
          </w:p>
        </w:tc>
        <w:tc>
          <w:tcPr>
            <w:tcW w:w="878"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极重度覆盖</w:t>
            </w:r>
          </w:p>
        </w:tc>
        <w:tc>
          <w:tcPr>
            <w:tcW w:w="952"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4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204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乔木（TCr）</w:t>
            </w:r>
          </w:p>
        </w:tc>
        <w:tc>
          <w:tcPr>
            <w:tcW w:w="851"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992"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01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204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灌木（SCr）</w:t>
            </w:r>
          </w:p>
        </w:tc>
        <w:tc>
          <w:tcPr>
            <w:tcW w:w="851"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992"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01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20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15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204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草本</w:t>
            </w:r>
          </w:p>
        </w:tc>
        <w:tc>
          <w:tcPr>
            <w:tcW w:w="851"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0-10%</w:t>
            </w:r>
          </w:p>
        </w:tc>
        <w:tc>
          <w:tcPr>
            <w:tcW w:w="992"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10%-40%</w:t>
            </w:r>
          </w:p>
        </w:tc>
        <w:tc>
          <w:tcPr>
            <w:tcW w:w="1017"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40%-75%</w:t>
            </w:r>
          </w:p>
        </w:tc>
        <w:tc>
          <w:tcPr>
            <w:tcW w:w="878"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&gt;75%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30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xml:space="preserve">35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restart"/>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河岸带人工干扰程度（RD）</w:t>
            </w:r>
          </w:p>
        </w:tc>
        <w:tc>
          <w:tcPr>
            <w:tcW w:w="204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人类活动类型</w:t>
            </w:r>
          </w:p>
        </w:tc>
        <w:tc>
          <w:tcPr>
            <w:tcW w:w="3738" w:type="dxa"/>
            <w:gridSpan w:val="6"/>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赋分</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左岸</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右岸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204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河岸硬性砌护</w:t>
            </w:r>
          </w:p>
        </w:tc>
        <w:tc>
          <w:tcPr>
            <w:tcW w:w="3738" w:type="dxa"/>
            <w:gridSpan w:val="6"/>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204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采砂</w:t>
            </w:r>
          </w:p>
        </w:tc>
        <w:tc>
          <w:tcPr>
            <w:tcW w:w="3738" w:type="dxa"/>
            <w:gridSpan w:val="6"/>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-40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204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沿岸建筑物（房屋）</w:t>
            </w:r>
          </w:p>
        </w:tc>
        <w:tc>
          <w:tcPr>
            <w:tcW w:w="3738" w:type="dxa"/>
            <w:gridSpan w:val="6"/>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204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公路（或铁路）</w:t>
            </w:r>
          </w:p>
        </w:tc>
        <w:tc>
          <w:tcPr>
            <w:tcW w:w="3738" w:type="dxa"/>
            <w:gridSpan w:val="6"/>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204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垃圾填埋场或垃圾堆放</w:t>
            </w:r>
          </w:p>
        </w:tc>
        <w:tc>
          <w:tcPr>
            <w:tcW w:w="3738" w:type="dxa"/>
            <w:gridSpan w:val="6"/>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204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河滨公园</w:t>
            </w:r>
          </w:p>
        </w:tc>
        <w:tc>
          <w:tcPr>
            <w:tcW w:w="3738" w:type="dxa"/>
            <w:gridSpan w:val="6"/>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204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管道</w:t>
            </w:r>
          </w:p>
        </w:tc>
        <w:tc>
          <w:tcPr>
            <w:tcW w:w="3738" w:type="dxa"/>
            <w:gridSpan w:val="6"/>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204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农业耕种</w:t>
            </w:r>
          </w:p>
        </w:tc>
        <w:tc>
          <w:tcPr>
            <w:tcW w:w="3738" w:type="dxa"/>
            <w:gridSpan w:val="6"/>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-15</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0" w:type="dxa"/>
            <w:vMerge w:val="continue"/>
            <w:vAlign w:val="center"/>
          </w:tcPr>
          <w:p>
            <w:pPr>
              <w:widowControl/>
              <w:spacing w:line="288" w:lineRule="exact"/>
              <w:jc w:val="left"/>
              <w:rPr>
                <w:rFonts w:ascii="Times New Roman" w:hAnsi="Times New Roman" w:eastAsia="仿宋" w:cs="Times New Roman"/>
                <w:color w:val="auto"/>
                <w:kern w:val="0"/>
                <w:sz w:val="18"/>
                <w:szCs w:val="18"/>
              </w:rPr>
            </w:pPr>
          </w:p>
        </w:tc>
        <w:tc>
          <w:tcPr>
            <w:tcW w:w="2040" w:type="dxa"/>
            <w:gridSpan w:val="2"/>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畜牧养殖</w:t>
            </w:r>
          </w:p>
        </w:tc>
        <w:tc>
          <w:tcPr>
            <w:tcW w:w="3738" w:type="dxa"/>
            <w:gridSpan w:val="6"/>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w:t>
            </w:r>
          </w:p>
        </w:tc>
        <w:tc>
          <w:tcPr>
            <w:tcW w:w="952"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79"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c>
          <w:tcPr>
            <w:tcW w:w="925" w:type="dxa"/>
            <w:shd w:val="clear" w:color="auto" w:fill="auto"/>
            <w:vAlign w:val="center"/>
          </w:tcPr>
          <w:p>
            <w:pPr>
              <w:widowControl/>
              <w:spacing w:line="288"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9" w:type="dxa"/>
            <w:gridSpan w:val="17"/>
            <w:shd w:val="clear" w:color="auto" w:fill="auto"/>
            <w:vAlign w:val="center"/>
          </w:tcPr>
          <w:p>
            <w:pPr>
              <w:widowControl/>
              <w:spacing w:line="288"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备注：经纬度为10进制度数。</w:t>
            </w:r>
          </w:p>
        </w:tc>
      </w:tr>
    </w:tbl>
    <w:p>
      <w:pPr>
        <w:rPr>
          <w:rFonts w:ascii="Times New Roman" w:hAnsi="Times New Roman" w:cs="Times New Roman"/>
          <w:color w:val="auto"/>
        </w:rPr>
        <w:sectPr>
          <w:headerReference r:id="rId7" w:type="default"/>
          <w:pgSz w:w="16838" w:h="11906" w:orient="landscape"/>
          <w:pgMar w:top="1361" w:right="1361" w:bottom="1474" w:left="1418" w:header="1021" w:footer="964" w:gutter="0"/>
          <w:cols w:space="425" w:num="1"/>
          <w:docGrid w:linePitch="312" w:charSpace="0"/>
        </w:sectPr>
      </w:pPr>
    </w:p>
    <w:p>
      <w:pPr>
        <w:spacing w:line="360" w:lineRule="auto"/>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 xml:space="preserve">4.1.3 水质指标调查 </w:t>
      </w:r>
    </w:p>
    <w:p>
      <w:pPr>
        <w:autoSpaceDE w:val="0"/>
        <w:autoSpaceDN w:val="0"/>
        <w:adjustRightInd w:val="0"/>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本次评估河段共划分20个河段，收集到了主要包括</w:t>
      </w:r>
      <w:r>
        <w:rPr>
          <w:rFonts w:hint="eastAsia" w:ascii="Times New Roman" w:hAnsi="Times New Roman" w:eastAsia="仿宋" w:cs="Times New Roman"/>
          <w:color w:val="auto"/>
          <w:sz w:val="28"/>
          <w:szCs w:val="28"/>
          <w:lang w:eastAsia="zh-CN"/>
        </w:rPr>
        <w:t>资江</w:t>
      </w:r>
      <w:r>
        <w:rPr>
          <w:rFonts w:ascii="Times New Roman" w:hAnsi="Times New Roman" w:eastAsia="仿宋" w:cs="Times New Roman"/>
          <w:color w:val="auto"/>
          <w:sz w:val="28"/>
          <w:szCs w:val="28"/>
        </w:rPr>
        <w:t>、</w:t>
      </w:r>
      <w:r>
        <w:rPr>
          <w:rFonts w:hint="eastAsia" w:ascii="Times New Roman" w:hAnsi="Times New Roman" w:eastAsia="仿宋" w:cs="Times New Roman"/>
          <w:color w:val="auto"/>
          <w:sz w:val="28"/>
          <w:szCs w:val="28"/>
          <w:lang w:eastAsia="zh-CN"/>
        </w:rPr>
        <w:t>白竹洞河</w:t>
      </w:r>
      <w:r>
        <w:rPr>
          <w:rFonts w:ascii="Times New Roman" w:hAnsi="Times New Roman" w:eastAsia="仿宋" w:cs="Times New Roman"/>
          <w:color w:val="auto"/>
          <w:sz w:val="28"/>
          <w:szCs w:val="28"/>
        </w:rPr>
        <w:t>、</w:t>
      </w:r>
      <w:r>
        <w:rPr>
          <w:rFonts w:hint="eastAsia" w:ascii="Times New Roman" w:hAnsi="Times New Roman" w:eastAsia="仿宋" w:cs="Times New Roman"/>
          <w:color w:val="auto"/>
          <w:sz w:val="28"/>
          <w:szCs w:val="28"/>
          <w:lang w:eastAsia="zh-CN"/>
        </w:rPr>
        <w:t>大湾河</w:t>
      </w:r>
      <w:r>
        <w:rPr>
          <w:rFonts w:ascii="Times New Roman" w:hAnsi="Times New Roman" w:eastAsia="仿宋" w:cs="Times New Roman"/>
          <w:color w:val="auto"/>
          <w:sz w:val="28"/>
          <w:szCs w:val="28"/>
        </w:rPr>
        <w:t>、</w:t>
      </w:r>
      <w:r>
        <w:rPr>
          <w:rFonts w:hint="eastAsia" w:ascii="Times New Roman" w:hAnsi="Times New Roman" w:eastAsia="仿宋" w:cs="Times New Roman"/>
          <w:color w:val="auto"/>
          <w:sz w:val="28"/>
          <w:szCs w:val="28"/>
          <w:lang w:eastAsia="zh-CN"/>
        </w:rPr>
        <w:t>瓜里河</w:t>
      </w:r>
      <w:r>
        <w:rPr>
          <w:rFonts w:ascii="Times New Roman" w:hAnsi="Times New Roman" w:eastAsia="仿宋" w:cs="Times New Roman"/>
          <w:color w:val="auto"/>
          <w:sz w:val="28"/>
          <w:szCs w:val="28"/>
        </w:rPr>
        <w:t>、</w:t>
      </w:r>
      <w:r>
        <w:rPr>
          <w:rFonts w:hint="eastAsia" w:ascii="Times New Roman" w:hAnsi="Times New Roman" w:eastAsia="仿宋" w:cs="Times New Roman"/>
          <w:color w:val="auto"/>
          <w:sz w:val="28"/>
          <w:szCs w:val="28"/>
          <w:lang w:val="en-US" w:eastAsia="zh-CN"/>
        </w:rPr>
        <w:t>胡家田河</w:t>
      </w:r>
      <w:r>
        <w:rPr>
          <w:rFonts w:ascii="Times New Roman" w:hAnsi="Times New Roman" w:eastAsia="仿宋" w:cs="Times New Roman"/>
          <w:color w:val="auto"/>
          <w:sz w:val="28"/>
          <w:szCs w:val="28"/>
        </w:rPr>
        <w:t xml:space="preserve">等多条河流的水质监测资料，监测项目主要包括水温、溶解氧、高锰酸钾指数、五日生化需氧量、氨氮、总磷、砷、汞、铬、镉、铅等多项评价数据。结合水功能区监测结果，收集和采用现有常规水质监测点资料为主，同时结合评价河段划分情况进行调查统计。 </w:t>
      </w:r>
    </w:p>
    <w:p>
      <w:pPr>
        <w:autoSpaceDE w:val="0"/>
        <w:autoSpaceDN w:val="0"/>
        <w:adjustRightInd w:val="0"/>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（1）监测点位 </w:t>
      </w:r>
    </w:p>
    <w:p>
      <w:pPr>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水质状况监测以收集现有水利部门常规水质监测为主，辅以收集其他单位的水质资料。</w:t>
      </w:r>
    </w:p>
    <w:p>
      <w:pPr>
        <w:autoSpaceDE w:val="0"/>
        <w:autoSpaceDN w:val="0"/>
        <w:adjustRightInd w:val="0"/>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（2）监测指标 </w:t>
      </w:r>
    </w:p>
    <w:p>
      <w:pPr>
        <w:autoSpaceDE w:val="0"/>
        <w:autoSpaceDN w:val="0"/>
        <w:adjustRightInd w:val="0"/>
        <w:spacing w:line="360" w:lineRule="auto"/>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lang w:eastAsia="zh-CN"/>
        </w:rPr>
        <w:t>资江</w:t>
      </w:r>
      <w:r>
        <w:rPr>
          <w:rFonts w:hint="eastAsia" w:ascii="Times New Roman" w:hAnsi="Times New Roman" w:eastAsia="仿宋" w:cs="Times New Roman"/>
          <w:color w:val="auto"/>
          <w:sz w:val="28"/>
          <w:szCs w:val="28"/>
        </w:rPr>
        <w:t>25</w:t>
      </w:r>
      <w:r>
        <w:rPr>
          <w:rFonts w:ascii="Times New Roman" w:hAnsi="Times New Roman" w:eastAsia="仿宋" w:cs="Times New Roman"/>
          <w:color w:val="auto"/>
          <w:sz w:val="28"/>
          <w:szCs w:val="28"/>
        </w:rPr>
        <w:t xml:space="preserve">个监测点位中监测指标包括溶解氧、高锰酸盐指数、化学需氧量、五日生化需氧量、氨氮、砷、汞、镉、铬、铅10个指标。具体见表4.1.3-1。 </w:t>
      </w:r>
    </w:p>
    <w:p>
      <w:pPr>
        <w:autoSpaceDE w:val="0"/>
        <w:autoSpaceDN w:val="0"/>
        <w:adjustRightInd w:val="0"/>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（3）监测时间 </w:t>
      </w:r>
    </w:p>
    <w:p>
      <w:pPr>
        <w:autoSpaceDE w:val="0"/>
        <w:autoSpaceDN w:val="0"/>
        <w:adjustRightInd w:val="0"/>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已有常规水质监测点位的监测时间为2015年1月</w:t>
      </w:r>
      <w:r>
        <w:rPr>
          <w:rFonts w:ascii="Times New Roman" w:hAnsi="Times New Roman" w:eastAsia="仿宋" w:cs="Times New Roman"/>
          <w:bCs/>
          <w:color w:val="auto"/>
          <w:sz w:val="28"/>
          <w:szCs w:val="28"/>
        </w:rPr>
        <w:t>～</w:t>
      </w:r>
      <w:r>
        <w:rPr>
          <w:rFonts w:ascii="Times New Roman" w:hAnsi="Times New Roman" w:eastAsia="仿宋" w:cs="Times New Roman"/>
          <w:color w:val="auto"/>
          <w:sz w:val="28"/>
          <w:szCs w:val="28"/>
        </w:rPr>
        <w:t>2015年12月，每月一次</w:t>
      </w:r>
      <w:r>
        <w:rPr>
          <w:rFonts w:hint="eastAsia" w:ascii="Times New Roman" w:hAnsi="Times New Roman" w:eastAsia="仿宋" w:cs="Times New Roman"/>
          <w:color w:val="auto"/>
          <w:sz w:val="28"/>
          <w:szCs w:val="28"/>
        </w:rPr>
        <w:t>，其中部分站点2月、8月、12月份缺乏资料，根据实际监测成果进行汛期和非汛期分别计算</w:t>
      </w:r>
      <w:r>
        <w:rPr>
          <w:rFonts w:ascii="Times New Roman" w:hAnsi="Times New Roman" w:eastAsia="仿宋" w:cs="Times New Roman"/>
          <w:color w:val="auto"/>
          <w:sz w:val="28"/>
          <w:szCs w:val="28"/>
        </w:rPr>
        <w:t xml:space="preserve">。 </w:t>
      </w:r>
    </w:p>
    <w:p>
      <w:pPr>
        <w:autoSpaceDE w:val="0"/>
        <w:autoSpaceDN w:val="0"/>
        <w:adjustRightInd w:val="0"/>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（4）监测单位 </w:t>
      </w:r>
    </w:p>
    <w:p>
      <w:pPr>
        <w:autoSpaceDE w:val="0"/>
        <w:autoSpaceDN w:val="0"/>
        <w:adjustRightInd w:val="0"/>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已有的</w:t>
      </w:r>
      <w:r>
        <w:rPr>
          <w:rFonts w:hint="eastAsia" w:ascii="Times New Roman" w:hAnsi="Times New Roman" w:eastAsia="仿宋" w:cs="Times New Roman"/>
          <w:color w:val="auto"/>
          <w:sz w:val="28"/>
          <w:szCs w:val="28"/>
        </w:rPr>
        <w:t>25</w:t>
      </w:r>
      <w:r>
        <w:rPr>
          <w:rFonts w:ascii="Times New Roman" w:hAnsi="Times New Roman" w:eastAsia="仿宋" w:cs="Times New Roman"/>
          <w:color w:val="auto"/>
          <w:sz w:val="28"/>
          <w:szCs w:val="28"/>
        </w:rPr>
        <w:t>个常规水质监测点位的监测数据由桂林市水文水资源局提供。</w:t>
      </w:r>
    </w:p>
    <w:p>
      <w:pPr>
        <w:autoSpaceDE w:val="0"/>
        <w:autoSpaceDN w:val="0"/>
        <w:adjustRightInd w:val="0"/>
        <w:spacing w:line="360" w:lineRule="auto"/>
        <w:ind w:firstLine="560" w:firstLineChars="200"/>
        <w:rPr>
          <w:rFonts w:ascii="Times New Roman" w:hAnsi="Times New Roman" w:eastAsia="仿宋" w:cs="Times New Roman"/>
          <w:color w:val="auto"/>
          <w:sz w:val="28"/>
          <w:szCs w:val="28"/>
        </w:rPr>
        <w:sectPr>
          <w:headerReference r:id="rId8" w:type="default"/>
          <w:pgSz w:w="11906" w:h="16838"/>
          <w:pgMar w:top="1361" w:right="1361" w:bottom="1474" w:left="1418" w:header="1021" w:footer="964" w:gutter="0"/>
          <w:cols w:space="425" w:num="1"/>
          <w:docGrid w:linePitch="312" w:charSpace="0"/>
        </w:sectPr>
      </w:pPr>
    </w:p>
    <w:p>
      <w:pPr>
        <w:spacing w:line="360" w:lineRule="auto"/>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 xml:space="preserve">4.1.4 生物指标调查 </w:t>
      </w:r>
    </w:p>
    <w:p>
      <w:pPr>
        <w:autoSpaceDE w:val="0"/>
        <w:autoSpaceDN w:val="0"/>
        <w:adjustRightInd w:val="0"/>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（1）硅藻 </w:t>
      </w:r>
    </w:p>
    <w:p>
      <w:pPr>
        <w:autoSpaceDE w:val="0"/>
        <w:autoSpaceDN w:val="0"/>
        <w:adjustRightInd w:val="0"/>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硅藻采集方法根据法国AFNOR (2000) T90-354和欧洲NFEN 13946硅藻常规采样和预处理指导标准。硅藻采样基质为能抵抗水流、地势开阔处无树荫遮挡的大石，牙刷刷取，每个采集点至少采集5块石头，混合样加15‰甲醛固定。采样点应避开排污口，所选石块以位于水面以下20厘米处为佳，太深处的石块由于光线太弱不适合硅藻生长。采样时间以枯水期为佳，丰水期水位变化幅度较大且水体中含有大量泥沙，制作的玻片标本中含有大量泥沙杂质影响观察。 </w:t>
      </w:r>
    </w:p>
    <w:p>
      <w:pPr>
        <w:autoSpaceDE w:val="0"/>
        <w:autoSpaceDN w:val="0"/>
        <w:adjustRightInd w:val="0"/>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取2毫升硅藻样品加入20毫升双氧水，水浴加热16小时去除硅藻有机质，之后静置沉降12小时移除上清液，加入10毫升10%盐酸，待试管中气泡消失，静置沉降，移除上清液，反复用蒸馏水清洗沉淀物3次，消化后的硅藻仅剩硅质外壳。取适宜浓度的消化后的硅藻样品置于盖玻片上，自然风干后使用Naphrax封片胶制成可永久保存的玻片标本，在显微镜下放大1000倍鉴定，视野内所有的硅藻样品及破损面积不超过1/4都要鉴定和计数，至少计数400个硅藻壳面，计数结果可以用不同种的相对丰度和比例来表示。将计数结果输入硅藻分析软件计算各项硅藻指数，用于评价水质等级。</w:t>
      </w:r>
    </w:p>
    <w:p>
      <w:pPr>
        <w:autoSpaceDE w:val="0"/>
        <w:autoSpaceDN w:val="0"/>
        <w:adjustRightInd w:val="0"/>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（2）底栖动物 </w:t>
      </w:r>
    </w:p>
    <w:p>
      <w:pPr>
        <w:autoSpaceDE w:val="0"/>
        <w:autoSpaceDN w:val="0"/>
        <w:adjustRightInd w:val="0"/>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在静水-缓流区和急流区各用索伯网采5个样。采样时，用脚或小铁扒有力地搅动索伯网前定量框内的底质，并用手将粘附在石块上的底栖动物洗刷入网。急流的5个样和静水-缓流区的5个样各自合在一起，单独存放。半定量样本包括踢网样和D形抄网样，踢样只在急流中采1个，0.5m</w:t>
      </w:r>
      <w:r>
        <w:rPr>
          <w:rFonts w:ascii="Times New Roman" w:hAnsi="Times New Roman" w:eastAsia="仿宋" w:cs="Times New Roman"/>
          <w:color w:val="auto"/>
          <w:sz w:val="28"/>
          <w:szCs w:val="28"/>
          <w:vertAlign w:val="superscript"/>
        </w:rPr>
        <w:t>2</w:t>
      </w:r>
      <w:r>
        <w:rPr>
          <w:rFonts w:ascii="Times New Roman" w:hAnsi="Times New Roman" w:eastAsia="仿宋" w:cs="Times New Roman"/>
          <w:color w:val="auto"/>
          <w:sz w:val="28"/>
          <w:szCs w:val="28"/>
        </w:rPr>
        <w:t>左右，采样时用脚、小铁扒搅动网前约0.5m</w:t>
      </w:r>
      <w:r>
        <w:rPr>
          <w:rFonts w:ascii="Times New Roman" w:hAnsi="Times New Roman" w:eastAsia="仿宋" w:cs="Times New Roman"/>
          <w:color w:val="auto"/>
          <w:sz w:val="28"/>
          <w:szCs w:val="28"/>
          <w:vertAlign w:val="superscript"/>
        </w:rPr>
        <w:t>2</w:t>
      </w:r>
      <w:r>
        <w:rPr>
          <w:rFonts w:ascii="Times New Roman" w:hAnsi="Times New Roman" w:eastAsia="仿宋" w:cs="Times New Roman"/>
          <w:color w:val="auto"/>
          <w:sz w:val="28"/>
          <w:szCs w:val="28"/>
        </w:rPr>
        <w:t>范围内的底质，同样用手刷下粘附在石块上的底栖动物，在静水、缓流工和提岸边用D形抄网采集，采集长度为20m，约6m</w:t>
      </w:r>
      <w:r>
        <w:rPr>
          <w:rFonts w:ascii="Times New Roman" w:hAnsi="Times New Roman" w:eastAsia="仿宋" w:cs="Times New Roman"/>
          <w:color w:val="auto"/>
          <w:sz w:val="28"/>
          <w:szCs w:val="28"/>
          <w:vertAlign w:val="superscript"/>
        </w:rPr>
        <w:t>2</w:t>
      </w:r>
      <w:r>
        <w:rPr>
          <w:rFonts w:ascii="Times New Roman" w:hAnsi="Times New Roman" w:eastAsia="仿宋" w:cs="Times New Roman"/>
          <w:color w:val="auto"/>
          <w:sz w:val="28"/>
          <w:szCs w:val="28"/>
        </w:rPr>
        <w:t>，踢网样和抄网样分别存放。标本经大致清洗后用5%</w:t>
      </w:r>
      <w:r>
        <w:rPr>
          <w:rFonts w:ascii="Times New Roman" w:hAnsi="Times New Roman" w:eastAsia="仿宋" w:cs="Times New Roman"/>
          <w:bCs/>
          <w:color w:val="auto"/>
          <w:sz w:val="28"/>
          <w:szCs w:val="28"/>
        </w:rPr>
        <w:t>～</w:t>
      </w:r>
      <w:r>
        <w:rPr>
          <w:rFonts w:ascii="Times New Roman" w:hAnsi="Times New Roman" w:eastAsia="仿宋" w:cs="Times New Roman"/>
          <w:color w:val="auto"/>
          <w:sz w:val="28"/>
          <w:szCs w:val="28"/>
        </w:rPr>
        <w:t xml:space="preserve">10%福尔马林溶液固定带回实验室。标本鉴定至属或种，少数为目或科。记录各分类单元个体数。 </w:t>
      </w:r>
    </w:p>
    <w:p>
      <w:pPr>
        <w:autoSpaceDE w:val="0"/>
        <w:autoSpaceDN w:val="0"/>
        <w:adjustRightInd w:val="0"/>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（3）鱼类调查 </w:t>
      </w:r>
    </w:p>
    <w:p>
      <w:pPr>
        <w:autoSpaceDE w:val="0"/>
        <w:autoSpaceDN w:val="0"/>
        <w:adjustRightInd w:val="0"/>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鱼类调查以搜集资料结合现场调查为主，以及对</w:t>
      </w:r>
      <w:r>
        <w:rPr>
          <w:rFonts w:hint="eastAsia" w:ascii="Times New Roman" w:hAnsi="Times New Roman" w:eastAsia="仿宋" w:cs="Times New Roman"/>
          <w:color w:val="auto"/>
          <w:sz w:val="28"/>
          <w:szCs w:val="28"/>
          <w:lang w:eastAsia="zh-CN"/>
        </w:rPr>
        <w:t>资江</w:t>
      </w:r>
      <w:r>
        <w:rPr>
          <w:rFonts w:ascii="Times New Roman" w:hAnsi="Times New Roman" w:eastAsia="仿宋" w:cs="Times New Roman"/>
          <w:color w:val="auto"/>
          <w:sz w:val="28"/>
          <w:szCs w:val="28"/>
        </w:rPr>
        <w:t>鱼类资料进行收集。其中鱼类现状调查采用2012年的数据，历史资料通过成果《广西淡水鱼类志》得来，上述资料是基于</w:t>
      </w:r>
      <w:r>
        <w:rPr>
          <w:rFonts w:hint="eastAsia" w:ascii="Times New Roman" w:hAnsi="Times New Roman" w:eastAsia="仿宋" w:cs="Times New Roman"/>
          <w:color w:val="auto"/>
          <w:sz w:val="28"/>
          <w:szCs w:val="28"/>
          <w:lang w:eastAsia="zh-CN"/>
        </w:rPr>
        <w:t>资江</w:t>
      </w:r>
      <w:r>
        <w:rPr>
          <w:rFonts w:ascii="Times New Roman" w:hAnsi="Times New Roman" w:eastAsia="仿宋" w:cs="Times New Roman"/>
          <w:color w:val="auto"/>
          <w:sz w:val="28"/>
          <w:szCs w:val="28"/>
        </w:rPr>
        <w:t>历史上多次较大规模的水生生物自然资源调查所获得鱼类信息的基础数据；还有一些鱼类记录通过查询各类相关书籍和报告将文献记录分布以及采集分布所得到的进行汇总。其中1974-1976年数据引用自广西水产研究所《广西淡水鱼类志》；1980-1982年数据引用自《广西壮族自治区内陆水域渔业自然资源调查研究》等报告。</w:t>
      </w:r>
    </w:p>
    <w:p>
      <w:pPr>
        <w:pStyle w:val="5"/>
        <w:bidi w:val="0"/>
        <w:rPr>
          <w:rFonts w:cs="Times New Roman"/>
          <w:color w:val="auto"/>
        </w:rPr>
      </w:pPr>
      <w:bookmarkStart w:id="83" w:name="_Toc387"/>
      <w:bookmarkStart w:id="84" w:name="_Toc20629"/>
      <w:r>
        <w:rPr>
          <w:rFonts w:cs="Times New Roman"/>
          <w:color w:val="auto"/>
        </w:rPr>
        <w:t>4.2 社会服务功能评估指标调查</w:t>
      </w:r>
      <w:bookmarkEnd w:id="83"/>
      <w:bookmarkEnd w:id="84"/>
      <w:r>
        <w:rPr>
          <w:rFonts w:cs="Times New Roman"/>
          <w:color w:val="auto"/>
        </w:rPr>
        <w:t xml:space="preserve"> </w:t>
      </w:r>
    </w:p>
    <w:p>
      <w:pPr>
        <w:autoSpaceDE w:val="0"/>
        <w:autoSpaceDN w:val="0"/>
        <w:adjustRightInd w:val="0"/>
        <w:spacing w:line="360" w:lineRule="auto"/>
        <w:ind w:firstLine="560" w:firstLineChars="200"/>
        <w:jc w:val="lef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社会服务功能评估指标调查包括水功能区达标指标、水资源开发利用指标、防洪指标和公众满意度指标四个方面。 </w:t>
      </w:r>
    </w:p>
    <w:p>
      <w:pPr>
        <w:spacing w:line="360" w:lineRule="auto"/>
        <w:outlineLvl w:val="2"/>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0"/>
        </w:rPr>
        <w:t>4.2.1 水功能区达标率调查</w:t>
      </w:r>
      <w:r>
        <w:rPr>
          <w:rFonts w:ascii="Times New Roman" w:hAnsi="Times New Roman" w:eastAsia="仿宋" w:cs="Times New Roman"/>
          <w:color w:val="auto"/>
          <w:kern w:val="0"/>
          <w:sz w:val="28"/>
          <w:szCs w:val="28"/>
        </w:rPr>
        <w:t xml:space="preserve">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水功能区达标指标通过收集的水质监测数据，同时结合各市水资源公报、水资源月报等资料，按照《地表水资源质量评价技术规程》（SL395-2007）进行水功能区达标率评价。 </w:t>
      </w:r>
    </w:p>
    <w:p>
      <w:pPr>
        <w:spacing w:line="360" w:lineRule="auto"/>
        <w:outlineLvl w:val="2"/>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 xml:space="preserve">4.2.2 水资源开发利用率调查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（1）降水资源总量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根据1956～20</w:t>
      </w:r>
      <w:r>
        <w:rPr>
          <w:rFonts w:hint="eastAsia" w:ascii="Times New Roman" w:hAnsi="Times New Roman" w:eastAsia="仿宋" w:cs="Times New Roman"/>
          <w:color w:val="auto"/>
          <w:kern w:val="0"/>
          <w:sz w:val="28"/>
          <w:szCs w:val="28"/>
          <w:lang w:val="en-US" w:eastAsia="zh-CN"/>
        </w:rPr>
        <w:t>21</w:t>
      </w:r>
      <w:r>
        <w:rPr>
          <w:rFonts w:ascii="Times New Roman" w:hAnsi="Times New Roman" w:eastAsia="仿宋" w:cs="Times New Roman"/>
          <w:color w:val="auto"/>
          <w:kern w:val="0"/>
          <w:sz w:val="28"/>
          <w:szCs w:val="28"/>
        </w:rPr>
        <w:t>年的降水资料统计，逐年用泰森多边形法进行统计，广西</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平均的年降水深为</w:t>
      </w:r>
      <w:r>
        <w:rPr>
          <w:rFonts w:hint="eastAsia" w:ascii="Times New Roman" w:hAnsi="Times New Roman" w:eastAsia="仿宋" w:cs="Times New Roman"/>
          <w:color w:val="auto"/>
          <w:kern w:val="0"/>
          <w:sz w:val="28"/>
          <w:szCs w:val="28"/>
        </w:rPr>
        <w:t>1709</w:t>
      </w:r>
      <w:r>
        <w:rPr>
          <w:rFonts w:ascii="Times New Roman" w:hAnsi="Times New Roman" w:eastAsia="仿宋" w:cs="Times New Roman"/>
          <w:color w:val="auto"/>
          <w:kern w:val="0"/>
          <w:sz w:val="28"/>
          <w:szCs w:val="28"/>
        </w:rPr>
        <w:t>.4mm，折合年降水总量186.86亿m</w:t>
      </w:r>
      <w:r>
        <w:rPr>
          <w:rFonts w:ascii="Times New Roman" w:hAnsi="Times New Roman" w:eastAsia="仿宋" w:cs="Times New Roman"/>
          <w:color w:val="auto"/>
          <w:kern w:val="0"/>
          <w:sz w:val="28"/>
          <w:szCs w:val="28"/>
          <w:vertAlign w:val="superscript"/>
        </w:rPr>
        <w:t>3</w:t>
      </w:r>
      <w:r>
        <w:rPr>
          <w:rFonts w:ascii="Times New Roman" w:hAnsi="Times New Roman" w:eastAsia="仿宋" w:cs="Times New Roman"/>
          <w:color w:val="auto"/>
          <w:kern w:val="0"/>
          <w:sz w:val="28"/>
          <w:szCs w:val="28"/>
        </w:rPr>
        <w:t>。受气候和地形影响，广西</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 xml:space="preserve">降雨年内分配很不均匀，雨季大都集中在3～8月，约占年雨量的76.2%。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（2）地表水资源量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广西</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多年平均年径流总量为</w:t>
      </w:r>
      <w:r>
        <w:rPr>
          <w:rFonts w:hint="eastAsia" w:ascii="Times New Roman" w:hAnsi="Times New Roman" w:eastAsia="仿宋" w:cs="Times New Roman"/>
          <w:color w:val="auto"/>
          <w:kern w:val="0"/>
          <w:sz w:val="28"/>
          <w:szCs w:val="28"/>
        </w:rPr>
        <w:t>186.86</w:t>
      </w:r>
      <w:r>
        <w:rPr>
          <w:rFonts w:ascii="Times New Roman" w:hAnsi="Times New Roman" w:eastAsia="仿宋" w:cs="Times New Roman"/>
          <w:color w:val="auto"/>
          <w:kern w:val="0"/>
          <w:sz w:val="28"/>
          <w:szCs w:val="28"/>
        </w:rPr>
        <w:t>亿m</w:t>
      </w:r>
      <w:r>
        <w:rPr>
          <w:rFonts w:ascii="Times New Roman" w:hAnsi="Times New Roman" w:eastAsia="仿宋" w:cs="Times New Roman"/>
          <w:color w:val="auto"/>
          <w:kern w:val="0"/>
          <w:sz w:val="28"/>
          <w:szCs w:val="28"/>
          <w:vertAlign w:val="superscript"/>
        </w:rPr>
        <w:t>3</w:t>
      </w:r>
      <w:r>
        <w:rPr>
          <w:rFonts w:ascii="Times New Roman" w:hAnsi="Times New Roman" w:eastAsia="仿宋" w:cs="Times New Roman"/>
          <w:color w:val="auto"/>
          <w:kern w:val="0"/>
          <w:sz w:val="28"/>
          <w:szCs w:val="28"/>
        </w:rPr>
        <w:t>。流域季节水量分配极不均匀，枯季期水量只占年水量的17.3%。年际之间变化亦较大。</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（3）地下水资源量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地下水资源量系指与降水、地表水有直接补排关系的地下水总补给量。根据广西水资源调查与评价，广西</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多年平均地下水资源量约</w:t>
      </w:r>
      <w:r>
        <w:rPr>
          <w:rFonts w:hint="eastAsia" w:ascii="Times New Roman" w:hAnsi="Times New Roman" w:eastAsia="仿宋" w:cs="Times New Roman"/>
          <w:color w:val="auto"/>
          <w:kern w:val="0"/>
          <w:sz w:val="28"/>
          <w:szCs w:val="28"/>
        </w:rPr>
        <w:t>48.11</w:t>
      </w:r>
      <w:r>
        <w:rPr>
          <w:rFonts w:ascii="Times New Roman" w:hAnsi="Times New Roman" w:eastAsia="仿宋" w:cs="Times New Roman"/>
          <w:color w:val="auto"/>
          <w:kern w:val="0"/>
          <w:sz w:val="28"/>
          <w:szCs w:val="28"/>
        </w:rPr>
        <w:t>亿m</w:t>
      </w:r>
      <w:r>
        <w:rPr>
          <w:rFonts w:ascii="Times New Roman" w:hAnsi="Times New Roman" w:eastAsia="仿宋" w:cs="Times New Roman"/>
          <w:color w:val="auto"/>
          <w:kern w:val="0"/>
          <w:sz w:val="28"/>
          <w:szCs w:val="28"/>
          <w:vertAlign w:val="superscript"/>
        </w:rPr>
        <w:t>3</w:t>
      </w:r>
      <w:r>
        <w:rPr>
          <w:rFonts w:ascii="Times New Roman" w:hAnsi="Times New Roman" w:eastAsia="仿宋" w:cs="Times New Roman"/>
          <w:color w:val="auto"/>
          <w:kern w:val="0"/>
          <w:sz w:val="28"/>
          <w:szCs w:val="28"/>
        </w:rPr>
        <w:t>，其中一般山丘区</w:t>
      </w:r>
      <w:r>
        <w:rPr>
          <w:rFonts w:hint="eastAsia" w:ascii="Times New Roman" w:hAnsi="Times New Roman" w:eastAsia="仿宋" w:cs="Times New Roman"/>
          <w:color w:val="auto"/>
          <w:kern w:val="0"/>
          <w:sz w:val="28"/>
          <w:szCs w:val="28"/>
        </w:rPr>
        <w:t>32.31</w:t>
      </w:r>
      <w:r>
        <w:rPr>
          <w:rFonts w:ascii="Times New Roman" w:hAnsi="Times New Roman" w:eastAsia="仿宋" w:cs="Times New Roman"/>
          <w:color w:val="auto"/>
          <w:kern w:val="0"/>
          <w:sz w:val="28"/>
          <w:szCs w:val="28"/>
        </w:rPr>
        <w:t>亿m</w:t>
      </w:r>
      <w:r>
        <w:rPr>
          <w:rFonts w:ascii="Times New Roman" w:hAnsi="Times New Roman" w:eastAsia="仿宋" w:cs="Times New Roman"/>
          <w:color w:val="auto"/>
          <w:kern w:val="0"/>
          <w:sz w:val="28"/>
          <w:szCs w:val="28"/>
          <w:vertAlign w:val="superscript"/>
        </w:rPr>
        <w:t>3</w:t>
      </w:r>
      <w:r>
        <w:rPr>
          <w:rFonts w:ascii="Times New Roman" w:hAnsi="Times New Roman" w:eastAsia="仿宋" w:cs="Times New Roman"/>
          <w:color w:val="auto"/>
          <w:kern w:val="0"/>
          <w:sz w:val="28"/>
          <w:szCs w:val="28"/>
        </w:rPr>
        <w:t>，岩溶区15.</w:t>
      </w:r>
      <w:r>
        <w:rPr>
          <w:rFonts w:hint="eastAsia" w:ascii="Times New Roman" w:hAnsi="Times New Roman" w:eastAsia="仿宋" w:cs="Times New Roman"/>
          <w:color w:val="auto"/>
          <w:kern w:val="0"/>
          <w:sz w:val="28"/>
          <w:szCs w:val="28"/>
        </w:rPr>
        <w:t>80</w:t>
      </w:r>
      <w:r>
        <w:rPr>
          <w:rFonts w:ascii="Times New Roman" w:hAnsi="Times New Roman" w:eastAsia="仿宋" w:cs="Times New Roman"/>
          <w:color w:val="auto"/>
          <w:kern w:val="0"/>
          <w:sz w:val="28"/>
          <w:szCs w:val="28"/>
        </w:rPr>
        <w:t>亿m</w:t>
      </w:r>
      <w:r>
        <w:rPr>
          <w:rFonts w:ascii="Times New Roman" w:hAnsi="Times New Roman" w:eastAsia="仿宋" w:cs="Times New Roman"/>
          <w:color w:val="auto"/>
          <w:kern w:val="0"/>
          <w:sz w:val="28"/>
          <w:szCs w:val="28"/>
          <w:vertAlign w:val="superscript"/>
        </w:rPr>
        <w:t>3</w:t>
      </w:r>
      <w:r>
        <w:rPr>
          <w:rFonts w:ascii="Times New Roman" w:hAnsi="Times New Roman" w:eastAsia="仿宋" w:cs="Times New Roman"/>
          <w:color w:val="auto"/>
          <w:kern w:val="0"/>
          <w:sz w:val="28"/>
          <w:szCs w:val="28"/>
        </w:rPr>
        <w:t xml:space="preserve">。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（4）流域水资源总量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广西</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多年平均地表水资源量</w:t>
      </w:r>
      <w:r>
        <w:rPr>
          <w:rFonts w:hint="eastAsia" w:ascii="Times New Roman" w:hAnsi="Times New Roman" w:eastAsia="仿宋" w:cs="Times New Roman"/>
          <w:color w:val="auto"/>
          <w:kern w:val="0"/>
          <w:sz w:val="28"/>
          <w:szCs w:val="28"/>
        </w:rPr>
        <w:t>186.86</w:t>
      </w:r>
      <w:r>
        <w:rPr>
          <w:rFonts w:ascii="Times New Roman" w:hAnsi="Times New Roman" w:eastAsia="仿宋" w:cs="Times New Roman"/>
          <w:color w:val="auto"/>
          <w:kern w:val="0"/>
          <w:sz w:val="28"/>
          <w:szCs w:val="28"/>
        </w:rPr>
        <w:t>亿m</w:t>
      </w:r>
      <w:r>
        <w:rPr>
          <w:rFonts w:ascii="Times New Roman" w:hAnsi="Times New Roman" w:eastAsia="仿宋" w:cs="Times New Roman"/>
          <w:color w:val="auto"/>
          <w:kern w:val="0"/>
          <w:sz w:val="28"/>
          <w:szCs w:val="28"/>
          <w:vertAlign w:val="superscript"/>
        </w:rPr>
        <w:t>3</w:t>
      </w:r>
      <w:r>
        <w:rPr>
          <w:rFonts w:ascii="Times New Roman" w:hAnsi="Times New Roman" w:eastAsia="仿宋" w:cs="Times New Roman"/>
          <w:color w:val="auto"/>
          <w:kern w:val="0"/>
          <w:sz w:val="28"/>
          <w:szCs w:val="28"/>
        </w:rPr>
        <w:t>；地下水资源量基本上属于与地表水资源的重复计算量。流域多年平均水资源总量为</w:t>
      </w:r>
      <w:r>
        <w:rPr>
          <w:rFonts w:hint="eastAsia" w:ascii="Times New Roman" w:hAnsi="Times New Roman" w:eastAsia="仿宋" w:cs="Times New Roman"/>
          <w:color w:val="auto"/>
          <w:kern w:val="0"/>
          <w:sz w:val="28"/>
          <w:szCs w:val="28"/>
        </w:rPr>
        <w:t>186.86</w:t>
      </w:r>
      <w:r>
        <w:rPr>
          <w:rFonts w:ascii="Times New Roman" w:hAnsi="Times New Roman" w:eastAsia="仿宋" w:cs="Times New Roman"/>
          <w:color w:val="auto"/>
          <w:kern w:val="0"/>
          <w:sz w:val="28"/>
          <w:szCs w:val="28"/>
        </w:rPr>
        <w:t>亿m</w:t>
      </w:r>
      <w:r>
        <w:rPr>
          <w:rFonts w:ascii="Times New Roman" w:hAnsi="Times New Roman" w:eastAsia="仿宋" w:cs="Times New Roman"/>
          <w:color w:val="auto"/>
          <w:kern w:val="0"/>
          <w:sz w:val="28"/>
          <w:szCs w:val="28"/>
          <w:vertAlign w:val="superscript"/>
        </w:rPr>
        <w:t>3</w:t>
      </w:r>
      <w:r>
        <w:rPr>
          <w:rFonts w:ascii="Times New Roman" w:hAnsi="Times New Roman" w:eastAsia="仿宋" w:cs="Times New Roman"/>
          <w:color w:val="auto"/>
          <w:kern w:val="0"/>
          <w:sz w:val="28"/>
          <w:szCs w:val="28"/>
        </w:rPr>
        <w:t>，多年径流深</w:t>
      </w:r>
      <w:r>
        <w:rPr>
          <w:rFonts w:hint="eastAsia" w:ascii="Times New Roman" w:hAnsi="Times New Roman" w:eastAsia="仿宋" w:cs="Times New Roman"/>
          <w:color w:val="auto"/>
          <w:kern w:val="0"/>
          <w:sz w:val="28"/>
          <w:szCs w:val="28"/>
        </w:rPr>
        <w:t>1056.2</w:t>
      </w:r>
      <w:r>
        <w:rPr>
          <w:rFonts w:ascii="Times New Roman" w:hAnsi="Times New Roman" w:eastAsia="仿宋" w:cs="Times New Roman"/>
          <w:color w:val="auto"/>
          <w:kern w:val="0"/>
          <w:sz w:val="28"/>
          <w:szCs w:val="28"/>
        </w:rPr>
        <w:t>mm，多年平均径流系数为0.</w:t>
      </w:r>
      <w:r>
        <w:rPr>
          <w:rFonts w:hint="eastAsia" w:ascii="Times New Roman" w:hAnsi="Times New Roman" w:eastAsia="仿宋" w:cs="Times New Roman"/>
          <w:color w:val="auto"/>
          <w:kern w:val="0"/>
          <w:sz w:val="28"/>
          <w:szCs w:val="28"/>
        </w:rPr>
        <w:t>62</w:t>
      </w:r>
      <w:r>
        <w:rPr>
          <w:rFonts w:ascii="Times New Roman" w:hAnsi="Times New Roman" w:eastAsia="仿宋" w:cs="Times New Roman"/>
          <w:color w:val="auto"/>
          <w:kern w:val="0"/>
          <w:sz w:val="28"/>
          <w:szCs w:val="28"/>
        </w:rPr>
        <w:t xml:space="preserve">。 </w:t>
      </w:r>
    </w:p>
    <w:p>
      <w:pPr>
        <w:autoSpaceDE w:val="0"/>
        <w:autoSpaceDN w:val="0"/>
        <w:adjustRightInd w:val="0"/>
        <w:spacing w:line="360" w:lineRule="auto"/>
        <w:jc w:val="left"/>
        <w:outlineLvl w:val="2"/>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4.2.3 防洪安全调查 </w:t>
      </w:r>
    </w:p>
    <w:p>
      <w:pPr>
        <w:spacing w:line="360" w:lineRule="auto"/>
        <w:ind w:firstLine="700" w:firstLineChars="25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防洪安全通过搜集评估河段规划有防洪要求的河堤，分析其现状防洪标准与规划防洪标准之间的差异。</w:t>
      </w:r>
    </w:p>
    <w:p>
      <w:pPr>
        <w:autoSpaceDE w:val="0"/>
        <w:autoSpaceDN w:val="0"/>
        <w:adjustRightInd w:val="0"/>
        <w:spacing w:line="360" w:lineRule="auto"/>
        <w:jc w:val="left"/>
        <w:outlineLvl w:val="2"/>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4.2.4 公众满意度调查 </w:t>
      </w:r>
    </w:p>
    <w:p>
      <w:pPr>
        <w:spacing w:line="360" w:lineRule="auto"/>
        <w:ind w:firstLine="700" w:firstLineChars="25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众满意度评估采取发放调查表方式进行。调查表样式如表4.2.4所示。问卷调查以真实姓名确认内容的方式进行。被调查对象包括：水利相关部门工作人员、流域附近居民等。调查的主要内容包括：调查公众的职业信息，公众对河流适宜性的评价以及对河流总体的评价。通过收集分析公众调查表，统计有效调查表调查成果。</w:t>
      </w:r>
    </w:p>
    <w:p>
      <w:pPr>
        <w:spacing w:line="360" w:lineRule="auto"/>
        <w:rPr>
          <w:rFonts w:ascii="Times New Roman" w:hAnsi="Times New Roman" w:eastAsia="仿宋" w:cs="Times New Roman"/>
          <w:color w:val="auto"/>
          <w:kern w:val="0"/>
          <w:sz w:val="28"/>
          <w:szCs w:val="28"/>
        </w:rPr>
      </w:pPr>
    </w:p>
    <w:p>
      <w:pPr>
        <w:spacing w:line="360" w:lineRule="auto"/>
        <w:rPr>
          <w:rFonts w:ascii="Times New Roman" w:hAnsi="Times New Roman" w:eastAsia="仿宋" w:cs="Times New Roman"/>
          <w:color w:val="auto"/>
          <w:kern w:val="0"/>
          <w:sz w:val="28"/>
          <w:szCs w:val="28"/>
        </w:rPr>
      </w:pPr>
    </w:p>
    <w:p>
      <w:pPr>
        <w:spacing w:line="360" w:lineRule="auto"/>
        <w:rPr>
          <w:rFonts w:ascii="Times New Roman" w:hAnsi="Times New Roman" w:eastAsia="仿宋" w:cs="Times New Roman"/>
          <w:color w:val="auto"/>
          <w:kern w:val="0"/>
          <w:sz w:val="28"/>
          <w:szCs w:val="28"/>
        </w:rPr>
      </w:pPr>
    </w:p>
    <w:p>
      <w:pPr>
        <w:spacing w:line="360" w:lineRule="auto"/>
        <w:rPr>
          <w:rFonts w:ascii="Times New Roman" w:hAnsi="Times New Roman" w:eastAsia="仿宋" w:cs="Times New Roman"/>
          <w:color w:val="auto"/>
          <w:kern w:val="0"/>
          <w:sz w:val="28"/>
          <w:szCs w:val="28"/>
        </w:rPr>
      </w:pPr>
    </w:p>
    <w:p>
      <w:pPr>
        <w:spacing w:line="360" w:lineRule="auto"/>
        <w:rPr>
          <w:rFonts w:ascii="Times New Roman" w:hAnsi="Times New Roman" w:eastAsia="仿宋" w:cs="Times New Roman"/>
          <w:color w:val="auto"/>
          <w:kern w:val="0"/>
          <w:sz w:val="28"/>
          <w:szCs w:val="28"/>
        </w:rPr>
      </w:pPr>
    </w:p>
    <w:p>
      <w:pPr>
        <w:spacing w:line="360" w:lineRule="auto"/>
        <w:rPr>
          <w:rFonts w:ascii="Times New Roman" w:hAnsi="Times New Roman" w:eastAsia="仿宋" w:cs="Times New Roman"/>
          <w:color w:val="auto"/>
          <w:kern w:val="0"/>
          <w:sz w:val="28"/>
          <w:szCs w:val="28"/>
        </w:rPr>
      </w:pPr>
    </w:p>
    <w:p>
      <w:pPr>
        <w:spacing w:line="360" w:lineRule="auto"/>
        <w:rPr>
          <w:rFonts w:ascii="Times New Roman" w:hAnsi="Times New Roman" w:eastAsia="仿宋" w:cs="Times New Roman"/>
          <w:color w:val="auto"/>
          <w:kern w:val="0"/>
          <w:sz w:val="28"/>
          <w:szCs w:val="28"/>
        </w:rPr>
      </w:pPr>
    </w:p>
    <w:p>
      <w:pPr>
        <w:spacing w:line="360" w:lineRule="auto"/>
        <w:rPr>
          <w:rFonts w:ascii="Times New Roman" w:hAnsi="Times New Roman" w:eastAsia="仿宋" w:cs="Times New Roman"/>
          <w:color w:val="auto"/>
          <w:kern w:val="0"/>
          <w:sz w:val="28"/>
          <w:szCs w:val="28"/>
        </w:rPr>
      </w:pPr>
    </w:p>
    <w:p>
      <w:pPr>
        <w:spacing w:line="360" w:lineRule="auto"/>
        <w:rPr>
          <w:rFonts w:ascii="Times New Roman" w:hAnsi="Times New Roman" w:eastAsia="仿宋" w:cs="Times New Roman"/>
          <w:color w:val="auto"/>
          <w:kern w:val="0"/>
          <w:sz w:val="28"/>
          <w:szCs w:val="28"/>
        </w:rPr>
      </w:pPr>
    </w:p>
    <w:p>
      <w:pPr>
        <w:spacing w:line="560" w:lineRule="exact"/>
        <w:jc w:val="center"/>
        <w:rPr>
          <w:rFonts w:ascii="Times New Roman" w:hAnsi="Times New Roman" w:eastAsia="仿宋" w:cs="Times New Roman"/>
          <w:b/>
          <w:color w:val="auto"/>
          <w:sz w:val="28"/>
          <w:szCs w:val="28"/>
        </w:rPr>
      </w:pPr>
      <w:r>
        <w:rPr>
          <w:rFonts w:ascii="Times New Roman" w:hAnsi="Times New Roman" w:eastAsia="仿宋" w:cs="Times New Roman"/>
          <w:b/>
          <w:color w:val="auto"/>
          <w:kern w:val="0"/>
          <w:sz w:val="28"/>
          <w:szCs w:val="28"/>
        </w:rPr>
        <w:t>表4.2.4           河流健康评估公众调查表</w:t>
      </w:r>
    </w:p>
    <w:tbl>
      <w:tblPr>
        <w:tblStyle w:val="15"/>
        <w:tblW w:w="9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807"/>
        <w:gridCol w:w="1195"/>
        <w:gridCol w:w="236"/>
        <w:gridCol w:w="1005"/>
        <w:gridCol w:w="1166"/>
        <w:gridCol w:w="1183"/>
        <w:gridCol w:w="999"/>
        <w:gridCol w:w="253"/>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shd w:val="clear" w:color="auto" w:fill="auto"/>
            <w:vAlign w:val="center"/>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姓</w:t>
            </w:r>
            <w:r>
              <w:rPr>
                <w:rFonts w:hint="eastAsia" w:ascii="Times New Roman" w:hAnsi="Times New Roman" w:eastAsia="仿宋" w:cs="Times New Roman"/>
                <w:color w:val="auto"/>
                <w:kern w:val="0"/>
                <w:sz w:val="18"/>
                <w:szCs w:val="18"/>
              </w:rPr>
              <w:t xml:space="preserve">    </w:t>
            </w:r>
            <w:r>
              <w:rPr>
                <w:rFonts w:ascii="Times New Roman" w:hAnsi="Times New Roman" w:eastAsia="仿宋" w:cs="Times New Roman"/>
                <w:color w:val="auto"/>
                <w:kern w:val="0"/>
                <w:sz w:val="18"/>
                <w:szCs w:val="18"/>
              </w:rPr>
              <w:t>名</w:t>
            </w:r>
          </w:p>
        </w:tc>
        <w:tc>
          <w:tcPr>
            <w:tcW w:w="807" w:type="dxa"/>
            <w:shd w:val="clear" w:color="auto" w:fill="auto"/>
            <w:vAlign w:val="center"/>
          </w:tcPr>
          <w:p>
            <w:pPr>
              <w:spacing w:line="310" w:lineRule="exact"/>
              <w:jc w:val="center"/>
              <w:rPr>
                <w:rFonts w:ascii="Times New Roman" w:hAnsi="Times New Roman" w:eastAsia="仿宋" w:cs="Times New Roman"/>
                <w:color w:val="auto"/>
                <w:kern w:val="0"/>
                <w:sz w:val="18"/>
                <w:szCs w:val="18"/>
              </w:rPr>
            </w:pPr>
          </w:p>
        </w:tc>
        <w:tc>
          <w:tcPr>
            <w:tcW w:w="1195" w:type="dxa"/>
            <w:shd w:val="clear" w:color="auto" w:fill="auto"/>
            <w:vAlign w:val="center"/>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性</w:t>
            </w:r>
            <w:r>
              <w:rPr>
                <w:rFonts w:hint="eastAsia" w:ascii="Times New Roman" w:hAnsi="Times New Roman" w:eastAsia="仿宋" w:cs="Times New Roman"/>
                <w:color w:val="auto"/>
                <w:kern w:val="0"/>
                <w:sz w:val="18"/>
                <w:szCs w:val="18"/>
              </w:rPr>
              <w:t xml:space="preserve"> </w:t>
            </w:r>
            <w:r>
              <w:rPr>
                <w:rFonts w:ascii="Times New Roman" w:hAnsi="Times New Roman" w:eastAsia="仿宋" w:cs="Times New Roman"/>
                <w:color w:val="auto"/>
                <w:kern w:val="0"/>
                <w:sz w:val="18"/>
                <w:szCs w:val="18"/>
              </w:rPr>
              <w:t>别</w:t>
            </w:r>
          </w:p>
        </w:tc>
        <w:tc>
          <w:tcPr>
            <w:tcW w:w="2407" w:type="dxa"/>
            <w:gridSpan w:val="3"/>
            <w:shd w:val="clear" w:color="auto" w:fill="auto"/>
            <w:vAlign w:val="center"/>
          </w:tcPr>
          <w:p>
            <w:pPr>
              <w:spacing w:line="310" w:lineRule="exact"/>
              <w:jc w:val="center"/>
              <w:rPr>
                <w:rFonts w:ascii="Times New Roman" w:hAnsi="Times New Roman" w:eastAsia="仿宋" w:cs="Times New Roman"/>
                <w:color w:val="auto"/>
                <w:kern w:val="0"/>
                <w:sz w:val="18"/>
                <w:szCs w:val="18"/>
              </w:rPr>
            </w:pPr>
          </w:p>
        </w:tc>
        <w:tc>
          <w:tcPr>
            <w:tcW w:w="1183" w:type="dxa"/>
            <w:shd w:val="clear" w:color="auto" w:fill="auto"/>
            <w:vAlign w:val="center"/>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年</w:t>
            </w:r>
            <w:r>
              <w:rPr>
                <w:rFonts w:hint="eastAsia" w:ascii="Times New Roman" w:hAnsi="Times New Roman" w:eastAsia="仿宋" w:cs="Times New Roman"/>
                <w:color w:val="auto"/>
                <w:kern w:val="0"/>
                <w:sz w:val="18"/>
                <w:szCs w:val="18"/>
              </w:rPr>
              <w:t xml:space="preserve">  </w:t>
            </w:r>
            <w:r>
              <w:rPr>
                <w:rFonts w:ascii="Times New Roman" w:hAnsi="Times New Roman" w:eastAsia="仿宋" w:cs="Times New Roman"/>
                <w:color w:val="auto"/>
                <w:kern w:val="0"/>
                <w:sz w:val="18"/>
                <w:szCs w:val="18"/>
              </w:rPr>
              <w:t>龄</w:t>
            </w:r>
          </w:p>
        </w:tc>
        <w:tc>
          <w:tcPr>
            <w:tcW w:w="2471" w:type="dxa"/>
            <w:gridSpan w:val="3"/>
            <w:shd w:val="clear" w:color="auto" w:fill="auto"/>
            <w:vAlign w:val="center"/>
          </w:tcPr>
          <w:p>
            <w:pPr>
              <w:spacing w:line="310" w:lineRule="exact"/>
              <w:jc w:val="center"/>
              <w:rPr>
                <w:rFonts w:ascii="Times New Roman" w:hAnsi="Times New Roman" w:eastAsia="仿宋"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shd w:val="clear" w:color="auto" w:fill="auto"/>
            <w:vAlign w:val="center"/>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文化程度</w:t>
            </w:r>
          </w:p>
        </w:tc>
        <w:tc>
          <w:tcPr>
            <w:tcW w:w="807" w:type="dxa"/>
            <w:shd w:val="clear" w:color="auto" w:fill="auto"/>
            <w:vAlign w:val="center"/>
          </w:tcPr>
          <w:p>
            <w:pPr>
              <w:spacing w:line="310" w:lineRule="exact"/>
              <w:jc w:val="center"/>
              <w:rPr>
                <w:rFonts w:ascii="Times New Roman" w:hAnsi="Times New Roman" w:eastAsia="仿宋" w:cs="Times New Roman"/>
                <w:color w:val="auto"/>
                <w:kern w:val="0"/>
                <w:sz w:val="18"/>
                <w:szCs w:val="18"/>
              </w:rPr>
            </w:pPr>
          </w:p>
        </w:tc>
        <w:tc>
          <w:tcPr>
            <w:tcW w:w="1195" w:type="dxa"/>
            <w:shd w:val="clear" w:color="auto" w:fill="auto"/>
            <w:vAlign w:val="center"/>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职</w:t>
            </w:r>
            <w:r>
              <w:rPr>
                <w:rFonts w:hint="eastAsia" w:ascii="Times New Roman" w:hAnsi="Times New Roman" w:eastAsia="仿宋" w:cs="Times New Roman"/>
                <w:color w:val="auto"/>
                <w:kern w:val="0"/>
                <w:sz w:val="18"/>
                <w:szCs w:val="18"/>
              </w:rPr>
              <w:t xml:space="preserve"> </w:t>
            </w:r>
            <w:r>
              <w:rPr>
                <w:rFonts w:ascii="Times New Roman" w:hAnsi="Times New Roman" w:eastAsia="仿宋" w:cs="Times New Roman"/>
                <w:color w:val="auto"/>
                <w:kern w:val="0"/>
                <w:sz w:val="18"/>
                <w:szCs w:val="18"/>
              </w:rPr>
              <w:t>业</w:t>
            </w:r>
          </w:p>
        </w:tc>
        <w:tc>
          <w:tcPr>
            <w:tcW w:w="2407" w:type="dxa"/>
            <w:gridSpan w:val="3"/>
            <w:shd w:val="clear" w:color="auto" w:fill="auto"/>
            <w:vAlign w:val="center"/>
          </w:tcPr>
          <w:p>
            <w:pPr>
              <w:spacing w:line="310" w:lineRule="exact"/>
              <w:jc w:val="center"/>
              <w:rPr>
                <w:rFonts w:ascii="Times New Roman" w:hAnsi="Times New Roman" w:eastAsia="仿宋" w:cs="Times New Roman"/>
                <w:color w:val="auto"/>
                <w:kern w:val="0"/>
                <w:sz w:val="18"/>
                <w:szCs w:val="18"/>
              </w:rPr>
            </w:pPr>
          </w:p>
        </w:tc>
        <w:tc>
          <w:tcPr>
            <w:tcW w:w="1183" w:type="dxa"/>
            <w:shd w:val="clear" w:color="auto" w:fill="auto"/>
            <w:vAlign w:val="center"/>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民</w:t>
            </w:r>
            <w:r>
              <w:rPr>
                <w:rFonts w:hint="eastAsia" w:ascii="Times New Roman" w:hAnsi="Times New Roman" w:eastAsia="仿宋" w:cs="Times New Roman"/>
                <w:color w:val="auto"/>
                <w:kern w:val="0"/>
                <w:sz w:val="18"/>
                <w:szCs w:val="18"/>
              </w:rPr>
              <w:t xml:space="preserve">  </w:t>
            </w:r>
            <w:r>
              <w:rPr>
                <w:rFonts w:ascii="Times New Roman" w:hAnsi="Times New Roman" w:eastAsia="仿宋" w:cs="Times New Roman"/>
                <w:color w:val="auto"/>
                <w:kern w:val="0"/>
                <w:sz w:val="18"/>
                <w:szCs w:val="18"/>
              </w:rPr>
              <w:t>族</w:t>
            </w:r>
          </w:p>
        </w:tc>
        <w:tc>
          <w:tcPr>
            <w:tcW w:w="2471" w:type="dxa"/>
            <w:gridSpan w:val="3"/>
            <w:shd w:val="clear" w:color="auto" w:fill="auto"/>
            <w:vAlign w:val="center"/>
          </w:tcPr>
          <w:p>
            <w:pPr>
              <w:spacing w:line="310" w:lineRule="exact"/>
              <w:jc w:val="center"/>
              <w:rPr>
                <w:rFonts w:ascii="Times New Roman" w:hAnsi="Times New Roman" w:eastAsia="仿宋"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shd w:val="clear" w:color="auto" w:fill="auto"/>
            <w:vAlign w:val="center"/>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住</w:t>
            </w:r>
            <w:r>
              <w:rPr>
                <w:rFonts w:hint="eastAsia" w:ascii="Times New Roman" w:hAnsi="Times New Roman" w:eastAsia="仿宋" w:cs="Times New Roman"/>
                <w:color w:val="auto"/>
                <w:kern w:val="0"/>
                <w:sz w:val="18"/>
                <w:szCs w:val="18"/>
              </w:rPr>
              <w:t xml:space="preserve">    </w:t>
            </w:r>
            <w:r>
              <w:rPr>
                <w:rFonts w:ascii="Times New Roman" w:hAnsi="Times New Roman" w:eastAsia="仿宋" w:cs="Times New Roman"/>
                <w:color w:val="auto"/>
                <w:kern w:val="0"/>
                <w:sz w:val="18"/>
                <w:szCs w:val="18"/>
              </w:rPr>
              <w:t>址</w:t>
            </w:r>
          </w:p>
        </w:tc>
        <w:tc>
          <w:tcPr>
            <w:tcW w:w="4409" w:type="dxa"/>
            <w:gridSpan w:val="5"/>
            <w:shd w:val="clear" w:color="auto" w:fill="auto"/>
            <w:vAlign w:val="center"/>
          </w:tcPr>
          <w:p>
            <w:pPr>
              <w:spacing w:line="310" w:lineRule="exact"/>
              <w:jc w:val="center"/>
              <w:rPr>
                <w:rFonts w:ascii="Times New Roman" w:hAnsi="Times New Roman" w:eastAsia="仿宋" w:cs="Times New Roman"/>
                <w:color w:val="auto"/>
                <w:kern w:val="0"/>
                <w:sz w:val="18"/>
                <w:szCs w:val="18"/>
              </w:rPr>
            </w:pPr>
          </w:p>
        </w:tc>
        <w:tc>
          <w:tcPr>
            <w:tcW w:w="1183" w:type="dxa"/>
            <w:shd w:val="clear" w:color="auto" w:fill="auto"/>
            <w:vAlign w:val="center"/>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联系电话</w:t>
            </w:r>
          </w:p>
        </w:tc>
        <w:tc>
          <w:tcPr>
            <w:tcW w:w="2471" w:type="dxa"/>
            <w:gridSpan w:val="3"/>
            <w:shd w:val="clear" w:color="auto" w:fill="auto"/>
            <w:vAlign w:val="center"/>
          </w:tcPr>
          <w:p>
            <w:pPr>
              <w:spacing w:line="310" w:lineRule="exact"/>
              <w:jc w:val="center"/>
              <w:rPr>
                <w:rFonts w:ascii="Times New Roman" w:hAnsi="Times New Roman" w:eastAsia="仿宋"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2087" w:type="dxa"/>
            <w:gridSpan w:val="2"/>
            <w:shd w:val="clear" w:color="auto" w:fill="auto"/>
            <w:vAlign w:val="center"/>
          </w:tcPr>
          <w:p>
            <w:pPr>
              <w:spacing w:line="310" w:lineRule="exac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河流/水库对个人生活的重要性</w:t>
            </w:r>
          </w:p>
        </w:tc>
        <w:tc>
          <w:tcPr>
            <w:tcW w:w="1195" w:type="dxa"/>
            <w:vMerge w:val="restart"/>
            <w:shd w:val="clear" w:color="auto" w:fill="auto"/>
            <w:vAlign w:val="center"/>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与河流/水库的关系</w:t>
            </w:r>
          </w:p>
        </w:tc>
        <w:tc>
          <w:tcPr>
            <w:tcW w:w="4589" w:type="dxa"/>
            <w:gridSpan w:val="5"/>
            <w:shd w:val="clear" w:color="auto" w:fill="auto"/>
            <w:vAlign w:val="center"/>
          </w:tcPr>
          <w:p>
            <w:pPr>
              <w:spacing w:line="310" w:lineRule="exac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沿河/库居民（河岸以外1km以内范围）</w:t>
            </w:r>
          </w:p>
        </w:tc>
        <w:tc>
          <w:tcPr>
            <w:tcW w:w="1472" w:type="dxa"/>
            <w:gridSpan w:val="2"/>
            <w:shd w:val="clear" w:color="auto" w:fill="auto"/>
            <w:vAlign w:val="bottom"/>
          </w:tcPr>
          <w:p>
            <w:pPr>
              <w:spacing w:line="310" w:lineRule="exact"/>
              <w:jc w:val="left"/>
              <w:rPr>
                <w:rFonts w:ascii="Times New Roman" w:hAnsi="Times New Roman" w:eastAsia="仿宋"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很重要</w:t>
            </w:r>
          </w:p>
        </w:tc>
        <w:tc>
          <w:tcPr>
            <w:tcW w:w="807"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1195" w:type="dxa"/>
            <w:vMerge w:val="continue"/>
            <w:vAlign w:val="center"/>
          </w:tcPr>
          <w:p>
            <w:pPr>
              <w:spacing w:line="310" w:lineRule="exact"/>
              <w:jc w:val="left"/>
              <w:rPr>
                <w:rFonts w:ascii="Times New Roman" w:hAnsi="Times New Roman" w:eastAsia="仿宋" w:cs="Times New Roman"/>
                <w:color w:val="auto"/>
                <w:kern w:val="0"/>
                <w:sz w:val="18"/>
                <w:szCs w:val="18"/>
              </w:rPr>
            </w:pPr>
          </w:p>
        </w:tc>
        <w:tc>
          <w:tcPr>
            <w:tcW w:w="2407" w:type="dxa"/>
            <w:gridSpan w:val="3"/>
            <w:vMerge w:val="restart"/>
            <w:shd w:val="clear" w:color="auto" w:fill="auto"/>
            <w:vAlign w:val="center"/>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非沿河/库居民</w:t>
            </w:r>
          </w:p>
        </w:tc>
        <w:tc>
          <w:tcPr>
            <w:tcW w:w="2182" w:type="dxa"/>
            <w:gridSpan w:val="2"/>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河道/水库管理者</w:t>
            </w:r>
          </w:p>
        </w:tc>
        <w:tc>
          <w:tcPr>
            <w:tcW w:w="1472" w:type="dxa"/>
            <w:gridSpan w:val="2"/>
            <w:shd w:val="clear" w:color="auto" w:fill="auto"/>
            <w:vAlign w:val="bottom"/>
          </w:tcPr>
          <w:p>
            <w:pPr>
              <w:spacing w:line="310" w:lineRule="exact"/>
              <w:jc w:val="left"/>
              <w:rPr>
                <w:rFonts w:ascii="Times New Roman" w:hAnsi="Times New Roman" w:eastAsia="仿宋"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较重要</w:t>
            </w:r>
          </w:p>
        </w:tc>
        <w:tc>
          <w:tcPr>
            <w:tcW w:w="807"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1195" w:type="dxa"/>
            <w:vMerge w:val="continue"/>
            <w:vAlign w:val="center"/>
          </w:tcPr>
          <w:p>
            <w:pPr>
              <w:spacing w:line="310" w:lineRule="exact"/>
              <w:jc w:val="left"/>
              <w:rPr>
                <w:rFonts w:ascii="Times New Roman" w:hAnsi="Times New Roman" w:eastAsia="仿宋" w:cs="Times New Roman"/>
                <w:color w:val="auto"/>
                <w:kern w:val="0"/>
                <w:sz w:val="18"/>
                <w:szCs w:val="18"/>
              </w:rPr>
            </w:pPr>
          </w:p>
        </w:tc>
        <w:tc>
          <w:tcPr>
            <w:tcW w:w="2407" w:type="dxa"/>
            <w:gridSpan w:val="3"/>
            <w:vMerge w:val="continue"/>
            <w:vAlign w:val="center"/>
          </w:tcPr>
          <w:p>
            <w:pPr>
              <w:spacing w:line="310" w:lineRule="exact"/>
              <w:jc w:val="left"/>
              <w:rPr>
                <w:rFonts w:ascii="Times New Roman" w:hAnsi="Times New Roman" w:eastAsia="仿宋" w:cs="Times New Roman"/>
                <w:color w:val="auto"/>
                <w:kern w:val="0"/>
                <w:sz w:val="18"/>
                <w:szCs w:val="18"/>
              </w:rPr>
            </w:pPr>
          </w:p>
        </w:tc>
        <w:tc>
          <w:tcPr>
            <w:tcW w:w="2182" w:type="dxa"/>
            <w:gridSpan w:val="2"/>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河道/水库周边从事生产活动</w:t>
            </w:r>
          </w:p>
        </w:tc>
        <w:tc>
          <w:tcPr>
            <w:tcW w:w="1472" w:type="dxa"/>
            <w:gridSpan w:val="2"/>
            <w:shd w:val="clear" w:color="auto" w:fill="auto"/>
            <w:vAlign w:val="bottom"/>
          </w:tcPr>
          <w:p>
            <w:pPr>
              <w:spacing w:line="310" w:lineRule="exact"/>
              <w:jc w:val="left"/>
              <w:rPr>
                <w:rFonts w:ascii="Times New Roman" w:hAnsi="Times New Roman" w:eastAsia="仿宋"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一般</w:t>
            </w:r>
          </w:p>
        </w:tc>
        <w:tc>
          <w:tcPr>
            <w:tcW w:w="807"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1195" w:type="dxa"/>
            <w:vMerge w:val="continue"/>
            <w:vAlign w:val="center"/>
          </w:tcPr>
          <w:p>
            <w:pPr>
              <w:spacing w:line="310" w:lineRule="exact"/>
              <w:jc w:val="left"/>
              <w:rPr>
                <w:rFonts w:ascii="Times New Roman" w:hAnsi="Times New Roman" w:eastAsia="仿宋" w:cs="Times New Roman"/>
                <w:color w:val="auto"/>
                <w:kern w:val="0"/>
                <w:sz w:val="18"/>
                <w:szCs w:val="18"/>
              </w:rPr>
            </w:pPr>
          </w:p>
        </w:tc>
        <w:tc>
          <w:tcPr>
            <w:tcW w:w="2407" w:type="dxa"/>
            <w:gridSpan w:val="3"/>
            <w:vMerge w:val="continue"/>
            <w:vAlign w:val="center"/>
          </w:tcPr>
          <w:p>
            <w:pPr>
              <w:spacing w:line="310" w:lineRule="exact"/>
              <w:jc w:val="left"/>
              <w:rPr>
                <w:rFonts w:ascii="Times New Roman" w:hAnsi="Times New Roman" w:eastAsia="仿宋" w:cs="Times New Roman"/>
                <w:color w:val="auto"/>
                <w:kern w:val="0"/>
                <w:sz w:val="18"/>
                <w:szCs w:val="18"/>
              </w:rPr>
            </w:pPr>
          </w:p>
        </w:tc>
        <w:tc>
          <w:tcPr>
            <w:tcW w:w="2182" w:type="dxa"/>
            <w:gridSpan w:val="2"/>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经常来旅游</w:t>
            </w:r>
          </w:p>
        </w:tc>
        <w:tc>
          <w:tcPr>
            <w:tcW w:w="1472" w:type="dxa"/>
            <w:gridSpan w:val="2"/>
            <w:shd w:val="clear" w:color="auto" w:fill="auto"/>
            <w:vAlign w:val="bottom"/>
          </w:tcPr>
          <w:p>
            <w:pPr>
              <w:spacing w:line="310" w:lineRule="exact"/>
              <w:jc w:val="left"/>
              <w:rPr>
                <w:rFonts w:ascii="Times New Roman" w:hAnsi="Times New Roman" w:eastAsia="仿宋"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不重要</w:t>
            </w:r>
          </w:p>
        </w:tc>
        <w:tc>
          <w:tcPr>
            <w:tcW w:w="807"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1195" w:type="dxa"/>
            <w:vMerge w:val="continue"/>
            <w:vAlign w:val="center"/>
          </w:tcPr>
          <w:p>
            <w:pPr>
              <w:spacing w:line="310" w:lineRule="exact"/>
              <w:jc w:val="left"/>
              <w:rPr>
                <w:rFonts w:ascii="Times New Roman" w:hAnsi="Times New Roman" w:eastAsia="仿宋" w:cs="Times New Roman"/>
                <w:color w:val="auto"/>
                <w:kern w:val="0"/>
                <w:sz w:val="18"/>
                <w:szCs w:val="18"/>
              </w:rPr>
            </w:pPr>
          </w:p>
        </w:tc>
        <w:tc>
          <w:tcPr>
            <w:tcW w:w="2407" w:type="dxa"/>
            <w:gridSpan w:val="3"/>
            <w:vMerge w:val="continue"/>
            <w:vAlign w:val="center"/>
          </w:tcPr>
          <w:p>
            <w:pPr>
              <w:spacing w:line="310" w:lineRule="exact"/>
              <w:jc w:val="left"/>
              <w:rPr>
                <w:rFonts w:ascii="Times New Roman" w:hAnsi="Times New Roman" w:eastAsia="仿宋" w:cs="Times New Roman"/>
                <w:color w:val="auto"/>
                <w:kern w:val="0"/>
                <w:sz w:val="18"/>
                <w:szCs w:val="18"/>
              </w:rPr>
            </w:pPr>
          </w:p>
        </w:tc>
        <w:tc>
          <w:tcPr>
            <w:tcW w:w="2182" w:type="dxa"/>
            <w:gridSpan w:val="2"/>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偶尔来旅游</w:t>
            </w:r>
          </w:p>
        </w:tc>
        <w:tc>
          <w:tcPr>
            <w:tcW w:w="1472" w:type="dxa"/>
            <w:gridSpan w:val="2"/>
            <w:shd w:val="clear" w:color="auto" w:fill="auto"/>
            <w:vAlign w:val="bottom"/>
          </w:tcPr>
          <w:p>
            <w:pPr>
              <w:spacing w:line="310" w:lineRule="exact"/>
              <w:jc w:val="left"/>
              <w:rPr>
                <w:rFonts w:ascii="Times New Roman" w:hAnsi="Times New Roman" w:eastAsia="仿宋"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9343" w:type="dxa"/>
            <w:gridSpan w:val="10"/>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河流/水库状况评估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2087" w:type="dxa"/>
            <w:gridSpan w:val="2"/>
            <w:shd w:val="clear" w:color="auto" w:fill="auto"/>
            <w:vAlign w:val="bottom"/>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河流/水库水量</w:t>
            </w:r>
          </w:p>
        </w:tc>
        <w:tc>
          <w:tcPr>
            <w:tcW w:w="3602" w:type="dxa"/>
            <w:gridSpan w:val="4"/>
            <w:shd w:val="clear" w:color="auto" w:fill="auto"/>
            <w:vAlign w:val="bottom"/>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河流/水库水质</w:t>
            </w:r>
          </w:p>
        </w:tc>
        <w:tc>
          <w:tcPr>
            <w:tcW w:w="3654" w:type="dxa"/>
            <w:gridSpan w:val="4"/>
            <w:shd w:val="clear" w:color="auto" w:fill="auto"/>
            <w:vAlign w:val="bottom"/>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河/库滩地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太少</w:t>
            </w:r>
          </w:p>
        </w:tc>
        <w:tc>
          <w:tcPr>
            <w:tcW w:w="807"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1195"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清洁</w:t>
            </w:r>
          </w:p>
        </w:tc>
        <w:tc>
          <w:tcPr>
            <w:tcW w:w="2407" w:type="dxa"/>
            <w:gridSpan w:val="3"/>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1183" w:type="dxa"/>
            <w:vMerge w:val="restart"/>
            <w:shd w:val="clear" w:color="auto" w:fill="auto"/>
            <w:vAlign w:val="bottom"/>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树草状况</w:t>
            </w:r>
          </w:p>
        </w:tc>
        <w:tc>
          <w:tcPr>
            <w:tcW w:w="2471" w:type="dxa"/>
            <w:gridSpan w:val="3"/>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河/库滩上的树草太少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还可以</w:t>
            </w:r>
          </w:p>
        </w:tc>
        <w:tc>
          <w:tcPr>
            <w:tcW w:w="807"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1195"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一般</w:t>
            </w:r>
          </w:p>
        </w:tc>
        <w:tc>
          <w:tcPr>
            <w:tcW w:w="2407" w:type="dxa"/>
            <w:gridSpan w:val="3"/>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1183" w:type="dxa"/>
            <w:vMerge w:val="continue"/>
            <w:vAlign w:val="center"/>
          </w:tcPr>
          <w:p>
            <w:pPr>
              <w:spacing w:line="310" w:lineRule="exact"/>
              <w:jc w:val="left"/>
              <w:rPr>
                <w:rFonts w:ascii="Times New Roman" w:hAnsi="Times New Roman" w:eastAsia="仿宋" w:cs="Times New Roman"/>
                <w:color w:val="auto"/>
                <w:kern w:val="0"/>
                <w:sz w:val="18"/>
                <w:szCs w:val="18"/>
              </w:rPr>
            </w:pPr>
          </w:p>
        </w:tc>
        <w:tc>
          <w:tcPr>
            <w:tcW w:w="2471" w:type="dxa"/>
            <w:gridSpan w:val="3"/>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河/库滩上的树草数量还可以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太多</w:t>
            </w:r>
          </w:p>
        </w:tc>
        <w:tc>
          <w:tcPr>
            <w:tcW w:w="807"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1195"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比较脏</w:t>
            </w:r>
          </w:p>
        </w:tc>
        <w:tc>
          <w:tcPr>
            <w:tcW w:w="2407" w:type="dxa"/>
            <w:gridSpan w:val="3"/>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1183" w:type="dxa"/>
            <w:vMerge w:val="restart"/>
            <w:shd w:val="clear" w:color="auto" w:fill="auto"/>
            <w:vAlign w:val="bottom"/>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垃圾堆放</w:t>
            </w:r>
          </w:p>
        </w:tc>
        <w:tc>
          <w:tcPr>
            <w:tcW w:w="2471" w:type="dxa"/>
            <w:gridSpan w:val="3"/>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无垃圾堆放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不好判断</w:t>
            </w:r>
          </w:p>
        </w:tc>
        <w:tc>
          <w:tcPr>
            <w:tcW w:w="807"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1195"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太脏</w:t>
            </w:r>
          </w:p>
        </w:tc>
        <w:tc>
          <w:tcPr>
            <w:tcW w:w="2407" w:type="dxa"/>
            <w:gridSpan w:val="3"/>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1183" w:type="dxa"/>
            <w:vMerge w:val="continue"/>
            <w:vAlign w:val="center"/>
          </w:tcPr>
          <w:p>
            <w:pPr>
              <w:spacing w:line="310" w:lineRule="exact"/>
              <w:jc w:val="left"/>
              <w:rPr>
                <w:rFonts w:ascii="Times New Roman" w:hAnsi="Times New Roman" w:eastAsia="仿宋" w:cs="Times New Roman"/>
                <w:color w:val="auto"/>
                <w:kern w:val="0"/>
                <w:sz w:val="18"/>
                <w:szCs w:val="18"/>
              </w:rPr>
            </w:pPr>
          </w:p>
        </w:tc>
        <w:tc>
          <w:tcPr>
            <w:tcW w:w="2471" w:type="dxa"/>
            <w:gridSpan w:val="3"/>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有垃圾堆放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2087" w:type="dxa"/>
            <w:gridSpan w:val="2"/>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鱼类数量</w:t>
            </w:r>
          </w:p>
        </w:tc>
        <w:tc>
          <w:tcPr>
            <w:tcW w:w="3602" w:type="dxa"/>
            <w:gridSpan w:val="4"/>
            <w:shd w:val="clear" w:color="auto" w:fill="auto"/>
            <w:vAlign w:val="bottom"/>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大鱼</w:t>
            </w:r>
          </w:p>
        </w:tc>
        <w:tc>
          <w:tcPr>
            <w:tcW w:w="1183"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本地鱼类</w:t>
            </w:r>
          </w:p>
        </w:tc>
        <w:tc>
          <w:tcPr>
            <w:tcW w:w="2471" w:type="dxa"/>
            <w:gridSpan w:val="3"/>
            <w:shd w:val="clear" w:color="auto" w:fill="auto"/>
            <w:vAlign w:val="bottom"/>
          </w:tcPr>
          <w:p>
            <w:pPr>
              <w:spacing w:line="310" w:lineRule="exact"/>
              <w:jc w:val="left"/>
              <w:rPr>
                <w:rFonts w:ascii="Times New Roman" w:hAnsi="Times New Roman" w:eastAsia="仿宋"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数量少很多</w:t>
            </w:r>
          </w:p>
        </w:tc>
        <w:tc>
          <w:tcPr>
            <w:tcW w:w="807"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1431" w:type="dxa"/>
            <w:gridSpan w:val="2"/>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重量小很多</w:t>
            </w:r>
          </w:p>
        </w:tc>
        <w:tc>
          <w:tcPr>
            <w:tcW w:w="1005"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1166"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2435" w:type="dxa"/>
            <w:gridSpan w:val="3"/>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你所知道的本地鱼数量和名称</w:t>
            </w:r>
          </w:p>
        </w:tc>
        <w:tc>
          <w:tcPr>
            <w:tcW w:w="1219"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数量少了一些</w:t>
            </w:r>
          </w:p>
        </w:tc>
        <w:tc>
          <w:tcPr>
            <w:tcW w:w="807"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1431" w:type="dxa"/>
            <w:gridSpan w:val="2"/>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重量小一些</w:t>
            </w:r>
          </w:p>
        </w:tc>
        <w:tc>
          <w:tcPr>
            <w:tcW w:w="1005"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1166"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2435" w:type="dxa"/>
            <w:gridSpan w:val="3"/>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以前有，现在完全没有了</w:t>
            </w:r>
          </w:p>
        </w:tc>
        <w:tc>
          <w:tcPr>
            <w:tcW w:w="1219"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没有变化</w:t>
            </w:r>
          </w:p>
        </w:tc>
        <w:tc>
          <w:tcPr>
            <w:tcW w:w="807"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1431" w:type="dxa"/>
            <w:gridSpan w:val="2"/>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没有变化</w:t>
            </w:r>
          </w:p>
        </w:tc>
        <w:tc>
          <w:tcPr>
            <w:tcW w:w="1005"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1166"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2435" w:type="dxa"/>
            <w:gridSpan w:val="3"/>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以前有，现在部分没有了</w:t>
            </w:r>
          </w:p>
        </w:tc>
        <w:tc>
          <w:tcPr>
            <w:tcW w:w="1219"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数量多了</w:t>
            </w:r>
          </w:p>
        </w:tc>
        <w:tc>
          <w:tcPr>
            <w:tcW w:w="807"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1431" w:type="dxa"/>
            <w:gridSpan w:val="2"/>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重量大了</w:t>
            </w:r>
          </w:p>
        </w:tc>
        <w:tc>
          <w:tcPr>
            <w:tcW w:w="1005"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1166"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2435" w:type="dxa"/>
            <w:gridSpan w:val="3"/>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没有变化</w:t>
            </w:r>
          </w:p>
        </w:tc>
        <w:tc>
          <w:tcPr>
            <w:tcW w:w="1219"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9343" w:type="dxa"/>
            <w:gridSpan w:val="10"/>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河流/水库适宜性状况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vMerge w:val="restart"/>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河道/水库景观</w:t>
            </w:r>
          </w:p>
        </w:tc>
        <w:tc>
          <w:tcPr>
            <w:tcW w:w="807"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优美</w:t>
            </w:r>
          </w:p>
        </w:tc>
        <w:tc>
          <w:tcPr>
            <w:tcW w:w="1195"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2407" w:type="dxa"/>
            <w:gridSpan w:val="3"/>
            <w:vMerge w:val="restart"/>
            <w:shd w:val="clear" w:color="auto" w:fill="auto"/>
            <w:vAlign w:val="center"/>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与河流/水库相关的历史及文化保护程度</w:t>
            </w:r>
          </w:p>
        </w:tc>
        <w:tc>
          <w:tcPr>
            <w:tcW w:w="2182" w:type="dxa"/>
            <w:gridSpan w:val="2"/>
            <w:vMerge w:val="restart"/>
            <w:shd w:val="clear" w:color="auto" w:fill="auto"/>
            <w:vAlign w:val="bottom"/>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历史古迹或文化名胜了解情况</w:t>
            </w:r>
          </w:p>
        </w:tc>
        <w:tc>
          <w:tcPr>
            <w:tcW w:w="1472" w:type="dxa"/>
            <w:gridSpan w:val="2"/>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不清楚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vMerge w:val="continue"/>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807"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一般</w:t>
            </w:r>
          </w:p>
        </w:tc>
        <w:tc>
          <w:tcPr>
            <w:tcW w:w="1195"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2407" w:type="dxa"/>
            <w:gridSpan w:val="3"/>
            <w:vMerge w:val="continue"/>
            <w:vAlign w:val="center"/>
          </w:tcPr>
          <w:p>
            <w:pPr>
              <w:spacing w:line="310" w:lineRule="exact"/>
              <w:jc w:val="left"/>
              <w:rPr>
                <w:rFonts w:ascii="Times New Roman" w:hAnsi="Times New Roman" w:eastAsia="仿宋" w:cs="Times New Roman"/>
                <w:color w:val="auto"/>
                <w:kern w:val="0"/>
                <w:sz w:val="18"/>
                <w:szCs w:val="18"/>
              </w:rPr>
            </w:pPr>
          </w:p>
        </w:tc>
        <w:tc>
          <w:tcPr>
            <w:tcW w:w="2182" w:type="dxa"/>
            <w:gridSpan w:val="2"/>
            <w:vMerge w:val="continue"/>
            <w:vAlign w:val="center"/>
          </w:tcPr>
          <w:p>
            <w:pPr>
              <w:spacing w:line="310" w:lineRule="exact"/>
              <w:jc w:val="left"/>
              <w:rPr>
                <w:rFonts w:ascii="Times New Roman" w:hAnsi="Times New Roman" w:eastAsia="仿宋" w:cs="Times New Roman"/>
                <w:color w:val="auto"/>
                <w:kern w:val="0"/>
                <w:sz w:val="18"/>
                <w:szCs w:val="18"/>
              </w:rPr>
            </w:pPr>
          </w:p>
        </w:tc>
        <w:tc>
          <w:tcPr>
            <w:tcW w:w="1472" w:type="dxa"/>
            <w:gridSpan w:val="2"/>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知道一些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vMerge w:val="continue"/>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807"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丑陋</w:t>
            </w:r>
          </w:p>
        </w:tc>
        <w:tc>
          <w:tcPr>
            <w:tcW w:w="1195"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2407" w:type="dxa"/>
            <w:gridSpan w:val="3"/>
            <w:vMerge w:val="continue"/>
            <w:vAlign w:val="center"/>
          </w:tcPr>
          <w:p>
            <w:pPr>
              <w:spacing w:line="310" w:lineRule="exact"/>
              <w:jc w:val="left"/>
              <w:rPr>
                <w:rFonts w:ascii="Times New Roman" w:hAnsi="Times New Roman" w:eastAsia="仿宋" w:cs="Times New Roman"/>
                <w:color w:val="auto"/>
                <w:kern w:val="0"/>
                <w:sz w:val="18"/>
                <w:szCs w:val="18"/>
              </w:rPr>
            </w:pPr>
          </w:p>
        </w:tc>
        <w:tc>
          <w:tcPr>
            <w:tcW w:w="2182" w:type="dxa"/>
            <w:gridSpan w:val="2"/>
            <w:vMerge w:val="continue"/>
            <w:vAlign w:val="center"/>
          </w:tcPr>
          <w:p>
            <w:pPr>
              <w:spacing w:line="310" w:lineRule="exact"/>
              <w:jc w:val="left"/>
              <w:rPr>
                <w:rFonts w:ascii="Times New Roman" w:hAnsi="Times New Roman" w:eastAsia="仿宋" w:cs="Times New Roman"/>
                <w:color w:val="auto"/>
                <w:kern w:val="0"/>
                <w:sz w:val="18"/>
                <w:szCs w:val="18"/>
              </w:rPr>
            </w:pPr>
          </w:p>
        </w:tc>
        <w:tc>
          <w:tcPr>
            <w:tcW w:w="1472" w:type="dxa"/>
            <w:gridSpan w:val="2"/>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比较了解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vMerge w:val="restart"/>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近水难易程度</w:t>
            </w:r>
          </w:p>
        </w:tc>
        <w:tc>
          <w:tcPr>
            <w:tcW w:w="807"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容易且安全</w:t>
            </w:r>
          </w:p>
        </w:tc>
        <w:tc>
          <w:tcPr>
            <w:tcW w:w="1195"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2407" w:type="dxa"/>
            <w:gridSpan w:val="3"/>
            <w:vMerge w:val="continue"/>
            <w:vAlign w:val="center"/>
          </w:tcPr>
          <w:p>
            <w:pPr>
              <w:spacing w:line="310" w:lineRule="exact"/>
              <w:jc w:val="left"/>
              <w:rPr>
                <w:rFonts w:ascii="Times New Roman" w:hAnsi="Times New Roman" w:eastAsia="仿宋" w:cs="Times New Roman"/>
                <w:color w:val="auto"/>
                <w:kern w:val="0"/>
                <w:sz w:val="18"/>
                <w:szCs w:val="18"/>
              </w:rPr>
            </w:pPr>
          </w:p>
        </w:tc>
        <w:tc>
          <w:tcPr>
            <w:tcW w:w="2182" w:type="dxa"/>
            <w:gridSpan w:val="2"/>
            <w:vMerge w:val="restart"/>
            <w:shd w:val="clear" w:color="auto" w:fill="auto"/>
            <w:vAlign w:val="bottom"/>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历史古迹或文化名胜保护与开发情况</w:t>
            </w:r>
          </w:p>
        </w:tc>
        <w:tc>
          <w:tcPr>
            <w:tcW w:w="1472" w:type="dxa"/>
            <w:gridSpan w:val="2"/>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没有保护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vMerge w:val="continue"/>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807"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难或不安全</w:t>
            </w:r>
          </w:p>
        </w:tc>
        <w:tc>
          <w:tcPr>
            <w:tcW w:w="1195"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2407" w:type="dxa"/>
            <w:gridSpan w:val="3"/>
            <w:vMerge w:val="continue"/>
            <w:vAlign w:val="center"/>
          </w:tcPr>
          <w:p>
            <w:pPr>
              <w:spacing w:line="310" w:lineRule="exact"/>
              <w:jc w:val="left"/>
              <w:rPr>
                <w:rFonts w:ascii="Times New Roman" w:hAnsi="Times New Roman" w:eastAsia="仿宋" w:cs="Times New Roman"/>
                <w:color w:val="auto"/>
                <w:kern w:val="0"/>
                <w:sz w:val="18"/>
                <w:szCs w:val="18"/>
              </w:rPr>
            </w:pPr>
          </w:p>
        </w:tc>
        <w:tc>
          <w:tcPr>
            <w:tcW w:w="2182" w:type="dxa"/>
            <w:gridSpan w:val="2"/>
            <w:vMerge w:val="continue"/>
            <w:vAlign w:val="center"/>
          </w:tcPr>
          <w:p>
            <w:pPr>
              <w:spacing w:line="310" w:lineRule="exact"/>
              <w:jc w:val="left"/>
              <w:rPr>
                <w:rFonts w:ascii="Times New Roman" w:hAnsi="Times New Roman" w:eastAsia="仿宋" w:cs="Times New Roman"/>
                <w:color w:val="auto"/>
                <w:kern w:val="0"/>
                <w:sz w:val="18"/>
                <w:szCs w:val="18"/>
              </w:rPr>
            </w:pPr>
          </w:p>
        </w:tc>
        <w:tc>
          <w:tcPr>
            <w:tcW w:w="1472" w:type="dxa"/>
            <w:gridSpan w:val="2"/>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有保护，但不对外开放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vMerge w:val="restart"/>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散步与娱乐休闲活动</w:t>
            </w:r>
          </w:p>
        </w:tc>
        <w:tc>
          <w:tcPr>
            <w:tcW w:w="807"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适宜</w:t>
            </w:r>
          </w:p>
        </w:tc>
        <w:tc>
          <w:tcPr>
            <w:tcW w:w="1195"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2407" w:type="dxa"/>
            <w:gridSpan w:val="3"/>
            <w:vMerge w:val="continue"/>
            <w:vAlign w:val="center"/>
          </w:tcPr>
          <w:p>
            <w:pPr>
              <w:spacing w:line="310" w:lineRule="exact"/>
              <w:jc w:val="left"/>
              <w:rPr>
                <w:rFonts w:ascii="Times New Roman" w:hAnsi="Times New Roman" w:eastAsia="仿宋" w:cs="Times New Roman"/>
                <w:color w:val="auto"/>
                <w:kern w:val="0"/>
                <w:sz w:val="18"/>
                <w:szCs w:val="18"/>
              </w:rPr>
            </w:pPr>
          </w:p>
        </w:tc>
        <w:tc>
          <w:tcPr>
            <w:tcW w:w="2182" w:type="dxa"/>
            <w:gridSpan w:val="2"/>
            <w:vMerge w:val="continue"/>
            <w:vAlign w:val="center"/>
          </w:tcPr>
          <w:p>
            <w:pPr>
              <w:spacing w:line="310" w:lineRule="exact"/>
              <w:jc w:val="left"/>
              <w:rPr>
                <w:rFonts w:ascii="Times New Roman" w:hAnsi="Times New Roman" w:eastAsia="仿宋" w:cs="Times New Roman"/>
                <w:color w:val="auto"/>
                <w:kern w:val="0"/>
                <w:sz w:val="18"/>
                <w:szCs w:val="18"/>
              </w:rPr>
            </w:pPr>
          </w:p>
        </w:tc>
        <w:tc>
          <w:tcPr>
            <w:tcW w:w="1472" w:type="dxa"/>
            <w:gridSpan w:val="2"/>
            <w:vMerge w:val="restart"/>
            <w:shd w:val="clear" w:color="auto" w:fill="auto"/>
            <w:vAlign w:val="bottom"/>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有保护，也对外开放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vMerge w:val="continue"/>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807"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不适宜</w:t>
            </w:r>
          </w:p>
        </w:tc>
        <w:tc>
          <w:tcPr>
            <w:tcW w:w="1195"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p>
        </w:tc>
        <w:tc>
          <w:tcPr>
            <w:tcW w:w="2407" w:type="dxa"/>
            <w:gridSpan w:val="3"/>
            <w:vMerge w:val="continue"/>
            <w:vAlign w:val="center"/>
          </w:tcPr>
          <w:p>
            <w:pPr>
              <w:spacing w:line="310" w:lineRule="exact"/>
              <w:jc w:val="left"/>
              <w:rPr>
                <w:rFonts w:ascii="Times New Roman" w:hAnsi="Times New Roman" w:eastAsia="仿宋" w:cs="Times New Roman"/>
                <w:color w:val="auto"/>
                <w:kern w:val="0"/>
                <w:sz w:val="18"/>
                <w:szCs w:val="18"/>
              </w:rPr>
            </w:pPr>
          </w:p>
        </w:tc>
        <w:tc>
          <w:tcPr>
            <w:tcW w:w="2182" w:type="dxa"/>
            <w:gridSpan w:val="2"/>
            <w:vMerge w:val="continue"/>
            <w:vAlign w:val="center"/>
          </w:tcPr>
          <w:p>
            <w:pPr>
              <w:spacing w:line="310" w:lineRule="exact"/>
              <w:jc w:val="left"/>
              <w:rPr>
                <w:rFonts w:ascii="Times New Roman" w:hAnsi="Times New Roman" w:eastAsia="仿宋" w:cs="Times New Roman"/>
                <w:color w:val="auto"/>
                <w:kern w:val="0"/>
                <w:sz w:val="18"/>
                <w:szCs w:val="18"/>
              </w:rPr>
            </w:pPr>
          </w:p>
        </w:tc>
        <w:tc>
          <w:tcPr>
            <w:tcW w:w="1472" w:type="dxa"/>
            <w:gridSpan w:val="2"/>
            <w:vMerge w:val="continue"/>
            <w:vAlign w:val="center"/>
          </w:tcPr>
          <w:p>
            <w:pPr>
              <w:spacing w:line="310" w:lineRule="exact"/>
              <w:jc w:val="left"/>
              <w:rPr>
                <w:rFonts w:ascii="Times New Roman" w:hAnsi="Times New Roman" w:eastAsia="仿宋"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9343" w:type="dxa"/>
            <w:gridSpan w:val="10"/>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对河流/水库的满意程度调查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2087" w:type="dxa"/>
            <w:gridSpan w:val="2"/>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总体评估赋分标准</w:t>
            </w:r>
          </w:p>
        </w:tc>
        <w:tc>
          <w:tcPr>
            <w:tcW w:w="3602" w:type="dxa"/>
            <w:gridSpan w:val="4"/>
            <w:shd w:val="clear" w:color="auto" w:fill="auto"/>
            <w:vAlign w:val="bottom"/>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不满意的原因是什么？</w:t>
            </w:r>
          </w:p>
        </w:tc>
        <w:tc>
          <w:tcPr>
            <w:tcW w:w="3654" w:type="dxa"/>
            <w:gridSpan w:val="4"/>
            <w:shd w:val="clear" w:color="auto" w:fill="auto"/>
            <w:vAlign w:val="center"/>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希望的河流/水库状况是什么样的？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很满意</w:t>
            </w:r>
          </w:p>
        </w:tc>
        <w:tc>
          <w:tcPr>
            <w:tcW w:w="807" w:type="dxa"/>
            <w:shd w:val="clear" w:color="auto" w:fill="auto"/>
            <w:vAlign w:val="bottom"/>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100</w:t>
            </w:r>
          </w:p>
        </w:tc>
        <w:tc>
          <w:tcPr>
            <w:tcW w:w="3602" w:type="dxa"/>
            <w:gridSpan w:val="4"/>
            <w:vMerge w:val="restart"/>
            <w:shd w:val="clear" w:color="auto" w:fill="auto"/>
            <w:vAlign w:val="bottom"/>
          </w:tcPr>
          <w:p>
            <w:pPr>
              <w:spacing w:line="310" w:lineRule="exact"/>
              <w:jc w:val="center"/>
              <w:rPr>
                <w:rFonts w:ascii="Times New Roman" w:hAnsi="Times New Roman" w:eastAsia="仿宋" w:cs="Times New Roman"/>
                <w:color w:val="auto"/>
                <w:kern w:val="0"/>
                <w:sz w:val="18"/>
                <w:szCs w:val="18"/>
              </w:rPr>
            </w:pPr>
          </w:p>
        </w:tc>
        <w:tc>
          <w:tcPr>
            <w:tcW w:w="3654" w:type="dxa"/>
            <w:gridSpan w:val="4"/>
            <w:vMerge w:val="restart"/>
            <w:shd w:val="clear" w:color="auto" w:fill="auto"/>
            <w:vAlign w:val="center"/>
          </w:tcPr>
          <w:p>
            <w:pPr>
              <w:spacing w:line="310" w:lineRule="exact"/>
              <w:jc w:val="left"/>
              <w:rPr>
                <w:rFonts w:ascii="Times New Roman" w:hAnsi="Times New Roman" w:eastAsia="仿宋"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满意</w:t>
            </w:r>
          </w:p>
        </w:tc>
        <w:tc>
          <w:tcPr>
            <w:tcW w:w="807" w:type="dxa"/>
            <w:shd w:val="clear" w:color="auto" w:fill="auto"/>
            <w:vAlign w:val="bottom"/>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80~100</w:t>
            </w:r>
          </w:p>
        </w:tc>
        <w:tc>
          <w:tcPr>
            <w:tcW w:w="3602" w:type="dxa"/>
            <w:gridSpan w:val="4"/>
            <w:vMerge w:val="continue"/>
            <w:vAlign w:val="center"/>
          </w:tcPr>
          <w:p>
            <w:pPr>
              <w:spacing w:line="310" w:lineRule="exact"/>
              <w:jc w:val="left"/>
              <w:rPr>
                <w:rFonts w:ascii="Times New Roman" w:hAnsi="Times New Roman" w:eastAsia="仿宋" w:cs="Times New Roman"/>
                <w:color w:val="auto"/>
                <w:kern w:val="0"/>
                <w:sz w:val="18"/>
                <w:szCs w:val="18"/>
              </w:rPr>
            </w:pPr>
          </w:p>
        </w:tc>
        <w:tc>
          <w:tcPr>
            <w:tcW w:w="3654" w:type="dxa"/>
            <w:gridSpan w:val="4"/>
            <w:vMerge w:val="continue"/>
            <w:shd w:val="clear" w:color="auto" w:fill="auto"/>
            <w:vAlign w:val="center"/>
          </w:tcPr>
          <w:p>
            <w:pPr>
              <w:spacing w:line="310" w:lineRule="exact"/>
              <w:jc w:val="left"/>
              <w:rPr>
                <w:rFonts w:ascii="Times New Roman" w:hAnsi="Times New Roman" w:eastAsia="仿宋"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基本满意</w:t>
            </w:r>
          </w:p>
        </w:tc>
        <w:tc>
          <w:tcPr>
            <w:tcW w:w="807" w:type="dxa"/>
            <w:shd w:val="clear" w:color="auto" w:fill="auto"/>
            <w:vAlign w:val="bottom"/>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60~80</w:t>
            </w:r>
          </w:p>
        </w:tc>
        <w:tc>
          <w:tcPr>
            <w:tcW w:w="3602" w:type="dxa"/>
            <w:gridSpan w:val="4"/>
            <w:vMerge w:val="continue"/>
            <w:vAlign w:val="center"/>
          </w:tcPr>
          <w:p>
            <w:pPr>
              <w:spacing w:line="310" w:lineRule="exact"/>
              <w:jc w:val="left"/>
              <w:rPr>
                <w:rFonts w:ascii="Times New Roman" w:hAnsi="Times New Roman" w:eastAsia="仿宋" w:cs="Times New Roman"/>
                <w:color w:val="auto"/>
                <w:kern w:val="0"/>
                <w:sz w:val="18"/>
                <w:szCs w:val="18"/>
              </w:rPr>
            </w:pPr>
          </w:p>
        </w:tc>
        <w:tc>
          <w:tcPr>
            <w:tcW w:w="3654" w:type="dxa"/>
            <w:gridSpan w:val="4"/>
            <w:vMerge w:val="continue"/>
            <w:shd w:val="clear" w:color="auto" w:fill="auto"/>
            <w:vAlign w:val="center"/>
          </w:tcPr>
          <w:p>
            <w:pPr>
              <w:spacing w:line="310" w:lineRule="exact"/>
              <w:jc w:val="left"/>
              <w:rPr>
                <w:rFonts w:ascii="Times New Roman" w:hAnsi="Times New Roman" w:eastAsia="仿宋"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280"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不满意</w:t>
            </w:r>
          </w:p>
        </w:tc>
        <w:tc>
          <w:tcPr>
            <w:tcW w:w="807" w:type="dxa"/>
            <w:shd w:val="clear" w:color="auto" w:fill="auto"/>
            <w:vAlign w:val="bottom"/>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30~60</w:t>
            </w:r>
          </w:p>
        </w:tc>
        <w:tc>
          <w:tcPr>
            <w:tcW w:w="3602" w:type="dxa"/>
            <w:gridSpan w:val="4"/>
            <w:vMerge w:val="continue"/>
            <w:vAlign w:val="center"/>
          </w:tcPr>
          <w:p>
            <w:pPr>
              <w:spacing w:line="310" w:lineRule="exact"/>
              <w:jc w:val="left"/>
              <w:rPr>
                <w:rFonts w:ascii="Times New Roman" w:hAnsi="Times New Roman" w:eastAsia="仿宋" w:cs="Times New Roman"/>
                <w:color w:val="auto"/>
                <w:kern w:val="0"/>
                <w:sz w:val="18"/>
                <w:szCs w:val="18"/>
              </w:rPr>
            </w:pPr>
          </w:p>
        </w:tc>
        <w:tc>
          <w:tcPr>
            <w:tcW w:w="3654" w:type="dxa"/>
            <w:gridSpan w:val="4"/>
            <w:vMerge w:val="continue"/>
            <w:shd w:val="clear" w:color="auto" w:fill="auto"/>
            <w:vAlign w:val="center"/>
          </w:tcPr>
          <w:p>
            <w:pPr>
              <w:spacing w:line="310" w:lineRule="exact"/>
              <w:jc w:val="left"/>
              <w:rPr>
                <w:rFonts w:ascii="Times New Roman" w:hAnsi="Times New Roman" w:eastAsia="仿宋"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280" w:type="dxa"/>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很不满意</w:t>
            </w:r>
          </w:p>
        </w:tc>
        <w:tc>
          <w:tcPr>
            <w:tcW w:w="807" w:type="dxa"/>
            <w:shd w:val="clear" w:color="auto" w:fill="auto"/>
            <w:vAlign w:val="bottom"/>
          </w:tcPr>
          <w:p>
            <w:pPr>
              <w:spacing w:line="31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0~30</w:t>
            </w:r>
          </w:p>
        </w:tc>
        <w:tc>
          <w:tcPr>
            <w:tcW w:w="3602" w:type="dxa"/>
            <w:gridSpan w:val="4"/>
            <w:vMerge w:val="continue"/>
            <w:vAlign w:val="center"/>
          </w:tcPr>
          <w:p>
            <w:pPr>
              <w:spacing w:line="310" w:lineRule="exact"/>
              <w:jc w:val="left"/>
              <w:rPr>
                <w:rFonts w:ascii="Times New Roman" w:hAnsi="Times New Roman" w:eastAsia="仿宋" w:cs="Times New Roman"/>
                <w:color w:val="auto"/>
                <w:kern w:val="0"/>
                <w:sz w:val="18"/>
                <w:szCs w:val="18"/>
              </w:rPr>
            </w:pPr>
          </w:p>
        </w:tc>
        <w:tc>
          <w:tcPr>
            <w:tcW w:w="3654" w:type="dxa"/>
            <w:gridSpan w:val="4"/>
            <w:vMerge w:val="continue"/>
            <w:shd w:val="clear" w:color="auto" w:fill="auto"/>
            <w:vAlign w:val="center"/>
          </w:tcPr>
          <w:p>
            <w:pPr>
              <w:spacing w:line="310" w:lineRule="exact"/>
              <w:jc w:val="left"/>
              <w:rPr>
                <w:rFonts w:ascii="Times New Roman" w:hAnsi="Times New Roman" w:eastAsia="仿宋"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087" w:type="dxa"/>
            <w:gridSpan w:val="2"/>
            <w:shd w:val="clear" w:color="auto" w:fill="auto"/>
            <w:vAlign w:val="bottom"/>
          </w:tcPr>
          <w:p>
            <w:pPr>
              <w:spacing w:line="310" w:lineRule="exact"/>
              <w:jc w:val="left"/>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总体评估赋分</w:t>
            </w:r>
          </w:p>
        </w:tc>
        <w:tc>
          <w:tcPr>
            <w:tcW w:w="3602" w:type="dxa"/>
            <w:gridSpan w:val="4"/>
            <w:vMerge w:val="continue"/>
            <w:vAlign w:val="center"/>
          </w:tcPr>
          <w:p>
            <w:pPr>
              <w:spacing w:line="310" w:lineRule="exact"/>
              <w:jc w:val="left"/>
              <w:rPr>
                <w:rFonts w:ascii="Times New Roman" w:hAnsi="Times New Roman" w:eastAsia="仿宋" w:cs="Times New Roman"/>
                <w:color w:val="auto"/>
                <w:kern w:val="0"/>
                <w:sz w:val="18"/>
                <w:szCs w:val="18"/>
              </w:rPr>
            </w:pPr>
          </w:p>
        </w:tc>
        <w:tc>
          <w:tcPr>
            <w:tcW w:w="3654" w:type="dxa"/>
            <w:gridSpan w:val="4"/>
            <w:vMerge w:val="continue"/>
            <w:shd w:val="clear" w:color="auto" w:fill="auto"/>
            <w:vAlign w:val="center"/>
          </w:tcPr>
          <w:p>
            <w:pPr>
              <w:spacing w:line="310" w:lineRule="exact"/>
              <w:jc w:val="left"/>
              <w:rPr>
                <w:rFonts w:ascii="Times New Roman" w:hAnsi="Times New Roman" w:eastAsia="仿宋" w:cs="Times New Roman"/>
                <w:color w:val="auto"/>
                <w:kern w:val="0"/>
                <w:sz w:val="18"/>
                <w:szCs w:val="18"/>
              </w:rPr>
            </w:pPr>
          </w:p>
        </w:tc>
      </w:tr>
    </w:tbl>
    <w:p>
      <w:pPr>
        <w:ind w:firstLine="700" w:firstLineChars="250"/>
        <w:rPr>
          <w:rFonts w:ascii="Times New Roman" w:hAnsi="Times New Roman" w:eastAsia="宋体" w:cs="Times New Roman"/>
          <w:color w:val="auto"/>
          <w:kern w:val="0"/>
          <w:sz w:val="28"/>
          <w:szCs w:val="28"/>
        </w:rPr>
      </w:pPr>
    </w:p>
    <w:p>
      <w:pPr>
        <w:pStyle w:val="4"/>
        <w:bidi w:val="0"/>
        <w:rPr>
          <w:color w:val="auto"/>
        </w:rPr>
      </w:pPr>
      <w:bookmarkStart w:id="85" w:name="_Toc30952"/>
      <w:bookmarkStart w:id="86" w:name="_Toc20899"/>
      <w:bookmarkStart w:id="87" w:name="_Toc16523"/>
      <w:r>
        <w:rPr>
          <w:color w:val="auto"/>
        </w:rPr>
        <w:t xml:space="preserve">5 </w:t>
      </w:r>
      <w:r>
        <w:rPr>
          <w:rFonts w:hint="eastAsia"/>
          <w:color w:val="auto"/>
        </w:rPr>
        <w:t xml:space="preserve"> </w:t>
      </w:r>
      <w:r>
        <w:rPr>
          <w:rFonts w:hint="eastAsia"/>
          <w:color w:val="auto"/>
          <w:lang w:eastAsia="zh-CN"/>
        </w:rPr>
        <w:t>资江流域</w:t>
      </w:r>
      <w:r>
        <w:rPr>
          <w:color w:val="auto"/>
        </w:rPr>
        <w:t>健康评估结果</w:t>
      </w:r>
      <w:bookmarkEnd w:id="85"/>
      <w:bookmarkEnd w:id="86"/>
      <w:bookmarkEnd w:id="87"/>
    </w:p>
    <w:p>
      <w:pPr>
        <w:pStyle w:val="5"/>
        <w:bidi w:val="0"/>
        <w:rPr>
          <w:rFonts w:cs="Times New Roman"/>
          <w:color w:val="auto"/>
        </w:rPr>
      </w:pPr>
      <w:bookmarkStart w:id="88" w:name="_Toc11951"/>
      <w:bookmarkStart w:id="89" w:name="_Toc13801"/>
      <w:r>
        <w:rPr>
          <w:rFonts w:cs="Times New Roman"/>
          <w:color w:val="auto"/>
        </w:rPr>
        <w:t xml:space="preserve">5.1 </w:t>
      </w:r>
      <w:r>
        <w:rPr>
          <w:rFonts w:hint="eastAsia" w:cs="Times New Roman"/>
          <w:color w:val="auto"/>
        </w:rPr>
        <w:t xml:space="preserve"> </w:t>
      </w:r>
      <w:r>
        <w:rPr>
          <w:rFonts w:cs="Times New Roman"/>
          <w:color w:val="auto"/>
        </w:rPr>
        <w:t>流域生态完整性评估</w:t>
      </w:r>
      <w:bookmarkEnd w:id="88"/>
      <w:bookmarkEnd w:id="89"/>
      <w:r>
        <w:rPr>
          <w:rFonts w:cs="Times New Roman"/>
          <w:color w:val="auto"/>
        </w:rPr>
        <w:t xml:space="preserve"> </w:t>
      </w:r>
    </w:p>
    <w:p>
      <w:pPr>
        <w:autoSpaceDE w:val="0"/>
        <w:autoSpaceDN w:val="0"/>
        <w:adjustRightInd w:val="0"/>
        <w:spacing w:line="560" w:lineRule="exact"/>
        <w:ind w:firstLine="420" w:firstLineChars="15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生态完整性评估包括评估河段生态完整性评估河河流生态完整性评估。 </w:t>
      </w:r>
    </w:p>
    <w:p>
      <w:pPr>
        <w:autoSpaceDE w:val="0"/>
        <w:autoSpaceDN w:val="0"/>
        <w:adjustRightInd w:val="0"/>
        <w:spacing w:line="560" w:lineRule="exact"/>
        <w:jc w:val="left"/>
        <w:outlineLvl w:val="2"/>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5.1.1 水文水资源评估 </w:t>
      </w:r>
    </w:p>
    <w:p>
      <w:pPr>
        <w:autoSpaceDE w:val="0"/>
        <w:autoSpaceDN w:val="0"/>
        <w:adjustRightInd w:val="0"/>
        <w:spacing w:line="560" w:lineRule="exact"/>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（1） 流量过程变异程度评估（FD） </w:t>
      </w:r>
    </w:p>
    <w:p>
      <w:pPr>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流量过程变异程度指现状开发状态下，评估河段评估年内实测月径流过程与天然月径流过程的差异。 反映评估河段监测断面以上流域水资源开发利用对评估河段河流水文情势的影响程度。本次评价流量过程变异程度由各水文站历年实测月经流量与天然月径流量的平均偏离程度表达，流域内主要水文站天然径流量、实测径流量采用以下结果。</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主要水文站各月平均流量统计成果见表5.1.1-1。</w:t>
      </w:r>
    </w:p>
    <w:p>
      <w:pPr>
        <w:spacing w:line="560" w:lineRule="exact"/>
        <w:ind w:firstLine="560" w:firstLineChars="200"/>
        <w:rPr>
          <w:rFonts w:ascii="Times New Roman" w:hAnsi="Times New Roman" w:eastAsia="仿宋" w:cs="Times New Roman"/>
          <w:color w:val="auto"/>
          <w:kern w:val="0"/>
          <w:sz w:val="28"/>
          <w:szCs w:val="28"/>
        </w:rPr>
      </w:pPr>
    </w:p>
    <w:p>
      <w:pPr>
        <w:spacing w:line="560" w:lineRule="exact"/>
        <w:jc w:val="center"/>
        <w:rPr>
          <w:rFonts w:ascii="Times New Roman" w:hAnsi="Times New Roman" w:eastAsia="仿宋" w:cs="Times New Roman"/>
          <w:b/>
          <w:color w:val="auto"/>
          <w:sz w:val="28"/>
          <w:szCs w:val="28"/>
        </w:rPr>
      </w:pPr>
      <w:r>
        <w:rPr>
          <w:rFonts w:ascii="Times New Roman" w:hAnsi="Times New Roman" w:eastAsia="仿宋" w:cs="Times New Roman"/>
          <w:b/>
          <w:color w:val="auto"/>
          <w:sz w:val="28"/>
          <w:szCs w:val="28"/>
        </w:rPr>
        <w:t xml:space="preserve">表5.1.1-1  </w:t>
      </w:r>
      <w:r>
        <w:rPr>
          <w:rFonts w:hint="eastAsia" w:ascii="Times New Roman" w:hAnsi="Times New Roman" w:eastAsia="仿宋" w:cs="Times New Roman"/>
          <w:b/>
          <w:color w:val="auto"/>
          <w:sz w:val="28"/>
          <w:szCs w:val="28"/>
          <w:lang w:eastAsia="zh-CN"/>
        </w:rPr>
        <w:t>资江流域</w:t>
      </w:r>
      <w:r>
        <w:rPr>
          <w:rFonts w:ascii="Times New Roman" w:hAnsi="Times New Roman" w:eastAsia="仿宋" w:cs="Times New Roman"/>
          <w:b/>
          <w:color w:val="auto"/>
          <w:sz w:val="28"/>
          <w:szCs w:val="28"/>
        </w:rPr>
        <w:t>主要水文站各月平均流量统计 单位：m</w:t>
      </w:r>
      <w:r>
        <w:rPr>
          <w:rFonts w:ascii="Times New Roman" w:hAnsi="Times New Roman" w:eastAsia="仿宋" w:cs="Times New Roman"/>
          <w:b/>
          <w:color w:val="auto"/>
          <w:sz w:val="28"/>
          <w:szCs w:val="28"/>
          <w:vertAlign w:val="superscript"/>
        </w:rPr>
        <w:t>3</w:t>
      </w:r>
      <w:r>
        <w:rPr>
          <w:rFonts w:ascii="Times New Roman" w:hAnsi="Times New Roman" w:eastAsia="仿宋" w:cs="Times New Roman"/>
          <w:b/>
          <w:color w:val="auto"/>
          <w:sz w:val="28"/>
          <w:szCs w:val="28"/>
        </w:rPr>
        <w:t>/s</w:t>
      </w:r>
    </w:p>
    <w:tbl>
      <w:tblPr>
        <w:tblStyle w:val="15"/>
        <w:tblW w:w="9081" w:type="dxa"/>
        <w:jc w:val="center"/>
        <w:tblLayout w:type="fixed"/>
        <w:tblCellMar>
          <w:top w:w="0" w:type="dxa"/>
          <w:left w:w="108" w:type="dxa"/>
          <w:bottom w:w="0" w:type="dxa"/>
          <w:right w:w="108" w:type="dxa"/>
        </w:tblCellMar>
      </w:tblPr>
      <w:tblGrid>
        <w:gridCol w:w="837"/>
        <w:gridCol w:w="625"/>
        <w:gridCol w:w="625"/>
        <w:gridCol w:w="625"/>
        <w:gridCol w:w="625"/>
        <w:gridCol w:w="625"/>
        <w:gridCol w:w="625"/>
        <w:gridCol w:w="625"/>
        <w:gridCol w:w="625"/>
        <w:gridCol w:w="625"/>
        <w:gridCol w:w="625"/>
        <w:gridCol w:w="666"/>
        <w:gridCol w:w="625"/>
        <w:gridCol w:w="703"/>
      </w:tblGrid>
      <w:tr>
        <w:tblPrEx>
          <w:tblCellMar>
            <w:top w:w="0" w:type="dxa"/>
            <w:left w:w="108" w:type="dxa"/>
            <w:bottom w:w="0" w:type="dxa"/>
            <w:right w:w="108" w:type="dxa"/>
          </w:tblCellMar>
        </w:tblPrEx>
        <w:trPr>
          <w:trHeight w:val="293" w:hRule="atLeast"/>
          <w:jc w:val="center"/>
        </w:trPr>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站名</w:t>
            </w:r>
          </w:p>
        </w:tc>
        <w:tc>
          <w:tcPr>
            <w:tcW w:w="625"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1月</w:t>
            </w:r>
          </w:p>
        </w:tc>
        <w:tc>
          <w:tcPr>
            <w:tcW w:w="625"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2月</w:t>
            </w:r>
          </w:p>
        </w:tc>
        <w:tc>
          <w:tcPr>
            <w:tcW w:w="625"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3月</w:t>
            </w:r>
          </w:p>
        </w:tc>
        <w:tc>
          <w:tcPr>
            <w:tcW w:w="625"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4月</w:t>
            </w:r>
          </w:p>
        </w:tc>
        <w:tc>
          <w:tcPr>
            <w:tcW w:w="625"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5月</w:t>
            </w:r>
          </w:p>
        </w:tc>
        <w:tc>
          <w:tcPr>
            <w:tcW w:w="625"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6月</w:t>
            </w:r>
          </w:p>
        </w:tc>
        <w:tc>
          <w:tcPr>
            <w:tcW w:w="625"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7月</w:t>
            </w:r>
          </w:p>
        </w:tc>
        <w:tc>
          <w:tcPr>
            <w:tcW w:w="625"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8月</w:t>
            </w:r>
          </w:p>
        </w:tc>
        <w:tc>
          <w:tcPr>
            <w:tcW w:w="625"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9月</w:t>
            </w:r>
          </w:p>
        </w:tc>
        <w:tc>
          <w:tcPr>
            <w:tcW w:w="625"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10月</w:t>
            </w:r>
          </w:p>
        </w:tc>
        <w:tc>
          <w:tcPr>
            <w:tcW w:w="666"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11月</w:t>
            </w:r>
          </w:p>
        </w:tc>
        <w:tc>
          <w:tcPr>
            <w:tcW w:w="625"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12月</w:t>
            </w:r>
          </w:p>
        </w:tc>
        <w:tc>
          <w:tcPr>
            <w:tcW w:w="703"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多年平均</w:t>
            </w:r>
          </w:p>
        </w:tc>
      </w:tr>
      <w:tr>
        <w:tblPrEx>
          <w:tblCellMar>
            <w:top w:w="0" w:type="dxa"/>
            <w:left w:w="108" w:type="dxa"/>
            <w:bottom w:w="0" w:type="dxa"/>
            <w:right w:w="108" w:type="dxa"/>
          </w:tblCellMar>
        </w:tblPrEx>
        <w:trPr>
          <w:trHeight w:val="293" w:hRule="atLeast"/>
          <w:jc w:val="center"/>
        </w:trPr>
        <w:tc>
          <w:tcPr>
            <w:tcW w:w="837" w:type="dxa"/>
            <w:tcBorders>
              <w:top w:val="nil"/>
              <w:left w:val="single" w:color="auto" w:sz="4" w:space="0"/>
              <w:bottom w:val="single" w:color="auto" w:sz="4" w:space="0"/>
              <w:right w:val="single" w:color="auto" w:sz="4" w:space="0"/>
            </w:tcBorders>
            <w:shd w:val="clear" w:color="auto" w:fill="auto"/>
            <w:vAlign w:val="center"/>
          </w:tcPr>
          <w:p>
            <w:pPr>
              <w:widowControl/>
              <w:spacing w:line="380" w:lineRule="exact"/>
              <w:jc w:val="center"/>
              <w:rPr>
                <w:rFonts w:hint="eastAsia" w:ascii="Times New Roman" w:hAnsi="Times New Roman" w:eastAsia="仿宋" w:cs="Times New Roman"/>
                <w:color w:val="auto"/>
                <w:kern w:val="0"/>
                <w:sz w:val="18"/>
                <w:szCs w:val="18"/>
                <w:lang w:eastAsia="zh-CN"/>
              </w:rPr>
            </w:pPr>
            <w:r>
              <w:rPr>
                <w:rFonts w:hint="eastAsia" w:ascii="Times New Roman" w:hAnsi="Times New Roman" w:eastAsia="仿宋" w:cs="Times New Roman"/>
                <w:color w:val="auto"/>
                <w:kern w:val="0"/>
                <w:sz w:val="18"/>
                <w:szCs w:val="18"/>
                <w:lang w:val="en-US" w:eastAsia="zh-CN" w:bidi="ar"/>
              </w:rPr>
              <w:t>资源</w:t>
            </w:r>
          </w:p>
        </w:tc>
        <w:tc>
          <w:tcPr>
            <w:tcW w:w="62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lang w:bidi="ar"/>
              </w:rPr>
              <w:t xml:space="preserve">10.4 </w:t>
            </w:r>
          </w:p>
        </w:tc>
        <w:tc>
          <w:tcPr>
            <w:tcW w:w="62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lang w:bidi="ar"/>
              </w:rPr>
              <w:t xml:space="preserve">20.2 </w:t>
            </w:r>
          </w:p>
        </w:tc>
        <w:tc>
          <w:tcPr>
            <w:tcW w:w="62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lang w:bidi="ar"/>
              </w:rPr>
              <w:t xml:space="preserve">29.4 </w:t>
            </w:r>
          </w:p>
        </w:tc>
        <w:tc>
          <w:tcPr>
            <w:tcW w:w="62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lang w:bidi="ar"/>
              </w:rPr>
              <w:t xml:space="preserve">70.9 </w:t>
            </w:r>
          </w:p>
        </w:tc>
        <w:tc>
          <w:tcPr>
            <w:tcW w:w="62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lang w:bidi="ar"/>
              </w:rPr>
              <w:t xml:space="preserve">96.4 </w:t>
            </w:r>
          </w:p>
        </w:tc>
        <w:tc>
          <w:tcPr>
            <w:tcW w:w="62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lang w:bidi="ar"/>
              </w:rPr>
              <w:t xml:space="preserve">84.2 </w:t>
            </w:r>
          </w:p>
        </w:tc>
        <w:tc>
          <w:tcPr>
            <w:tcW w:w="62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lang w:bidi="ar"/>
              </w:rPr>
              <w:t xml:space="preserve">53.9 </w:t>
            </w:r>
          </w:p>
        </w:tc>
        <w:tc>
          <w:tcPr>
            <w:tcW w:w="62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lang w:bidi="ar"/>
              </w:rPr>
              <w:t xml:space="preserve">30.6 </w:t>
            </w:r>
          </w:p>
        </w:tc>
        <w:tc>
          <w:tcPr>
            <w:tcW w:w="62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lang w:bidi="ar"/>
              </w:rPr>
              <w:t xml:space="preserve">15.3 </w:t>
            </w:r>
          </w:p>
        </w:tc>
        <w:tc>
          <w:tcPr>
            <w:tcW w:w="62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lang w:bidi="ar"/>
              </w:rPr>
              <w:t xml:space="preserve">12.8 </w:t>
            </w:r>
          </w:p>
        </w:tc>
        <w:tc>
          <w:tcPr>
            <w:tcW w:w="66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lang w:bidi="ar"/>
              </w:rPr>
              <w:t xml:space="preserve">16.3 </w:t>
            </w:r>
          </w:p>
        </w:tc>
        <w:tc>
          <w:tcPr>
            <w:tcW w:w="62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lang w:bidi="ar"/>
              </w:rPr>
              <w:t xml:space="preserve">11.0 </w:t>
            </w:r>
          </w:p>
        </w:tc>
        <w:tc>
          <w:tcPr>
            <w:tcW w:w="70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color w:val="auto"/>
                <w:sz w:val="20"/>
                <w:szCs w:val="20"/>
              </w:rPr>
            </w:pPr>
            <w:r>
              <w:rPr>
                <w:rFonts w:ascii="Times New Roman" w:hAnsi="Times New Roman" w:eastAsia="宋体" w:cs="Times New Roman"/>
                <w:color w:val="auto"/>
                <w:kern w:val="0"/>
                <w:sz w:val="20"/>
                <w:szCs w:val="20"/>
                <w:lang w:bidi="ar"/>
              </w:rPr>
              <w:t xml:space="preserve">37.6 </w:t>
            </w:r>
          </w:p>
        </w:tc>
      </w:tr>
    </w:tbl>
    <w:p>
      <w:pPr>
        <w:autoSpaceDE w:val="0"/>
        <w:autoSpaceDN w:val="0"/>
        <w:adjustRightInd w:val="0"/>
        <w:spacing w:line="560" w:lineRule="exact"/>
        <w:ind w:firstLine="560" w:firstLineChars="200"/>
        <w:rPr>
          <w:rFonts w:ascii="Times New Roman" w:hAnsi="Times New Roman" w:eastAsia="仿宋" w:cs="Times New Roman"/>
          <w:color w:val="auto"/>
          <w:kern w:val="0"/>
          <w:sz w:val="28"/>
          <w:szCs w:val="28"/>
        </w:rPr>
      </w:pPr>
    </w:p>
    <w:p>
      <w:pPr>
        <w:autoSpaceDE w:val="0"/>
        <w:autoSpaceDN w:val="0"/>
        <w:adjustRightInd w:val="0"/>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根据表5.1.1-1成果，按3.6.1节流量过程变异程度计算方法，得到各水文站流量过程变异程度评估成果，对于有水文站的河段采用历年逐月实测流量进行计算，对于无水文站的河段，采用水文比拟法进行计算，具体评估结果见表5.1.1-2。</w:t>
      </w:r>
    </w:p>
    <w:p>
      <w:pPr>
        <w:spacing w:line="560" w:lineRule="exact"/>
        <w:jc w:val="center"/>
        <w:rPr>
          <w:rFonts w:ascii="Times New Roman" w:hAnsi="Times New Roman" w:eastAsia="仿宋" w:cs="Times New Roman"/>
          <w:b/>
          <w:color w:val="auto"/>
          <w:kern w:val="0"/>
          <w:sz w:val="28"/>
          <w:szCs w:val="28"/>
        </w:rPr>
      </w:pPr>
      <w:r>
        <w:rPr>
          <w:rFonts w:ascii="Times New Roman" w:hAnsi="Times New Roman" w:eastAsia="仿宋" w:cs="Times New Roman"/>
          <w:b/>
          <w:color w:val="auto"/>
          <w:kern w:val="0"/>
          <w:sz w:val="28"/>
          <w:szCs w:val="28"/>
        </w:rPr>
        <w:t>表5.1.1-2广西</w:t>
      </w:r>
      <w:r>
        <w:rPr>
          <w:rFonts w:hint="eastAsia" w:ascii="Times New Roman" w:hAnsi="Times New Roman" w:eastAsia="仿宋" w:cs="Times New Roman"/>
          <w:b/>
          <w:color w:val="auto"/>
          <w:kern w:val="0"/>
          <w:sz w:val="28"/>
          <w:szCs w:val="28"/>
          <w:lang w:eastAsia="zh-CN"/>
        </w:rPr>
        <w:t>资江流域</w:t>
      </w:r>
      <w:r>
        <w:rPr>
          <w:rFonts w:ascii="Times New Roman" w:hAnsi="Times New Roman" w:eastAsia="仿宋" w:cs="Times New Roman"/>
          <w:b/>
          <w:color w:val="auto"/>
          <w:kern w:val="0"/>
          <w:sz w:val="28"/>
          <w:szCs w:val="28"/>
        </w:rPr>
        <w:t>各评估河段流量过程变异程度评价结果表</w:t>
      </w:r>
    </w:p>
    <w:tbl>
      <w:tblPr>
        <w:tblStyle w:val="15"/>
        <w:tblW w:w="92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749"/>
        <w:gridCol w:w="1910"/>
        <w:gridCol w:w="1746"/>
        <w:gridCol w:w="1906"/>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lang w:bidi="ar"/>
              </w:rPr>
              <w:t>序号</w:t>
            </w:r>
          </w:p>
        </w:tc>
        <w:tc>
          <w:tcPr>
            <w:tcW w:w="174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lang w:bidi="ar"/>
              </w:rPr>
              <w:t>主要控制站名</w:t>
            </w:r>
          </w:p>
        </w:tc>
        <w:tc>
          <w:tcPr>
            <w:tcW w:w="191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lang w:bidi="ar"/>
              </w:rPr>
              <w:t>评估河段</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lang w:bidi="ar"/>
              </w:rPr>
              <w:t>流量过程变异程度（FD）</w:t>
            </w:r>
          </w:p>
        </w:tc>
        <w:tc>
          <w:tcPr>
            <w:tcW w:w="19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lang w:bidi="ar"/>
              </w:rPr>
              <w:t>流量过程变异程度赋分（FDr）</w:t>
            </w:r>
          </w:p>
        </w:tc>
        <w:tc>
          <w:tcPr>
            <w:tcW w:w="11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lang w:bidi="ar"/>
              </w:rPr>
              <w:t>1</w:t>
            </w:r>
          </w:p>
        </w:tc>
        <w:tc>
          <w:tcPr>
            <w:tcW w:w="174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bidi="ar"/>
              </w:rPr>
              <w:t>资源</w:t>
            </w:r>
          </w:p>
        </w:tc>
        <w:tc>
          <w:tcPr>
            <w:tcW w:w="191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bidi="ar"/>
              </w:rPr>
              <w:t>资江</w:t>
            </w:r>
            <w:r>
              <w:rPr>
                <w:rFonts w:ascii="Times New Roman" w:hAnsi="Times New Roman" w:eastAsia="仿宋" w:cs="Times New Roman"/>
                <w:color w:val="auto"/>
                <w:sz w:val="21"/>
                <w:szCs w:val="21"/>
                <w:lang w:bidi="ar"/>
              </w:rPr>
              <w:t>保护段</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lang w:bidi="ar"/>
              </w:rPr>
              <w:t xml:space="preserve">1.66 </w:t>
            </w:r>
          </w:p>
        </w:tc>
        <w:tc>
          <w:tcPr>
            <w:tcW w:w="19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lang w:bidi="ar"/>
              </w:rPr>
              <w:t>23.8</w:t>
            </w:r>
          </w:p>
        </w:tc>
        <w:tc>
          <w:tcPr>
            <w:tcW w:w="11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p>
        </w:tc>
      </w:tr>
    </w:tbl>
    <w:p>
      <w:pPr>
        <w:autoSpaceDE w:val="0"/>
        <w:autoSpaceDN w:val="0"/>
        <w:adjustRightInd w:val="0"/>
        <w:spacing w:line="560" w:lineRule="exact"/>
        <w:ind w:firstLine="560" w:firstLineChars="200"/>
        <w:rPr>
          <w:rFonts w:ascii="Times New Roman" w:hAnsi="Times New Roman" w:eastAsia="仿宋" w:cs="Times New Roman"/>
          <w:color w:val="auto"/>
          <w:sz w:val="28"/>
          <w:szCs w:val="28"/>
        </w:rPr>
      </w:pPr>
    </w:p>
    <w:p>
      <w:pPr>
        <w:autoSpaceDE w:val="0"/>
        <w:autoSpaceDN w:val="0"/>
        <w:adjustRightInd w:val="0"/>
        <w:spacing w:line="560" w:lineRule="exact"/>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由上表可知，根据各水文站实测径流与天然径流计算，各断面流量过程变异在0.43～1.88之间，赋分值在22.1~47.4，可见广西</w:t>
      </w:r>
      <w:r>
        <w:rPr>
          <w:rFonts w:hint="eastAsia" w:ascii="Times New Roman" w:hAnsi="Times New Roman" w:eastAsia="仿宋" w:cs="Times New Roman"/>
          <w:color w:val="auto"/>
          <w:sz w:val="28"/>
          <w:szCs w:val="28"/>
          <w:lang w:eastAsia="zh-CN"/>
        </w:rPr>
        <w:t>资江流域</w:t>
      </w:r>
      <w:r>
        <w:rPr>
          <w:rFonts w:ascii="Times New Roman" w:hAnsi="Times New Roman" w:eastAsia="仿宋" w:cs="Times New Roman"/>
          <w:color w:val="auto"/>
          <w:sz w:val="28"/>
          <w:szCs w:val="28"/>
        </w:rPr>
        <w:t>主要河流流量变异程度很大。由于2015年广西平均降水量1894mm，比多年平均值偏多23.6%，地表水资源量2432亿m</w:t>
      </w:r>
      <w:r>
        <w:rPr>
          <w:rFonts w:ascii="Times New Roman" w:hAnsi="Times New Roman" w:eastAsia="仿宋" w:cs="Times New Roman"/>
          <w:color w:val="auto"/>
          <w:sz w:val="28"/>
          <w:szCs w:val="28"/>
          <w:vertAlign w:val="superscript"/>
        </w:rPr>
        <w:t>3</w:t>
      </w:r>
      <w:r>
        <w:rPr>
          <w:rFonts w:ascii="Times New Roman" w:hAnsi="Times New Roman" w:eastAsia="仿宋" w:cs="Times New Roman"/>
          <w:color w:val="auto"/>
          <w:sz w:val="28"/>
          <w:szCs w:val="28"/>
        </w:rPr>
        <w:t>，比多年均值偏多28.5%。其中桂林市降雨量比多年平均值偏多41.7%，地表水资源量508亿m</w:t>
      </w:r>
      <w:r>
        <w:rPr>
          <w:rFonts w:ascii="Times New Roman" w:hAnsi="Times New Roman" w:eastAsia="仿宋" w:cs="Times New Roman"/>
          <w:color w:val="auto"/>
          <w:sz w:val="28"/>
          <w:szCs w:val="28"/>
          <w:vertAlign w:val="superscript"/>
        </w:rPr>
        <w:t>3</w:t>
      </w:r>
      <w:r>
        <w:rPr>
          <w:rFonts w:ascii="Times New Roman" w:hAnsi="Times New Roman" w:eastAsia="仿宋" w:cs="Times New Roman"/>
          <w:color w:val="auto"/>
          <w:sz w:val="28"/>
          <w:szCs w:val="28"/>
        </w:rPr>
        <w:t>，与多年均值相比偏多62.6%，恭城、</w:t>
      </w:r>
      <w:r>
        <w:rPr>
          <w:rFonts w:hint="eastAsia" w:ascii="Times New Roman" w:hAnsi="Times New Roman" w:eastAsia="仿宋" w:cs="Times New Roman"/>
          <w:color w:val="auto"/>
          <w:sz w:val="28"/>
          <w:szCs w:val="28"/>
          <w:lang w:eastAsia="zh-CN"/>
        </w:rPr>
        <w:t>梅溪</w:t>
      </w:r>
      <w:r>
        <w:rPr>
          <w:rFonts w:ascii="Times New Roman" w:hAnsi="Times New Roman" w:eastAsia="仿宋" w:cs="Times New Roman"/>
          <w:color w:val="auto"/>
          <w:sz w:val="28"/>
          <w:szCs w:val="28"/>
        </w:rPr>
        <w:t>一度发生超过50年一遇大洪水，导致恭城、</w:t>
      </w:r>
      <w:r>
        <w:rPr>
          <w:rFonts w:hint="eastAsia" w:ascii="Times New Roman" w:hAnsi="Times New Roman" w:eastAsia="仿宋" w:cs="Times New Roman"/>
          <w:color w:val="auto"/>
          <w:sz w:val="28"/>
          <w:szCs w:val="28"/>
          <w:lang w:eastAsia="zh-CN"/>
        </w:rPr>
        <w:t>梅溪</w:t>
      </w:r>
      <w:r>
        <w:rPr>
          <w:rFonts w:ascii="Times New Roman" w:hAnsi="Times New Roman" w:eastAsia="仿宋" w:cs="Times New Roman"/>
          <w:color w:val="auto"/>
          <w:sz w:val="28"/>
          <w:szCs w:val="28"/>
        </w:rPr>
        <w:t>河段变异度接近0。径流量大幅度增加造成变异度异常，基本上不能反应流域真实情况。因此，根据典型年选择的原则，本次对部分站点偏离较大的站点采用比较接近多年均值的2017年数据代替，以便取得比较接近真实的反应。</w:t>
      </w:r>
    </w:p>
    <w:p>
      <w:pPr>
        <w:autoSpaceDE w:val="0"/>
        <w:autoSpaceDN w:val="0"/>
        <w:adjustRightInd w:val="0"/>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bCs/>
          <w:color w:val="auto"/>
          <w:kern w:val="0"/>
          <w:sz w:val="28"/>
          <w:szCs w:val="28"/>
        </w:rPr>
        <w:t xml:space="preserve">（2） </w:t>
      </w:r>
      <w:r>
        <w:rPr>
          <w:rFonts w:ascii="Times New Roman" w:hAnsi="Times New Roman" w:eastAsia="仿宋" w:cs="Times New Roman"/>
          <w:color w:val="auto"/>
          <w:kern w:val="0"/>
          <w:sz w:val="28"/>
          <w:szCs w:val="28"/>
        </w:rPr>
        <w:t>生态流量保障程度评估（</w:t>
      </w:r>
      <w:r>
        <w:rPr>
          <w:rFonts w:ascii="Times New Roman" w:hAnsi="Times New Roman" w:eastAsia="仿宋" w:cs="Times New Roman"/>
          <w:bCs/>
          <w:color w:val="auto"/>
          <w:kern w:val="0"/>
          <w:sz w:val="28"/>
          <w:szCs w:val="28"/>
        </w:rPr>
        <w:t>EF</w:t>
      </w:r>
      <w:r>
        <w:rPr>
          <w:rFonts w:ascii="Times New Roman" w:hAnsi="Times New Roman" w:eastAsia="仿宋" w:cs="Times New Roman"/>
          <w:color w:val="auto"/>
          <w:kern w:val="0"/>
          <w:sz w:val="28"/>
          <w:szCs w:val="28"/>
        </w:rPr>
        <w:t xml:space="preserve">） </w:t>
      </w:r>
    </w:p>
    <w:p>
      <w:pPr>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本次评估主要收集到大溶江、桂林、阳朔、</w:t>
      </w:r>
      <w:r>
        <w:rPr>
          <w:rFonts w:hint="eastAsia" w:ascii="Times New Roman" w:hAnsi="Times New Roman" w:eastAsia="仿宋" w:cs="Times New Roman"/>
          <w:color w:val="auto"/>
          <w:kern w:val="0"/>
          <w:sz w:val="28"/>
          <w:szCs w:val="28"/>
          <w:lang w:eastAsia="zh-CN"/>
        </w:rPr>
        <w:t>梅溪</w:t>
      </w:r>
      <w:r>
        <w:rPr>
          <w:rFonts w:ascii="Times New Roman" w:hAnsi="Times New Roman" w:eastAsia="仿宋" w:cs="Times New Roman"/>
          <w:color w:val="auto"/>
          <w:kern w:val="0"/>
          <w:sz w:val="28"/>
          <w:szCs w:val="28"/>
        </w:rPr>
        <w:t>、京南、恭城、荔浦、裕路、富罗9个水文站2015年逐日平均流量以及多年平均流量资料。对于上述9个水文站所在的河段采用历年逐月实测日流量进行计算，其余河段采用水文比拟法进行计算。统计得到10月来年3月最小日均流量以及多年4</w:t>
      </w:r>
      <w:r>
        <w:rPr>
          <w:rFonts w:ascii="Times New Roman" w:hAnsi="Times New Roman" w:eastAsia="仿宋" w:cs="Times New Roman"/>
          <w:bCs/>
          <w:color w:val="auto"/>
          <w:sz w:val="28"/>
          <w:szCs w:val="28"/>
        </w:rPr>
        <w:t>～</w:t>
      </w:r>
      <w:r>
        <w:rPr>
          <w:rFonts w:ascii="Times New Roman" w:hAnsi="Times New Roman" w:eastAsia="仿宋" w:cs="Times New Roman"/>
          <w:color w:val="auto"/>
          <w:kern w:val="0"/>
          <w:sz w:val="28"/>
          <w:szCs w:val="28"/>
        </w:rPr>
        <w:t>9月最小日均流量，用以评价各水文站生态流量保障程度。</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主要水文站流量统计各月最小日均流量统计结果见表5.1.1-3。</w:t>
      </w:r>
    </w:p>
    <w:p>
      <w:pPr>
        <w:spacing w:line="560" w:lineRule="exact"/>
        <w:rPr>
          <w:rFonts w:ascii="Times New Roman" w:hAnsi="Times New Roman" w:eastAsia="仿宋" w:cs="Times New Roman"/>
          <w:b/>
          <w:color w:val="auto"/>
          <w:sz w:val="28"/>
          <w:szCs w:val="28"/>
        </w:rPr>
      </w:pPr>
      <w:r>
        <w:rPr>
          <w:rFonts w:ascii="Times New Roman" w:hAnsi="Times New Roman" w:eastAsia="仿宋" w:cs="Times New Roman"/>
          <w:b/>
          <w:color w:val="auto"/>
          <w:sz w:val="28"/>
          <w:szCs w:val="28"/>
        </w:rPr>
        <w:t xml:space="preserve">表5.1.1-3  </w:t>
      </w:r>
      <w:r>
        <w:rPr>
          <w:rFonts w:hint="eastAsia" w:ascii="Times New Roman" w:hAnsi="Times New Roman" w:eastAsia="仿宋" w:cs="Times New Roman"/>
          <w:b/>
          <w:color w:val="auto"/>
          <w:sz w:val="28"/>
          <w:szCs w:val="28"/>
          <w:lang w:eastAsia="zh-CN"/>
        </w:rPr>
        <w:t>资江流域</w:t>
      </w:r>
      <w:r>
        <w:rPr>
          <w:rFonts w:ascii="Times New Roman" w:hAnsi="Times New Roman" w:eastAsia="仿宋" w:cs="Times New Roman"/>
          <w:b/>
          <w:color w:val="auto"/>
          <w:sz w:val="28"/>
          <w:szCs w:val="28"/>
        </w:rPr>
        <w:t xml:space="preserve">主要水文站典型年各月最小日均流量统计 </w:t>
      </w:r>
      <w:r>
        <w:rPr>
          <w:rFonts w:ascii="Times New Roman" w:hAnsi="Times New Roman" w:eastAsia="仿宋" w:cs="Times New Roman"/>
          <w:b/>
          <w:color w:val="auto"/>
          <w:sz w:val="24"/>
          <w:szCs w:val="24"/>
        </w:rPr>
        <w:t>单位：m</w:t>
      </w:r>
      <w:r>
        <w:rPr>
          <w:rFonts w:ascii="Times New Roman" w:hAnsi="Times New Roman" w:eastAsia="仿宋" w:cs="Times New Roman"/>
          <w:b/>
          <w:color w:val="auto"/>
          <w:sz w:val="24"/>
          <w:szCs w:val="24"/>
          <w:vertAlign w:val="superscript"/>
        </w:rPr>
        <w:t>3</w:t>
      </w:r>
      <w:r>
        <w:rPr>
          <w:rFonts w:ascii="Times New Roman" w:hAnsi="Times New Roman" w:eastAsia="仿宋" w:cs="Times New Roman"/>
          <w:b/>
          <w:color w:val="auto"/>
          <w:sz w:val="24"/>
          <w:szCs w:val="24"/>
        </w:rPr>
        <w:t>/s</w:t>
      </w:r>
    </w:p>
    <w:tbl>
      <w:tblPr>
        <w:tblStyle w:val="15"/>
        <w:tblW w:w="9343" w:type="dxa"/>
        <w:jc w:val="center"/>
        <w:tblLayout w:type="fixed"/>
        <w:tblCellMar>
          <w:top w:w="0" w:type="dxa"/>
          <w:left w:w="108" w:type="dxa"/>
          <w:bottom w:w="0" w:type="dxa"/>
          <w:right w:w="108" w:type="dxa"/>
        </w:tblCellMar>
      </w:tblPr>
      <w:tblGrid>
        <w:gridCol w:w="874"/>
        <w:gridCol w:w="707"/>
        <w:gridCol w:w="707"/>
        <w:gridCol w:w="706"/>
        <w:gridCol w:w="706"/>
        <w:gridCol w:w="706"/>
        <w:gridCol w:w="706"/>
        <w:gridCol w:w="706"/>
        <w:gridCol w:w="706"/>
        <w:gridCol w:w="706"/>
        <w:gridCol w:w="706"/>
        <w:gridCol w:w="706"/>
        <w:gridCol w:w="701"/>
      </w:tblGrid>
      <w:tr>
        <w:tblPrEx>
          <w:tblCellMar>
            <w:top w:w="0" w:type="dxa"/>
            <w:left w:w="108" w:type="dxa"/>
            <w:bottom w:w="0" w:type="dxa"/>
            <w:right w:w="108" w:type="dxa"/>
          </w:tblCellMar>
        </w:tblPrEx>
        <w:trPr>
          <w:trHeight w:val="270" w:hRule="atLeast"/>
          <w:jc w:val="center"/>
        </w:trPr>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站名</w:t>
            </w:r>
          </w:p>
        </w:tc>
        <w:tc>
          <w:tcPr>
            <w:tcW w:w="707"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1月</w:t>
            </w:r>
          </w:p>
        </w:tc>
        <w:tc>
          <w:tcPr>
            <w:tcW w:w="707"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2月</w:t>
            </w:r>
          </w:p>
        </w:tc>
        <w:tc>
          <w:tcPr>
            <w:tcW w:w="706"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3月</w:t>
            </w:r>
          </w:p>
        </w:tc>
        <w:tc>
          <w:tcPr>
            <w:tcW w:w="706"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4月</w:t>
            </w:r>
          </w:p>
        </w:tc>
        <w:tc>
          <w:tcPr>
            <w:tcW w:w="706"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5月</w:t>
            </w:r>
          </w:p>
        </w:tc>
        <w:tc>
          <w:tcPr>
            <w:tcW w:w="706"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6月</w:t>
            </w:r>
          </w:p>
        </w:tc>
        <w:tc>
          <w:tcPr>
            <w:tcW w:w="706"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7月</w:t>
            </w:r>
          </w:p>
        </w:tc>
        <w:tc>
          <w:tcPr>
            <w:tcW w:w="706"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8月</w:t>
            </w:r>
          </w:p>
        </w:tc>
        <w:tc>
          <w:tcPr>
            <w:tcW w:w="706"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9月</w:t>
            </w:r>
          </w:p>
        </w:tc>
        <w:tc>
          <w:tcPr>
            <w:tcW w:w="706"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10月</w:t>
            </w:r>
          </w:p>
        </w:tc>
        <w:tc>
          <w:tcPr>
            <w:tcW w:w="706"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11月</w:t>
            </w:r>
          </w:p>
        </w:tc>
        <w:tc>
          <w:tcPr>
            <w:tcW w:w="701" w:type="dxa"/>
            <w:tcBorders>
              <w:top w:val="single" w:color="auto" w:sz="4" w:space="0"/>
              <w:left w:val="nil"/>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12月</w:t>
            </w:r>
          </w:p>
        </w:tc>
      </w:tr>
      <w:tr>
        <w:tblPrEx>
          <w:tblCellMar>
            <w:top w:w="0" w:type="dxa"/>
            <w:left w:w="108" w:type="dxa"/>
            <w:bottom w:w="0" w:type="dxa"/>
            <w:right w:w="108" w:type="dxa"/>
          </w:tblCellMar>
        </w:tblPrEx>
        <w:trPr>
          <w:trHeight w:val="270" w:hRule="atLeast"/>
          <w:jc w:val="center"/>
        </w:trPr>
        <w:tc>
          <w:tcPr>
            <w:tcW w:w="874" w:type="dxa"/>
            <w:tcBorders>
              <w:top w:val="nil"/>
              <w:left w:val="single" w:color="auto" w:sz="4" w:space="0"/>
              <w:bottom w:val="single" w:color="auto" w:sz="4" w:space="0"/>
              <w:right w:val="single" w:color="auto" w:sz="4" w:space="0"/>
            </w:tcBorders>
            <w:shd w:val="clear" w:color="auto" w:fill="auto"/>
            <w:vAlign w:val="center"/>
          </w:tcPr>
          <w:p>
            <w:pPr>
              <w:widowControl/>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lang w:bidi="ar"/>
              </w:rPr>
              <w:t>大溶江</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lang w:bidi="ar"/>
              </w:rPr>
              <w:t xml:space="preserve">7.8 </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lang w:bidi="ar"/>
              </w:rPr>
              <w:t xml:space="preserve">8.5 </w:t>
            </w:r>
          </w:p>
        </w:tc>
        <w:tc>
          <w:tcPr>
            <w:tcW w:w="70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lang w:bidi="ar"/>
              </w:rPr>
              <w:t xml:space="preserve">37.9 </w:t>
            </w:r>
          </w:p>
        </w:tc>
        <w:tc>
          <w:tcPr>
            <w:tcW w:w="70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lang w:bidi="ar"/>
              </w:rPr>
              <w:t xml:space="preserve">24.4 </w:t>
            </w:r>
          </w:p>
        </w:tc>
        <w:tc>
          <w:tcPr>
            <w:tcW w:w="70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lang w:bidi="ar"/>
              </w:rPr>
              <w:t xml:space="preserve">58.4 </w:t>
            </w:r>
          </w:p>
        </w:tc>
        <w:tc>
          <w:tcPr>
            <w:tcW w:w="70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lang w:bidi="ar"/>
              </w:rPr>
              <w:t xml:space="preserve">40.7 </w:t>
            </w:r>
          </w:p>
        </w:tc>
        <w:tc>
          <w:tcPr>
            <w:tcW w:w="70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lang w:bidi="ar"/>
              </w:rPr>
              <w:t xml:space="preserve">47.3 </w:t>
            </w:r>
          </w:p>
        </w:tc>
        <w:tc>
          <w:tcPr>
            <w:tcW w:w="70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lang w:bidi="ar"/>
              </w:rPr>
              <w:t xml:space="preserve">40.7 </w:t>
            </w:r>
          </w:p>
        </w:tc>
        <w:tc>
          <w:tcPr>
            <w:tcW w:w="70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lang w:bidi="ar"/>
              </w:rPr>
              <w:t xml:space="preserve">15.5 </w:t>
            </w:r>
          </w:p>
        </w:tc>
        <w:tc>
          <w:tcPr>
            <w:tcW w:w="70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lang w:bidi="ar"/>
              </w:rPr>
              <w:t xml:space="preserve">8.1 </w:t>
            </w:r>
          </w:p>
        </w:tc>
        <w:tc>
          <w:tcPr>
            <w:tcW w:w="70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lang w:bidi="ar"/>
              </w:rPr>
              <w:t xml:space="preserve">13.7 </w:t>
            </w:r>
          </w:p>
        </w:tc>
        <w:tc>
          <w:tcPr>
            <w:tcW w:w="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lang w:bidi="ar"/>
              </w:rPr>
              <w:t xml:space="preserve">22.1 </w:t>
            </w:r>
          </w:p>
        </w:tc>
      </w:tr>
    </w:tbl>
    <w:p>
      <w:pPr>
        <w:autoSpaceDE w:val="0"/>
        <w:autoSpaceDN w:val="0"/>
        <w:adjustRightInd w:val="0"/>
        <w:spacing w:line="560" w:lineRule="exact"/>
        <w:ind w:firstLine="560" w:firstLineChars="200"/>
        <w:jc w:val="lef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按3.6.2节生态流量保障程度计算方法，得到各水文站生态流量保障程度评估结果，具体评估结果见表5.1.1-4。 </w:t>
      </w:r>
    </w:p>
    <w:p>
      <w:pPr>
        <w:autoSpaceDE w:val="0"/>
        <w:autoSpaceDN w:val="0"/>
        <w:adjustRightInd w:val="0"/>
        <w:spacing w:line="560" w:lineRule="exact"/>
        <w:ind w:firstLine="560" w:firstLineChars="200"/>
        <w:jc w:val="left"/>
        <w:rPr>
          <w:rFonts w:ascii="Times New Roman" w:hAnsi="Times New Roman" w:eastAsia="仿宋" w:cs="Times New Roman"/>
          <w:color w:val="auto"/>
          <w:sz w:val="28"/>
          <w:szCs w:val="28"/>
        </w:rPr>
        <w:sectPr>
          <w:headerReference r:id="rId9" w:type="default"/>
          <w:pgSz w:w="11906" w:h="16838"/>
          <w:pgMar w:top="1361" w:right="1361" w:bottom="1474" w:left="1418" w:header="1021" w:footer="964" w:gutter="0"/>
          <w:cols w:space="425" w:num="1"/>
          <w:docGrid w:linePitch="312" w:charSpace="0"/>
        </w:sectPr>
      </w:pPr>
    </w:p>
    <w:p>
      <w:pPr>
        <w:ind w:firstLine="562" w:firstLineChars="200"/>
        <w:rPr>
          <w:rFonts w:ascii="Times New Roman" w:hAnsi="Times New Roman" w:eastAsia="仿宋" w:cs="Times New Roman"/>
          <w:b/>
          <w:color w:val="auto"/>
          <w:kern w:val="0"/>
          <w:sz w:val="28"/>
          <w:szCs w:val="28"/>
        </w:rPr>
      </w:pPr>
      <w:r>
        <w:rPr>
          <w:rFonts w:ascii="Times New Roman" w:hAnsi="Times New Roman" w:eastAsia="仿宋" w:cs="Times New Roman"/>
          <w:b/>
          <w:color w:val="auto"/>
          <w:sz w:val="28"/>
          <w:szCs w:val="28"/>
        </w:rPr>
        <w:t xml:space="preserve">表5.1.1-4    </w:t>
      </w:r>
      <w:r>
        <w:rPr>
          <w:rFonts w:hint="eastAsia" w:ascii="Times New Roman" w:hAnsi="Times New Roman" w:eastAsia="仿宋" w:cs="Times New Roman"/>
          <w:b/>
          <w:color w:val="auto"/>
          <w:sz w:val="28"/>
          <w:szCs w:val="28"/>
        </w:rPr>
        <w:t xml:space="preserve">    </w:t>
      </w:r>
      <w:r>
        <w:rPr>
          <w:rFonts w:ascii="Times New Roman" w:hAnsi="Times New Roman" w:eastAsia="仿宋" w:cs="Times New Roman"/>
          <w:b/>
          <w:color w:val="auto"/>
          <w:sz w:val="28"/>
          <w:szCs w:val="28"/>
        </w:rPr>
        <w:t xml:space="preserve">  广西</w:t>
      </w:r>
      <w:r>
        <w:rPr>
          <w:rFonts w:hint="eastAsia" w:ascii="Times New Roman" w:hAnsi="Times New Roman" w:eastAsia="仿宋" w:cs="Times New Roman"/>
          <w:b/>
          <w:color w:val="auto"/>
          <w:sz w:val="28"/>
          <w:szCs w:val="28"/>
          <w:lang w:eastAsia="zh-CN"/>
        </w:rPr>
        <w:t>资江流域</w:t>
      </w:r>
      <w:r>
        <w:rPr>
          <w:rFonts w:ascii="Times New Roman" w:hAnsi="Times New Roman" w:eastAsia="仿宋" w:cs="Times New Roman"/>
          <w:b/>
          <w:color w:val="auto"/>
          <w:sz w:val="28"/>
          <w:szCs w:val="28"/>
        </w:rPr>
        <w:t>干支流生态流量保障程度评估结果表（2015年） 单位：m</w:t>
      </w:r>
      <w:r>
        <w:rPr>
          <w:rFonts w:ascii="Times New Roman" w:hAnsi="Times New Roman" w:eastAsia="仿宋" w:cs="Times New Roman"/>
          <w:b/>
          <w:color w:val="auto"/>
          <w:sz w:val="28"/>
          <w:szCs w:val="28"/>
          <w:vertAlign w:val="superscript"/>
        </w:rPr>
        <w:t>3</w:t>
      </w:r>
      <w:r>
        <w:rPr>
          <w:rFonts w:ascii="Times New Roman" w:hAnsi="Times New Roman" w:eastAsia="仿宋" w:cs="Times New Roman"/>
          <w:b/>
          <w:color w:val="auto"/>
          <w:sz w:val="18"/>
          <w:szCs w:val="18"/>
          <w:vertAlign w:val="superscript"/>
        </w:rPr>
        <w:t xml:space="preserve"> </w:t>
      </w:r>
      <w:r>
        <w:rPr>
          <w:rFonts w:ascii="Times New Roman" w:hAnsi="Times New Roman" w:eastAsia="仿宋" w:cs="Times New Roman"/>
          <w:b/>
          <w:color w:val="auto"/>
          <w:sz w:val="28"/>
          <w:szCs w:val="28"/>
        </w:rPr>
        <w:t>/s</w:t>
      </w:r>
    </w:p>
    <w:tbl>
      <w:tblPr>
        <w:tblStyle w:val="15"/>
        <w:tblW w:w="140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1101"/>
        <w:gridCol w:w="1559"/>
        <w:gridCol w:w="1702"/>
        <w:gridCol w:w="1417"/>
        <w:gridCol w:w="1844"/>
        <w:gridCol w:w="1418"/>
        <w:gridCol w:w="1418"/>
        <w:gridCol w:w="1274"/>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8"/>
                <w:szCs w:val="28"/>
              </w:rPr>
            </w:pPr>
            <w:r>
              <w:rPr>
                <w:rFonts w:hint="eastAsia" w:ascii="Times New Roman" w:hAnsi="Times New Roman" w:eastAsia="仿宋" w:cs="仿宋"/>
                <w:color w:val="auto"/>
                <w:kern w:val="0"/>
                <w:sz w:val="22"/>
                <w:lang w:bidi="ar"/>
              </w:rPr>
              <w:t>序号</w:t>
            </w:r>
          </w:p>
        </w:tc>
        <w:tc>
          <w:tcPr>
            <w:tcW w:w="11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8"/>
                <w:szCs w:val="28"/>
              </w:rPr>
            </w:pPr>
            <w:r>
              <w:rPr>
                <w:rFonts w:hint="eastAsia" w:ascii="Times New Roman" w:hAnsi="Times New Roman" w:eastAsia="仿宋" w:cs="仿宋"/>
                <w:color w:val="auto"/>
                <w:kern w:val="0"/>
                <w:sz w:val="22"/>
                <w:lang w:bidi="ar"/>
              </w:rPr>
              <w:t>站点</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8"/>
                <w:szCs w:val="28"/>
              </w:rPr>
            </w:pPr>
            <w:r>
              <w:rPr>
                <w:rFonts w:hint="eastAsia" w:ascii="Times New Roman" w:hAnsi="Times New Roman" w:eastAsia="仿宋" w:cs="仿宋"/>
                <w:color w:val="auto"/>
                <w:kern w:val="0"/>
                <w:sz w:val="22"/>
                <w:lang w:bidi="ar"/>
              </w:rPr>
              <w:t>多年平均流量</w:t>
            </w:r>
          </w:p>
        </w:tc>
        <w:tc>
          <w:tcPr>
            <w:tcW w:w="17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2"/>
                <w:lang w:bidi="ar"/>
              </w:rPr>
              <w:t>10~</w:t>
            </w:r>
            <w:r>
              <w:rPr>
                <w:rFonts w:hint="eastAsia" w:ascii="Times New Roman" w:hAnsi="Times New Roman" w:eastAsia="仿宋" w:cs="仿宋"/>
                <w:color w:val="auto"/>
                <w:kern w:val="0"/>
                <w:sz w:val="22"/>
                <w:lang w:bidi="ar"/>
              </w:rPr>
              <w:t>次年</w:t>
            </w:r>
            <w:r>
              <w:rPr>
                <w:rFonts w:ascii="Times New Roman" w:hAnsi="Times New Roman" w:eastAsia="仿宋" w:cs="Times New Roman"/>
                <w:color w:val="auto"/>
                <w:kern w:val="0"/>
                <w:sz w:val="22"/>
                <w:lang w:bidi="ar"/>
              </w:rPr>
              <w:t>3</w:t>
            </w:r>
            <w:r>
              <w:rPr>
                <w:rFonts w:hint="eastAsia" w:ascii="Times New Roman" w:hAnsi="Times New Roman" w:eastAsia="仿宋" w:cs="仿宋"/>
                <w:color w:val="auto"/>
                <w:kern w:val="0"/>
                <w:sz w:val="22"/>
                <w:lang w:bidi="ar"/>
              </w:rPr>
              <w:t>月最小日均流量</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2"/>
                <w:lang w:bidi="ar"/>
              </w:rPr>
              <w:t>4~9</w:t>
            </w:r>
            <w:r>
              <w:rPr>
                <w:rFonts w:hint="eastAsia" w:ascii="Times New Roman" w:hAnsi="Times New Roman" w:eastAsia="仿宋" w:cs="仿宋"/>
                <w:color w:val="auto"/>
                <w:kern w:val="0"/>
                <w:sz w:val="22"/>
                <w:lang w:bidi="ar"/>
              </w:rPr>
              <w:t>月最小日均流量</w:t>
            </w:r>
          </w:p>
        </w:tc>
        <w:tc>
          <w:tcPr>
            <w:tcW w:w="32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8"/>
                <w:szCs w:val="28"/>
              </w:rPr>
            </w:pPr>
            <w:r>
              <w:rPr>
                <w:rFonts w:hint="eastAsia" w:ascii="Times New Roman" w:hAnsi="Times New Roman" w:eastAsia="仿宋" w:cs="仿宋"/>
                <w:color w:val="auto"/>
                <w:kern w:val="0"/>
                <w:sz w:val="22"/>
                <w:lang w:bidi="ar"/>
              </w:rPr>
              <w:t>推荐基流标准（年平均流量百分比分数）</w:t>
            </w:r>
          </w:p>
        </w:tc>
        <w:tc>
          <w:tcPr>
            <w:tcW w:w="14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2"/>
                <w:lang w:bidi="ar"/>
              </w:rPr>
              <w:t>10~</w:t>
            </w:r>
            <w:r>
              <w:rPr>
                <w:rFonts w:hint="eastAsia" w:ascii="Times New Roman" w:hAnsi="Times New Roman" w:eastAsia="仿宋" w:cs="仿宋"/>
                <w:color w:val="auto"/>
                <w:kern w:val="0"/>
                <w:sz w:val="22"/>
                <w:lang w:bidi="ar"/>
              </w:rPr>
              <w:t>次年</w:t>
            </w:r>
            <w:r>
              <w:rPr>
                <w:rFonts w:ascii="Times New Roman" w:hAnsi="Times New Roman" w:eastAsia="仿宋" w:cs="Times New Roman"/>
                <w:color w:val="auto"/>
                <w:kern w:val="0"/>
                <w:sz w:val="22"/>
                <w:lang w:bidi="ar"/>
              </w:rPr>
              <w:t>3</w:t>
            </w:r>
            <w:r>
              <w:rPr>
                <w:rFonts w:hint="eastAsia" w:ascii="Times New Roman" w:hAnsi="Times New Roman" w:eastAsia="仿宋" w:cs="仿宋"/>
                <w:color w:val="auto"/>
                <w:kern w:val="0"/>
                <w:sz w:val="22"/>
                <w:lang w:bidi="ar"/>
              </w:rPr>
              <w:t>月生态流量保障程度赋分（</w:t>
            </w:r>
            <w:r>
              <w:rPr>
                <w:rFonts w:ascii="Times New Roman" w:hAnsi="Times New Roman" w:eastAsia="仿宋" w:cs="Times New Roman"/>
                <w:color w:val="auto"/>
                <w:kern w:val="0"/>
                <w:sz w:val="22"/>
                <w:lang w:bidi="ar"/>
              </w:rPr>
              <w:t>EF1r</w:t>
            </w:r>
            <w:r>
              <w:rPr>
                <w:rFonts w:hint="eastAsia" w:ascii="Times New Roman" w:hAnsi="Times New Roman" w:eastAsia="仿宋" w:cs="仿宋"/>
                <w:color w:val="auto"/>
                <w:kern w:val="0"/>
                <w:sz w:val="22"/>
                <w:lang w:bidi="ar"/>
              </w:rPr>
              <w:t>）</w:t>
            </w:r>
          </w:p>
        </w:tc>
        <w:tc>
          <w:tcPr>
            <w:tcW w:w="12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2"/>
                <w:lang w:bidi="ar"/>
              </w:rPr>
              <w:t>4~9</w:t>
            </w:r>
            <w:r>
              <w:rPr>
                <w:rFonts w:hint="eastAsia" w:ascii="Times New Roman" w:hAnsi="Times New Roman" w:eastAsia="仿宋" w:cs="仿宋"/>
                <w:color w:val="auto"/>
                <w:kern w:val="0"/>
                <w:sz w:val="22"/>
                <w:lang w:bidi="ar"/>
              </w:rPr>
              <w:t>月生态流量保障程度赋分（</w:t>
            </w:r>
            <w:r>
              <w:rPr>
                <w:rFonts w:ascii="Times New Roman" w:hAnsi="Times New Roman" w:eastAsia="仿宋" w:cs="Times New Roman"/>
                <w:color w:val="auto"/>
                <w:kern w:val="0"/>
                <w:sz w:val="22"/>
                <w:lang w:bidi="ar"/>
              </w:rPr>
              <w:t>EF2r</w:t>
            </w:r>
            <w:r>
              <w:rPr>
                <w:rFonts w:hint="eastAsia" w:ascii="Times New Roman" w:hAnsi="Times New Roman" w:eastAsia="仿宋" w:cs="仿宋"/>
                <w:color w:val="auto"/>
                <w:kern w:val="0"/>
                <w:sz w:val="22"/>
                <w:lang w:bidi="ar"/>
              </w:rPr>
              <w:t>）</w:t>
            </w:r>
          </w:p>
        </w:tc>
        <w:tc>
          <w:tcPr>
            <w:tcW w:w="12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8"/>
                <w:szCs w:val="28"/>
              </w:rPr>
            </w:pPr>
            <w:r>
              <w:rPr>
                <w:rFonts w:hint="eastAsia" w:ascii="Times New Roman" w:hAnsi="Times New Roman" w:eastAsia="仿宋" w:cs="仿宋"/>
                <w:color w:val="auto"/>
                <w:kern w:val="0"/>
                <w:sz w:val="22"/>
                <w:lang w:bidi="ar"/>
              </w:rPr>
              <w:t>生态流量保障程度指标赋分（</w:t>
            </w:r>
            <w:r>
              <w:rPr>
                <w:rFonts w:ascii="Times New Roman" w:hAnsi="Times New Roman" w:eastAsia="仿宋" w:cs="Times New Roman"/>
                <w:color w:val="auto"/>
                <w:kern w:val="0"/>
                <w:sz w:val="22"/>
                <w:lang w:bidi="ar"/>
              </w:rPr>
              <w:t>EFr</w:t>
            </w:r>
            <w:r>
              <w:rPr>
                <w:rFonts w:hint="eastAsia" w:ascii="Times New Roman" w:hAnsi="Times New Roman" w:eastAsia="仿宋" w:cs="仿宋"/>
                <w:color w:val="auto"/>
                <w:kern w:val="0"/>
                <w:sz w:val="22"/>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Times New Roman" w:cs="Times New Roman"/>
                <w:color w:val="auto"/>
                <w:sz w:val="20"/>
                <w:szCs w:val="20"/>
              </w:rPr>
            </w:pPr>
          </w:p>
        </w:tc>
        <w:tc>
          <w:tcPr>
            <w:tcW w:w="11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Times New Roman" w:cs="Times New Roman"/>
                <w:color w:val="auto"/>
                <w:sz w:val="20"/>
                <w:szCs w:val="20"/>
              </w:rPr>
            </w:pPr>
          </w:p>
        </w:tc>
        <w:tc>
          <w:tcPr>
            <w:tcW w:w="15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Times New Roman" w:cs="Times New Roman"/>
                <w:color w:val="auto"/>
                <w:sz w:val="20"/>
                <w:szCs w:val="20"/>
              </w:rPr>
            </w:pPr>
          </w:p>
        </w:tc>
        <w:tc>
          <w:tcPr>
            <w:tcW w:w="17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Times New Roman" w:cs="Times New Roman"/>
                <w:color w:val="auto"/>
                <w:sz w:val="20"/>
                <w:szCs w:val="20"/>
              </w:rPr>
            </w:pPr>
          </w:p>
        </w:tc>
        <w:tc>
          <w:tcPr>
            <w:tcW w:w="141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Times New Roman" w:cs="Times New Roman"/>
                <w:color w:val="auto"/>
                <w:sz w:val="20"/>
                <w:szCs w:val="20"/>
              </w:rPr>
            </w:pPr>
          </w:p>
        </w:tc>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2"/>
              </w:rPr>
            </w:pPr>
            <w:r>
              <w:rPr>
                <w:rFonts w:ascii="Times New Roman" w:hAnsi="Times New Roman" w:eastAsia="仿宋" w:cs="Times New Roman"/>
                <w:color w:val="auto"/>
                <w:kern w:val="0"/>
                <w:sz w:val="22"/>
                <w:lang w:bidi="ar"/>
              </w:rPr>
              <w:t>EF1</w:t>
            </w:r>
            <w:r>
              <w:rPr>
                <w:rFonts w:hint="eastAsia" w:ascii="Times New Roman" w:hAnsi="Times New Roman" w:eastAsia="仿宋" w:cs="仿宋"/>
                <w:color w:val="auto"/>
                <w:kern w:val="0"/>
                <w:sz w:val="22"/>
                <w:lang w:bidi="ar"/>
              </w:rPr>
              <w:t>：一般水期（</w:t>
            </w:r>
            <w:r>
              <w:rPr>
                <w:rFonts w:ascii="Times New Roman" w:hAnsi="Times New Roman" w:eastAsia="仿宋" w:cs="Times New Roman"/>
                <w:color w:val="auto"/>
                <w:kern w:val="0"/>
                <w:sz w:val="22"/>
                <w:lang w:bidi="ar"/>
              </w:rPr>
              <w:t>10~</w:t>
            </w:r>
            <w:r>
              <w:rPr>
                <w:rFonts w:hint="eastAsia" w:ascii="Times New Roman" w:hAnsi="Times New Roman" w:eastAsia="仿宋" w:cs="仿宋"/>
                <w:color w:val="auto"/>
                <w:kern w:val="0"/>
                <w:sz w:val="22"/>
                <w:lang w:bidi="ar"/>
              </w:rPr>
              <w:t>次年</w:t>
            </w:r>
            <w:r>
              <w:rPr>
                <w:rFonts w:ascii="Times New Roman" w:hAnsi="Times New Roman" w:eastAsia="仿宋" w:cs="Times New Roman"/>
                <w:color w:val="auto"/>
                <w:kern w:val="0"/>
                <w:sz w:val="22"/>
                <w:lang w:bidi="ar"/>
              </w:rPr>
              <w:t>3</w:t>
            </w:r>
            <w:r>
              <w:rPr>
                <w:rFonts w:hint="eastAsia" w:ascii="Times New Roman" w:hAnsi="Times New Roman" w:eastAsia="仿宋" w:cs="仿宋"/>
                <w:color w:val="auto"/>
                <w:kern w:val="0"/>
                <w:sz w:val="22"/>
                <w:lang w:bidi="ar"/>
              </w:rPr>
              <w:t>月）</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2"/>
              </w:rPr>
            </w:pPr>
            <w:r>
              <w:rPr>
                <w:rFonts w:ascii="Times New Roman" w:hAnsi="Times New Roman" w:eastAsia="仿宋" w:cs="Times New Roman"/>
                <w:color w:val="auto"/>
                <w:kern w:val="0"/>
                <w:sz w:val="22"/>
                <w:lang w:bidi="ar"/>
              </w:rPr>
              <w:t>EF2</w:t>
            </w:r>
            <w:r>
              <w:rPr>
                <w:rFonts w:hint="eastAsia" w:ascii="Times New Roman" w:hAnsi="Times New Roman" w:eastAsia="仿宋" w:cs="仿宋"/>
                <w:color w:val="auto"/>
                <w:kern w:val="0"/>
                <w:sz w:val="22"/>
                <w:lang w:bidi="ar"/>
              </w:rPr>
              <w:t>：育幼期（</w:t>
            </w:r>
            <w:r>
              <w:rPr>
                <w:rFonts w:ascii="Times New Roman" w:hAnsi="Times New Roman" w:eastAsia="仿宋" w:cs="Times New Roman"/>
                <w:color w:val="auto"/>
                <w:kern w:val="0"/>
                <w:sz w:val="22"/>
                <w:lang w:bidi="ar"/>
              </w:rPr>
              <w:t>4~9</w:t>
            </w:r>
            <w:r>
              <w:rPr>
                <w:rFonts w:hint="eastAsia" w:ascii="Times New Roman" w:hAnsi="Times New Roman" w:eastAsia="仿宋" w:cs="仿宋"/>
                <w:color w:val="auto"/>
                <w:kern w:val="0"/>
                <w:sz w:val="22"/>
                <w:lang w:bidi="ar"/>
              </w:rPr>
              <w:t>月）</w:t>
            </w:r>
          </w:p>
        </w:tc>
        <w:tc>
          <w:tcPr>
            <w:tcW w:w="14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Times New Roman" w:cs="Times New Roman"/>
                <w:color w:val="auto"/>
                <w:sz w:val="20"/>
                <w:szCs w:val="20"/>
              </w:rPr>
            </w:pPr>
          </w:p>
        </w:tc>
        <w:tc>
          <w:tcPr>
            <w:tcW w:w="12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Times New Roman" w:cs="Times New Roman"/>
                <w:color w:val="auto"/>
                <w:sz w:val="20"/>
                <w:szCs w:val="20"/>
              </w:rPr>
            </w:pPr>
          </w:p>
        </w:tc>
        <w:tc>
          <w:tcPr>
            <w:tcW w:w="12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Times New Roman"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02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lang w:bidi="ar"/>
              </w:rPr>
              <w:t>1</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hint="eastAsia" w:ascii="Times New Roman" w:hAnsi="Times New Roman" w:eastAsia="仿宋" w:cs="Times New Roman"/>
                <w:color w:val="auto"/>
                <w:sz w:val="22"/>
                <w:lang w:eastAsia="zh-CN"/>
              </w:rPr>
            </w:pPr>
            <w:r>
              <w:rPr>
                <w:rFonts w:hint="eastAsia" w:ascii="Times New Roman" w:hAnsi="Times New Roman" w:eastAsia="仿宋" w:cs="仿宋"/>
                <w:color w:val="auto"/>
                <w:sz w:val="22"/>
                <w:lang w:val="en-US" w:eastAsia="zh-CN" w:bidi="ar"/>
              </w:rPr>
              <w:t>资源</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auto"/>
                <w:sz w:val="20"/>
                <w:szCs w:val="20"/>
              </w:rPr>
            </w:pPr>
            <w:r>
              <w:rPr>
                <w:rFonts w:hint="eastAsia" w:ascii="宋体" w:hAnsi="宋体" w:eastAsia="宋体" w:cs="宋体"/>
                <w:color w:val="auto"/>
                <w:kern w:val="0"/>
                <w:sz w:val="20"/>
                <w:szCs w:val="20"/>
                <w:lang w:bidi="ar"/>
              </w:rPr>
              <w:t xml:space="preserve">37.6 </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auto"/>
                <w:kern w:val="0"/>
                <w:sz w:val="20"/>
                <w:szCs w:val="20"/>
              </w:rPr>
            </w:pPr>
            <w:r>
              <w:rPr>
                <w:rFonts w:hint="eastAsia" w:ascii="宋体" w:hAnsi="宋体" w:eastAsia="宋体" w:cs="宋体"/>
                <w:color w:val="auto"/>
                <w:kern w:val="0"/>
                <w:sz w:val="20"/>
                <w:szCs w:val="20"/>
                <w:lang w:bidi="ar"/>
              </w:rPr>
              <w:t xml:space="preserve">7.8 </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auto"/>
                <w:kern w:val="0"/>
                <w:sz w:val="20"/>
                <w:szCs w:val="20"/>
              </w:rPr>
            </w:pPr>
            <w:r>
              <w:rPr>
                <w:rFonts w:hint="eastAsia" w:ascii="宋体" w:hAnsi="宋体" w:eastAsia="宋体" w:cs="宋体"/>
                <w:color w:val="auto"/>
                <w:kern w:val="0"/>
                <w:sz w:val="20"/>
                <w:szCs w:val="20"/>
                <w:lang w:bidi="ar"/>
              </w:rPr>
              <w:t xml:space="preserve">15.5 </w:t>
            </w:r>
          </w:p>
        </w:tc>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auto"/>
                <w:kern w:val="0"/>
                <w:sz w:val="20"/>
                <w:szCs w:val="20"/>
              </w:rPr>
            </w:pPr>
            <w:r>
              <w:rPr>
                <w:rFonts w:hint="eastAsia" w:ascii="宋体" w:hAnsi="宋体" w:eastAsia="宋体" w:cs="宋体"/>
                <w:color w:val="auto"/>
                <w:kern w:val="0"/>
                <w:sz w:val="20"/>
                <w:szCs w:val="20"/>
                <w:lang w:bidi="ar"/>
              </w:rPr>
              <w:t xml:space="preserve">0.21 </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auto"/>
                <w:kern w:val="0"/>
                <w:sz w:val="20"/>
                <w:szCs w:val="20"/>
              </w:rPr>
            </w:pPr>
            <w:r>
              <w:rPr>
                <w:rFonts w:hint="eastAsia" w:ascii="宋体" w:hAnsi="宋体" w:eastAsia="宋体" w:cs="宋体"/>
                <w:color w:val="auto"/>
                <w:kern w:val="0"/>
                <w:sz w:val="20"/>
                <w:szCs w:val="20"/>
                <w:lang w:bidi="ar"/>
              </w:rPr>
              <w:t xml:space="preserve">0.41 </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auto"/>
                <w:kern w:val="0"/>
                <w:sz w:val="20"/>
                <w:szCs w:val="20"/>
              </w:rPr>
            </w:pPr>
            <w:r>
              <w:rPr>
                <w:rFonts w:hint="eastAsia" w:ascii="宋体" w:hAnsi="宋体" w:eastAsia="宋体" w:cs="宋体"/>
                <w:color w:val="auto"/>
                <w:kern w:val="0"/>
                <w:sz w:val="20"/>
                <w:szCs w:val="20"/>
                <w:lang w:bidi="ar"/>
              </w:rPr>
              <w:t xml:space="preserve">81.4 </w:t>
            </w: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auto"/>
                <w:kern w:val="0"/>
                <w:sz w:val="20"/>
                <w:szCs w:val="20"/>
              </w:rPr>
            </w:pPr>
            <w:r>
              <w:rPr>
                <w:rFonts w:hint="eastAsia" w:ascii="宋体" w:hAnsi="宋体" w:eastAsia="宋体" w:cs="宋体"/>
                <w:color w:val="auto"/>
                <w:kern w:val="0"/>
                <w:sz w:val="20"/>
                <w:szCs w:val="20"/>
                <w:lang w:bidi="ar"/>
              </w:rPr>
              <w:t xml:space="preserve">82.4 </w:t>
            </w: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auto"/>
                <w:kern w:val="0"/>
                <w:sz w:val="20"/>
                <w:szCs w:val="20"/>
              </w:rPr>
            </w:pPr>
            <w:r>
              <w:rPr>
                <w:rFonts w:hint="eastAsia" w:ascii="宋体" w:hAnsi="宋体" w:eastAsia="宋体" w:cs="宋体"/>
                <w:color w:val="auto"/>
                <w:kern w:val="0"/>
                <w:sz w:val="20"/>
                <w:szCs w:val="20"/>
                <w:lang w:bidi="ar"/>
              </w:rPr>
              <w:t xml:space="preserve">81.4 </w:t>
            </w:r>
          </w:p>
        </w:tc>
      </w:tr>
    </w:tbl>
    <w:p>
      <w:pPr>
        <w:spacing w:line="560" w:lineRule="exact"/>
        <w:ind w:firstLine="560" w:firstLineChars="200"/>
        <w:rPr>
          <w:rFonts w:ascii="Times New Roman" w:hAnsi="Times New Roman" w:eastAsia="仿宋" w:cs="Times New Roman"/>
          <w:color w:val="auto"/>
          <w:sz w:val="28"/>
          <w:szCs w:val="28"/>
        </w:rPr>
        <w:sectPr>
          <w:headerReference r:id="rId10" w:type="default"/>
          <w:pgSz w:w="16838" w:h="11906" w:orient="landscape"/>
          <w:pgMar w:top="1361" w:right="1361" w:bottom="1474" w:left="1418" w:header="1021" w:footer="964" w:gutter="0"/>
          <w:cols w:space="425" w:num="1"/>
          <w:docGrid w:linePitch="312" w:charSpace="0"/>
        </w:sectPr>
      </w:pPr>
    </w:p>
    <w:p>
      <w:pPr>
        <w:spacing w:line="360" w:lineRule="auto"/>
        <w:ind w:firstLine="560" w:firstLineChars="200"/>
        <w:rPr>
          <w:rFonts w:ascii="Times New Roman" w:hAnsi="Times New Roman" w:eastAsia="宋体" w:cs="Times New Roman"/>
          <w:color w:val="auto"/>
          <w:kern w:val="0"/>
          <w:sz w:val="28"/>
          <w:szCs w:val="28"/>
        </w:rPr>
      </w:pPr>
      <w:r>
        <w:rPr>
          <w:rFonts w:ascii="Times New Roman" w:hAnsi="Times New Roman" w:eastAsia="仿宋" w:cs="Times New Roman"/>
          <w:color w:val="auto"/>
          <w:sz w:val="28"/>
          <w:szCs w:val="28"/>
        </w:rPr>
        <w:t>由于</w:t>
      </w:r>
      <w:r>
        <w:rPr>
          <w:rFonts w:hint="eastAsia" w:ascii="Times New Roman" w:hAnsi="Times New Roman" w:eastAsia="仿宋" w:cs="Times New Roman"/>
          <w:color w:val="auto"/>
          <w:sz w:val="28"/>
          <w:szCs w:val="28"/>
          <w:lang w:eastAsia="zh-CN"/>
        </w:rPr>
        <w:t>资江流域</w:t>
      </w:r>
      <w:r>
        <w:rPr>
          <w:rFonts w:ascii="Times New Roman" w:hAnsi="Times New Roman" w:eastAsia="仿宋" w:cs="Times New Roman"/>
          <w:color w:val="auto"/>
          <w:sz w:val="28"/>
          <w:szCs w:val="28"/>
        </w:rPr>
        <w:t>各支流的日流量丰枯变化相对较大，因此最小日均流量占</w:t>
      </w:r>
      <w:r>
        <w:rPr>
          <w:rFonts w:ascii="Times New Roman" w:hAnsi="Times New Roman" w:eastAsia="仿宋" w:cs="Times New Roman"/>
          <w:color w:val="auto"/>
          <w:spacing w:val="-6"/>
          <w:sz w:val="28"/>
          <w:szCs w:val="28"/>
        </w:rPr>
        <w:t>多年平均流量的百分比相对较小，导致生态流量保障程度指标分值相对偏小。</w:t>
      </w:r>
    </w:p>
    <w:p>
      <w:pPr>
        <w:autoSpaceDE w:val="0"/>
        <w:autoSpaceDN w:val="0"/>
        <w:adjustRightInd w:val="0"/>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由上表</w:t>
      </w:r>
      <w:r>
        <w:rPr>
          <w:rFonts w:hint="eastAsia" w:ascii="Times New Roman" w:hAnsi="Times New Roman" w:eastAsia="仿宋" w:cs="Times New Roman"/>
          <w:color w:val="auto"/>
          <w:sz w:val="28"/>
          <w:szCs w:val="28"/>
          <w:lang w:eastAsia="zh-CN"/>
        </w:rPr>
        <w:t>资江流域</w:t>
      </w:r>
      <w:r>
        <w:rPr>
          <w:rFonts w:ascii="Times New Roman" w:hAnsi="Times New Roman" w:eastAsia="仿宋" w:cs="Times New Roman"/>
          <w:color w:val="auto"/>
          <w:sz w:val="28"/>
          <w:szCs w:val="28"/>
        </w:rPr>
        <w:t>各评估河段的生态流量保障程度评估结果可知，</w:t>
      </w:r>
      <w:r>
        <w:rPr>
          <w:rFonts w:hint="eastAsia" w:ascii="Times New Roman" w:hAnsi="Times New Roman" w:eastAsia="仿宋" w:cs="Times New Roman"/>
          <w:color w:val="auto"/>
          <w:sz w:val="28"/>
          <w:szCs w:val="28"/>
          <w:lang w:eastAsia="zh-CN"/>
        </w:rPr>
        <w:t>资江</w:t>
      </w:r>
      <w:r>
        <w:rPr>
          <w:rFonts w:ascii="Times New Roman" w:hAnsi="Times New Roman" w:eastAsia="仿宋" w:cs="Times New Roman"/>
          <w:color w:val="auto"/>
          <w:sz w:val="28"/>
          <w:szCs w:val="28"/>
        </w:rPr>
        <w:t>干流上下游段的生态流量保障程度赋分值处于81.4和2</w:t>
      </w:r>
      <w:r>
        <w:rPr>
          <w:rFonts w:hint="eastAsia" w:ascii="Times New Roman" w:hAnsi="Times New Roman" w:eastAsia="仿宋" w:cs="Times New Roman"/>
          <w:color w:val="auto"/>
          <w:sz w:val="28"/>
          <w:szCs w:val="28"/>
        </w:rPr>
        <w:t>9.9</w:t>
      </w:r>
      <w:r>
        <w:rPr>
          <w:rFonts w:ascii="Times New Roman" w:hAnsi="Times New Roman" w:eastAsia="仿宋" w:cs="Times New Roman"/>
          <w:color w:val="auto"/>
          <w:sz w:val="28"/>
          <w:szCs w:val="28"/>
        </w:rPr>
        <w:t>之间，分布也是上游大于</w:t>
      </w:r>
      <w:r>
        <w:rPr>
          <w:rFonts w:hint="eastAsia" w:ascii="Times New Roman" w:hAnsi="Times New Roman" w:eastAsia="仿宋" w:cs="Times New Roman"/>
          <w:color w:val="auto"/>
          <w:sz w:val="28"/>
          <w:szCs w:val="28"/>
        </w:rPr>
        <w:t>下游，干流大于</w:t>
      </w:r>
      <w:r>
        <w:rPr>
          <w:rFonts w:ascii="Times New Roman" w:hAnsi="Times New Roman" w:eastAsia="仿宋" w:cs="Times New Roman"/>
          <w:color w:val="auto"/>
          <w:sz w:val="28"/>
          <w:szCs w:val="28"/>
        </w:rPr>
        <w:t xml:space="preserve">支流，表现了上游来水量丰富，生态流量保证率高，下游由于用水增加，水资源衰减以致生态流量偏低，是符合河段水资源分布特点的。 </w:t>
      </w:r>
    </w:p>
    <w:p>
      <w:pPr>
        <w:spacing w:line="360" w:lineRule="auto"/>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lang w:eastAsia="zh-CN"/>
        </w:rPr>
        <w:t>资江流域</w:t>
      </w:r>
      <w:r>
        <w:rPr>
          <w:rFonts w:ascii="Times New Roman" w:hAnsi="Times New Roman" w:eastAsia="仿宋" w:cs="Times New Roman"/>
          <w:color w:val="auto"/>
          <w:sz w:val="28"/>
          <w:szCs w:val="28"/>
        </w:rPr>
        <w:t>各评估河段的生态流量保障程度评估结果见表5.1.1-5。</w:t>
      </w:r>
    </w:p>
    <w:p>
      <w:pPr>
        <w:spacing w:line="360" w:lineRule="auto"/>
        <w:ind w:firstLine="560" w:firstLineChars="200"/>
        <w:rPr>
          <w:rFonts w:ascii="Times New Roman" w:hAnsi="Times New Roman" w:eastAsia="仿宋" w:cs="Times New Roman"/>
          <w:color w:val="auto"/>
          <w:sz w:val="28"/>
          <w:szCs w:val="28"/>
        </w:rPr>
      </w:pPr>
    </w:p>
    <w:p>
      <w:pPr>
        <w:spacing w:line="360" w:lineRule="auto"/>
        <w:ind w:firstLine="562" w:firstLineChars="200"/>
        <w:rPr>
          <w:rFonts w:ascii="Times New Roman" w:hAnsi="Times New Roman" w:eastAsia="仿宋" w:cs="Times New Roman"/>
          <w:b/>
          <w:color w:val="auto"/>
          <w:sz w:val="28"/>
          <w:szCs w:val="28"/>
        </w:rPr>
      </w:pPr>
      <w:r>
        <w:rPr>
          <w:rFonts w:ascii="Times New Roman" w:hAnsi="Times New Roman" w:eastAsia="仿宋" w:cs="Times New Roman"/>
          <w:b/>
          <w:color w:val="auto"/>
          <w:sz w:val="28"/>
          <w:szCs w:val="28"/>
        </w:rPr>
        <w:t xml:space="preserve">表5.1.1-5 </w:t>
      </w:r>
      <w:r>
        <w:rPr>
          <w:rFonts w:hint="eastAsia" w:ascii="Times New Roman" w:hAnsi="Times New Roman" w:eastAsia="仿宋" w:cs="Times New Roman"/>
          <w:b/>
          <w:color w:val="auto"/>
          <w:sz w:val="28"/>
          <w:szCs w:val="28"/>
        </w:rPr>
        <w:t xml:space="preserve">   </w:t>
      </w:r>
      <w:r>
        <w:rPr>
          <w:rFonts w:ascii="Times New Roman" w:hAnsi="Times New Roman" w:eastAsia="仿宋" w:cs="Times New Roman"/>
          <w:b/>
          <w:color w:val="auto"/>
          <w:sz w:val="28"/>
          <w:szCs w:val="28"/>
        </w:rPr>
        <w:t xml:space="preserve"> </w:t>
      </w:r>
      <w:r>
        <w:rPr>
          <w:rFonts w:hint="eastAsia" w:ascii="Times New Roman" w:hAnsi="Times New Roman" w:eastAsia="仿宋" w:cs="Times New Roman"/>
          <w:b/>
          <w:color w:val="auto"/>
          <w:sz w:val="28"/>
          <w:szCs w:val="28"/>
          <w:lang w:eastAsia="zh-CN"/>
        </w:rPr>
        <w:t>资江流域</w:t>
      </w:r>
      <w:r>
        <w:rPr>
          <w:rFonts w:ascii="Times New Roman" w:hAnsi="Times New Roman" w:eastAsia="仿宋" w:cs="Times New Roman"/>
          <w:b/>
          <w:color w:val="auto"/>
          <w:sz w:val="28"/>
          <w:szCs w:val="28"/>
        </w:rPr>
        <w:t>各评估河段生态流量保障程度评估结果表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6"/>
        <w:gridCol w:w="1854"/>
        <w:gridCol w:w="4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Cs w:val="21"/>
              </w:rPr>
            </w:pPr>
            <w:r>
              <w:rPr>
                <w:rFonts w:hint="eastAsia" w:ascii="Times New Roman" w:hAnsi="Times New Roman" w:eastAsia="仿宋" w:cs="仿宋"/>
                <w:color w:val="auto"/>
                <w:kern w:val="0"/>
                <w:szCs w:val="21"/>
                <w:lang w:bidi="ar"/>
              </w:rPr>
              <w:t>评估河段</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Cs w:val="21"/>
              </w:rPr>
            </w:pPr>
            <w:r>
              <w:rPr>
                <w:rFonts w:hint="eastAsia" w:ascii="Times New Roman" w:hAnsi="Times New Roman" w:eastAsia="仿宋" w:cs="仿宋"/>
                <w:color w:val="auto"/>
                <w:kern w:val="0"/>
                <w:szCs w:val="21"/>
                <w:lang w:bidi="ar"/>
              </w:rPr>
              <w:t>代表站点</w:t>
            </w:r>
          </w:p>
        </w:tc>
        <w:tc>
          <w:tcPr>
            <w:tcW w:w="231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Cs w:val="21"/>
              </w:rPr>
            </w:pPr>
            <w:r>
              <w:rPr>
                <w:rFonts w:hint="eastAsia" w:ascii="Times New Roman" w:hAnsi="Times New Roman" w:eastAsia="仿宋" w:cs="仿宋"/>
                <w:color w:val="auto"/>
                <w:kern w:val="0"/>
                <w:szCs w:val="21"/>
                <w:lang w:bidi="ar"/>
              </w:rPr>
              <w:t>河段生态流量保障程度赋分（</w:t>
            </w:r>
            <w:r>
              <w:rPr>
                <w:rFonts w:ascii="Times New Roman" w:hAnsi="Times New Roman" w:eastAsia="仿宋" w:cs="Times New Roman"/>
                <w:color w:val="auto"/>
                <w:kern w:val="0"/>
                <w:szCs w:val="21"/>
                <w:lang w:bidi="ar"/>
              </w:rPr>
              <w:t>Efr</w:t>
            </w:r>
            <w:r>
              <w:rPr>
                <w:rFonts w:hint="eastAsia" w:ascii="Times New Roman" w:hAnsi="Times New Roman" w:eastAsia="仿宋" w:cs="仿宋"/>
                <w:color w:val="auto"/>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68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r>
              <w:rPr>
                <w:rFonts w:hint="eastAsia" w:ascii="Times New Roman" w:hAnsi="Times New Roman" w:eastAsia="仿宋" w:cs="仿宋"/>
                <w:color w:val="auto"/>
                <w:sz w:val="22"/>
                <w:lang w:eastAsia="zh-CN" w:bidi="ar"/>
              </w:rPr>
              <w:t>资江</w:t>
            </w:r>
            <w:r>
              <w:rPr>
                <w:rFonts w:hint="eastAsia" w:ascii="Times New Roman" w:hAnsi="Times New Roman" w:eastAsia="仿宋" w:cs="仿宋"/>
                <w:color w:val="auto"/>
                <w:sz w:val="22"/>
                <w:lang w:bidi="ar"/>
              </w:rPr>
              <w:t>保护段</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hint="eastAsia" w:ascii="Times New Roman" w:hAnsi="Times New Roman" w:eastAsia="仿宋" w:cs="Times New Roman"/>
                <w:color w:val="auto"/>
                <w:sz w:val="22"/>
                <w:lang w:val="en-US" w:eastAsia="zh-CN"/>
              </w:rPr>
            </w:pPr>
            <w:r>
              <w:rPr>
                <w:rFonts w:hint="eastAsia" w:ascii="Times New Roman" w:hAnsi="Times New Roman" w:eastAsia="仿宋" w:cs="Times New Roman"/>
                <w:color w:val="auto"/>
                <w:sz w:val="22"/>
                <w:lang w:val="en-US" w:eastAsia="zh-CN"/>
              </w:rPr>
              <w:t>资源</w:t>
            </w:r>
          </w:p>
        </w:tc>
        <w:tc>
          <w:tcPr>
            <w:tcW w:w="23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 xml:space="preserve">81.4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68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r>
              <w:rPr>
                <w:rFonts w:hint="eastAsia" w:ascii="Times New Roman" w:hAnsi="Times New Roman" w:eastAsia="仿宋" w:cs="仿宋"/>
                <w:color w:val="auto"/>
                <w:sz w:val="22"/>
                <w:lang w:eastAsia="zh-CN" w:bidi="ar"/>
              </w:rPr>
              <w:t>资江</w:t>
            </w:r>
            <w:r>
              <w:rPr>
                <w:rFonts w:hint="eastAsia" w:ascii="Times New Roman" w:hAnsi="Times New Roman" w:eastAsia="仿宋" w:cs="仿宋"/>
                <w:color w:val="auto"/>
                <w:sz w:val="22"/>
                <w:lang w:val="en-US" w:eastAsia="zh-CN" w:bidi="ar"/>
              </w:rPr>
              <w:t>保留</w:t>
            </w:r>
            <w:r>
              <w:rPr>
                <w:rFonts w:hint="eastAsia" w:ascii="Times New Roman" w:hAnsi="Times New Roman" w:eastAsia="仿宋" w:cs="仿宋"/>
                <w:color w:val="auto"/>
                <w:sz w:val="22"/>
                <w:lang w:bidi="ar"/>
              </w:rPr>
              <w:t>段</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p>
        </w:tc>
        <w:tc>
          <w:tcPr>
            <w:tcW w:w="23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 xml:space="preserve">81.4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68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r>
              <w:rPr>
                <w:rFonts w:hint="eastAsia" w:ascii="Times New Roman" w:hAnsi="Times New Roman" w:eastAsia="仿宋" w:cs="仿宋"/>
                <w:color w:val="auto"/>
                <w:sz w:val="22"/>
                <w:lang w:eastAsia="zh-CN" w:bidi="ar"/>
              </w:rPr>
              <w:t>资江</w:t>
            </w:r>
            <w:r>
              <w:rPr>
                <w:rFonts w:hint="eastAsia" w:ascii="Times New Roman" w:hAnsi="Times New Roman" w:eastAsia="仿宋" w:cs="仿宋"/>
                <w:color w:val="auto"/>
                <w:sz w:val="22"/>
                <w:lang w:val="en-US" w:eastAsia="zh-CN" w:bidi="ar"/>
              </w:rPr>
              <w:t>县城</w:t>
            </w:r>
            <w:r>
              <w:rPr>
                <w:rFonts w:hint="eastAsia" w:ascii="Times New Roman" w:hAnsi="Times New Roman" w:eastAsia="仿宋" w:cs="仿宋"/>
                <w:color w:val="auto"/>
                <w:sz w:val="22"/>
                <w:lang w:bidi="ar"/>
              </w:rPr>
              <w:t>段</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p>
        </w:tc>
        <w:tc>
          <w:tcPr>
            <w:tcW w:w="23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 xml:space="preserve">53.9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68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r>
              <w:rPr>
                <w:rFonts w:hint="eastAsia" w:ascii="Times New Roman" w:hAnsi="Times New Roman" w:eastAsia="仿宋" w:cs="仿宋"/>
                <w:color w:val="auto"/>
                <w:sz w:val="22"/>
                <w:lang w:eastAsia="zh-CN" w:bidi="ar"/>
              </w:rPr>
              <w:t>资江</w:t>
            </w:r>
            <w:r>
              <w:rPr>
                <w:rFonts w:hint="eastAsia" w:ascii="Times New Roman" w:hAnsi="Times New Roman" w:eastAsia="仿宋" w:cs="仿宋"/>
                <w:color w:val="auto"/>
                <w:sz w:val="22"/>
                <w:lang w:val="en-US" w:eastAsia="zh-CN" w:bidi="ar"/>
              </w:rPr>
              <w:t>梅溪</w:t>
            </w:r>
            <w:r>
              <w:rPr>
                <w:rFonts w:hint="eastAsia" w:ascii="Times New Roman" w:hAnsi="Times New Roman" w:eastAsia="仿宋" w:cs="仿宋"/>
                <w:color w:val="auto"/>
                <w:sz w:val="22"/>
                <w:lang w:bidi="ar"/>
              </w:rPr>
              <w:t>段</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p>
        </w:tc>
        <w:tc>
          <w:tcPr>
            <w:tcW w:w="23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 xml:space="preserve">53.9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68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r>
              <w:rPr>
                <w:rFonts w:hint="eastAsia" w:ascii="Times New Roman" w:hAnsi="Times New Roman" w:eastAsia="仿宋" w:cs="仿宋"/>
                <w:color w:val="auto"/>
                <w:sz w:val="22"/>
                <w:lang w:eastAsia="zh-CN" w:bidi="ar"/>
              </w:rPr>
              <w:t>白竹洞河</w:t>
            </w:r>
            <w:r>
              <w:rPr>
                <w:rFonts w:hint="eastAsia" w:ascii="Times New Roman" w:hAnsi="Times New Roman" w:eastAsia="仿宋" w:cs="仿宋"/>
                <w:color w:val="auto"/>
                <w:sz w:val="22"/>
                <w:lang w:bidi="ar"/>
              </w:rPr>
              <w:t>保护段</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p>
        </w:tc>
        <w:tc>
          <w:tcPr>
            <w:tcW w:w="23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 xml:space="preserve">52.0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68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r>
              <w:rPr>
                <w:rFonts w:hint="eastAsia" w:ascii="Times New Roman" w:hAnsi="Times New Roman" w:eastAsia="仿宋" w:cs="仿宋"/>
                <w:color w:val="auto"/>
                <w:sz w:val="22"/>
                <w:lang w:eastAsia="zh-CN" w:bidi="ar"/>
              </w:rPr>
              <w:t>白竹洞河</w:t>
            </w:r>
            <w:r>
              <w:rPr>
                <w:rFonts w:hint="eastAsia" w:ascii="Times New Roman" w:hAnsi="Times New Roman" w:eastAsia="仿宋" w:cs="仿宋"/>
                <w:color w:val="auto"/>
                <w:sz w:val="22"/>
                <w:lang w:bidi="ar"/>
              </w:rPr>
              <w:t>保留段</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p>
        </w:tc>
        <w:tc>
          <w:tcPr>
            <w:tcW w:w="23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 xml:space="preserve">52.0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68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r>
              <w:rPr>
                <w:rFonts w:hint="eastAsia" w:ascii="Times New Roman" w:hAnsi="Times New Roman" w:eastAsia="仿宋" w:cs="仿宋"/>
                <w:color w:val="auto"/>
                <w:sz w:val="22"/>
                <w:lang w:eastAsia="zh-CN" w:bidi="ar"/>
              </w:rPr>
              <w:t>大湾河</w:t>
            </w:r>
            <w:r>
              <w:rPr>
                <w:rFonts w:hint="eastAsia" w:ascii="Times New Roman" w:hAnsi="Times New Roman" w:eastAsia="仿宋" w:cs="仿宋"/>
                <w:color w:val="auto"/>
                <w:sz w:val="22"/>
                <w:lang w:bidi="ar"/>
              </w:rPr>
              <w:t>保护段</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p>
        </w:tc>
        <w:tc>
          <w:tcPr>
            <w:tcW w:w="23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 xml:space="preserve">47.7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68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r>
              <w:rPr>
                <w:rFonts w:hint="eastAsia" w:ascii="Times New Roman" w:hAnsi="Times New Roman" w:eastAsia="仿宋" w:cs="仿宋"/>
                <w:color w:val="auto"/>
                <w:sz w:val="22"/>
                <w:lang w:eastAsia="zh-CN" w:bidi="ar"/>
              </w:rPr>
              <w:t>大湾河梅溪</w:t>
            </w:r>
            <w:r>
              <w:rPr>
                <w:rFonts w:hint="eastAsia" w:ascii="Times New Roman" w:hAnsi="Times New Roman" w:eastAsia="仿宋" w:cs="仿宋"/>
                <w:color w:val="auto"/>
                <w:sz w:val="22"/>
                <w:lang w:bidi="ar"/>
              </w:rPr>
              <w:t>段</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p>
        </w:tc>
        <w:tc>
          <w:tcPr>
            <w:tcW w:w="23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 xml:space="preserve">47.7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68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r>
              <w:rPr>
                <w:rFonts w:hint="eastAsia" w:ascii="Times New Roman" w:hAnsi="Times New Roman" w:eastAsia="仿宋" w:cs="仿宋"/>
                <w:color w:val="auto"/>
                <w:sz w:val="22"/>
                <w:lang w:eastAsia="zh-CN" w:bidi="ar"/>
              </w:rPr>
              <w:t>瓜里河</w:t>
            </w:r>
            <w:r>
              <w:rPr>
                <w:rFonts w:hint="eastAsia" w:ascii="Times New Roman" w:hAnsi="Times New Roman" w:eastAsia="仿宋" w:cs="仿宋"/>
                <w:color w:val="auto"/>
                <w:sz w:val="22"/>
                <w:lang w:bidi="ar"/>
              </w:rPr>
              <w:t>保护段</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p>
        </w:tc>
        <w:tc>
          <w:tcPr>
            <w:tcW w:w="23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 xml:space="preserve">33.0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68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r>
              <w:rPr>
                <w:rFonts w:hint="eastAsia" w:ascii="Times New Roman" w:hAnsi="Times New Roman" w:eastAsia="仿宋" w:cs="仿宋"/>
                <w:color w:val="auto"/>
                <w:sz w:val="22"/>
                <w:lang w:eastAsia="zh-CN" w:bidi="ar"/>
              </w:rPr>
              <w:t>瓜里河</w:t>
            </w:r>
            <w:r>
              <w:rPr>
                <w:rFonts w:hint="eastAsia" w:ascii="Times New Roman" w:hAnsi="Times New Roman" w:eastAsia="仿宋" w:cs="仿宋"/>
                <w:color w:val="auto"/>
                <w:sz w:val="22"/>
                <w:lang w:bidi="ar"/>
              </w:rPr>
              <w:t>保留段</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p>
        </w:tc>
        <w:tc>
          <w:tcPr>
            <w:tcW w:w="23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 xml:space="preserve">33.0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68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r>
              <w:rPr>
                <w:rFonts w:hint="eastAsia" w:ascii="Times New Roman" w:hAnsi="Times New Roman" w:eastAsia="仿宋" w:cs="仿宋"/>
                <w:color w:val="auto"/>
                <w:sz w:val="22"/>
                <w:lang w:eastAsia="zh-CN" w:bidi="ar"/>
              </w:rPr>
              <w:t>瓜里河</w:t>
            </w:r>
            <w:r>
              <w:rPr>
                <w:rFonts w:hint="eastAsia" w:ascii="Times New Roman" w:hAnsi="Times New Roman" w:eastAsia="仿宋" w:cs="仿宋"/>
                <w:color w:val="auto"/>
                <w:sz w:val="22"/>
                <w:lang w:val="en-US" w:eastAsia="zh-CN" w:bidi="ar"/>
              </w:rPr>
              <w:t>开发</w:t>
            </w:r>
            <w:r>
              <w:rPr>
                <w:rFonts w:hint="eastAsia" w:ascii="Times New Roman" w:hAnsi="Times New Roman" w:eastAsia="仿宋" w:cs="仿宋"/>
                <w:color w:val="auto"/>
                <w:sz w:val="22"/>
                <w:lang w:bidi="ar"/>
              </w:rPr>
              <w:t>段</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p>
        </w:tc>
        <w:tc>
          <w:tcPr>
            <w:tcW w:w="23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 xml:space="preserve">33.0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68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r>
              <w:rPr>
                <w:rFonts w:hint="eastAsia" w:ascii="Times New Roman" w:hAnsi="Times New Roman" w:eastAsia="仿宋" w:cs="仿宋"/>
                <w:color w:val="auto"/>
                <w:sz w:val="22"/>
                <w:lang w:eastAsia="zh-CN" w:bidi="ar"/>
              </w:rPr>
              <w:t>木厂水</w:t>
            </w:r>
            <w:r>
              <w:rPr>
                <w:rFonts w:hint="eastAsia" w:ascii="Times New Roman" w:hAnsi="Times New Roman" w:eastAsia="仿宋" w:cs="仿宋"/>
                <w:color w:val="auto"/>
                <w:sz w:val="22"/>
                <w:lang w:val="en-US" w:eastAsia="zh-CN" w:bidi="ar"/>
              </w:rPr>
              <w:t>保留</w:t>
            </w:r>
            <w:r>
              <w:rPr>
                <w:rFonts w:hint="eastAsia" w:ascii="Times New Roman" w:hAnsi="Times New Roman" w:eastAsia="仿宋" w:cs="仿宋"/>
                <w:color w:val="auto"/>
                <w:sz w:val="22"/>
                <w:lang w:bidi="ar"/>
              </w:rPr>
              <w:t>段</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p>
        </w:tc>
        <w:tc>
          <w:tcPr>
            <w:tcW w:w="23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 xml:space="preserve">29.9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68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r>
              <w:rPr>
                <w:rFonts w:hint="eastAsia" w:ascii="Times New Roman" w:hAnsi="Times New Roman" w:eastAsia="仿宋" w:cs="仿宋"/>
                <w:color w:val="auto"/>
                <w:sz w:val="22"/>
                <w:lang w:eastAsia="zh-CN" w:bidi="ar"/>
              </w:rPr>
              <w:t>木厂水</w:t>
            </w:r>
            <w:r>
              <w:rPr>
                <w:rFonts w:hint="eastAsia" w:ascii="Times New Roman" w:hAnsi="Times New Roman" w:eastAsia="仿宋" w:cs="仿宋"/>
                <w:color w:val="auto"/>
                <w:sz w:val="22"/>
                <w:lang w:val="en-US" w:eastAsia="zh-CN" w:bidi="ar"/>
              </w:rPr>
              <w:t>开发</w:t>
            </w:r>
            <w:r>
              <w:rPr>
                <w:rFonts w:hint="eastAsia" w:ascii="Times New Roman" w:hAnsi="Times New Roman" w:eastAsia="仿宋" w:cs="仿宋"/>
                <w:color w:val="auto"/>
                <w:sz w:val="22"/>
                <w:lang w:bidi="ar"/>
              </w:rPr>
              <w:t>段</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2"/>
              </w:rPr>
            </w:pPr>
          </w:p>
        </w:tc>
        <w:tc>
          <w:tcPr>
            <w:tcW w:w="23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 xml:space="preserve">29.9 </w:t>
            </w:r>
          </w:p>
        </w:tc>
      </w:tr>
    </w:tbl>
    <w:p>
      <w:pPr>
        <w:autoSpaceDE w:val="0"/>
        <w:autoSpaceDN w:val="0"/>
        <w:adjustRightInd w:val="0"/>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（3） 水文水资源评估结果 </w:t>
      </w:r>
    </w:p>
    <w:p>
      <w:pPr>
        <w:autoSpaceDE w:val="0"/>
        <w:autoSpaceDN w:val="0"/>
        <w:adjustRightInd w:val="0"/>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按照3.6.2节，水文水资源准则层赋分计算公式如下： </w:t>
      </w:r>
    </w:p>
    <w:p>
      <w:pPr>
        <w:autoSpaceDE w:val="0"/>
        <w:autoSpaceDN w:val="0"/>
        <w:adjustRightInd w:val="0"/>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HDr= FDr× FDw+ Efr× EFw </w:t>
      </w:r>
    </w:p>
    <w:p>
      <w:pPr>
        <w:spacing w:line="360" w:lineRule="auto"/>
        <w:ind w:firstLine="560" w:firstLineChars="200"/>
        <w:rPr>
          <w:rFonts w:ascii="Times New Roman" w:hAnsi="Times New Roman" w:eastAsia="宋体" w:cs="Times New Roman"/>
          <w:color w:val="auto"/>
          <w:kern w:val="0"/>
          <w:sz w:val="28"/>
          <w:szCs w:val="28"/>
        </w:rPr>
      </w:pPr>
      <w:r>
        <w:rPr>
          <w:rFonts w:ascii="Times New Roman" w:hAnsi="Times New Roman" w:eastAsia="仿宋" w:cs="Times New Roman"/>
          <w:color w:val="auto"/>
          <w:sz w:val="28"/>
          <w:szCs w:val="28"/>
        </w:rPr>
        <w:t>根据流量过程变异程度、生态流量保障程度的评估结果，按照上式计算河段水文水资源准则层得分，然后根据河流长度权重法得到河流水文水资源准则层得分</w:t>
      </w:r>
      <w:r>
        <w:rPr>
          <w:rFonts w:ascii="Times New Roman" w:hAnsi="Times New Roman" w:eastAsia="宋体" w:cs="Times New Roman"/>
          <w:color w:val="auto"/>
          <w:kern w:val="0"/>
          <w:sz w:val="28"/>
          <w:szCs w:val="28"/>
        </w:rPr>
        <w:t>，评估结果见表5.1.1-6所示。</w:t>
      </w:r>
    </w:p>
    <w:p>
      <w:pPr>
        <w:spacing w:line="560" w:lineRule="exact"/>
        <w:ind w:firstLine="562" w:firstLineChars="200"/>
        <w:rPr>
          <w:rFonts w:ascii="Times New Roman" w:hAnsi="Times New Roman" w:eastAsia="仿宋" w:cs="Times New Roman"/>
          <w:b/>
          <w:color w:val="auto"/>
          <w:sz w:val="28"/>
          <w:szCs w:val="28"/>
        </w:rPr>
      </w:pPr>
      <w:r>
        <w:rPr>
          <w:rFonts w:ascii="Times New Roman" w:hAnsi="Times New Roman" w:eastAsia="仿宋" w:cs="Times New Roman"/>
          <w:b/>
          <w:color w:val="auto"/>
          <w:sz w:val="28"/>
          <w:szCs w:val="28"/>
        </w:rPr>
        <w:t xml:space="preserve">表5.1.1-6   </w:t>
      </w:r>
      <w:r>
        <w:rPr>
          <w:rFonts w:hint="eastAsia" w:ascii="Times New Roman" w:hAnsi="Times New Roman" w:eastAsia="仿宋" w:cs="Times New Roman"/>
          <w:b/>
          <w:color w:val="auto"/>
          <w:sz w:val="28"/>
          <w:szCs w:val="28"/>
        </w:rPr>
        <w:t xml:space="preserve">            </w:t>
      </w:r>
      <w:r>
        <w:rPr>
          <w:rFonts w:ascii="Times New Roman" w:hAnsi="Times New Roman" w:eastAsia="仿宋" w:cs="Times New Roman"/>
          <w:b/>
          <w:color w:val="auto"/>
          <w:sz w:val="28"/>
          <w:szCs w:val="28"/>
        </w:rPr>
        <w:t xml:space="preserve"> 水文水资源准则层评估结果表</w:t>
      </w:r>
    </w:p>
    <w:tbl>
      <w:tblPr>
        <w:tblStyle w:val="15"/>
        <w:tblW w:w="9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594"/>
        <w:gridCol w:w="2020"/>
        <w:gridCol w:w="921"/>
        <w:gridCol w:w="998"/>
        <w:gridCol w:w="990"/>
        <w:gridCol w:w="972"/>
        <w:gridCol w:w="1209"/>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restart"/>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序号</w:t>
            </w:r>
          </w:p>
        </w:tc>
        <w:tc>
          <w:tcPr>
            <w:tcW w:w="594" w:type="dxa"/>
            <w:vMerge w:val="restart"/>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河流名称</w:t>
            </w:r>
          </w:p>
        </w:tc>
        <w:tc>
          <w:tcPr>
            <w:tcW w:w="2020" w:type="dxa"/>
            <w:vMerge w:val="restart"/>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评估河段</w:t>
            </w:r>
          </w:p>
        </w:tc>
        <w:tc>
          <w:tcPr>
            <w:tcW w:w="1919" w:type="dxa"/>
            <w:gridSpan w:val="2"/>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spacing w:val="-6"/>
                <w:kern w:val="0"/>
                <w:sz w:val="18"/>
                <w:szCs w:val="18"/>
              </w:rPr>
            </w:pPr>
            <w:r>
              <w:rPr>
                <w:rFonts w:ascii="Times New Roman" w:hAnsi="Times New Roman" w:eastAsia="仿宋" w:cs="Times New Roman"/>
                <w:color w:val="auto"/>
                <w:spacing w:val="-6"/>
                <w:kern w:val="0"/>
                <w:sz w:val="18"/>
                <w:szCs w:val="18"/>
              </w:rPr>
              <w:t>流量过程变异程度指标</w:t>
            </w:r>
          </w:p>
        </w:tc>
        <w:tc>
          <w:tcPr>
            <w:tcW w:w="1962" w:type="dxa"/>
            <w:gridSpan w:val="2"/>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spacing w:val="-6"/>
                <w:kern w:val="0"/>
                <w:sz w:val="18"/>
                <w:szCs w:val="18"/>
              </w:rPr>
            </w:pPr>
            <w:r>
              <w:rPr>
                <w:rFonts w:ascii="Times New Roman" w:hAnsi="Times New Roman" w:eastAsia="仿宋" w:cs="Times New Roman"/>
                <w:color w:val="auto"/>
                <w:spacing w:val="-6"/>
                <w:kern w:val="0"/>
                <w:sz w:val="18"/>
                <w:szCs w:val="18"/>
              </w:rPr>
              <w:t>生态流量保障程度指标</w:t>
            </w:r>
          </w:p>
        </w:tc>
        <w:tc>
          <w:tcPr>
            <w:tcW w:w="1209" w:type="dxa"/>
            <w:vMerge w:val="restart"/>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水文水资源准则层赋分（HDr）</w:t>
            </w:r>
          </w:p>
        </w:tc>
        <w:tc>
          <w:tcPr>
            <w:tcW w:w="1112" w:type="dxa"/>
            <w:vMerge w:val="restart"/>
            <w:shd w:val="clear" w:color="auto" w:fill="auto"/>
            <w:vAlign w:val="center"/>
          </w:tcPr>
          <w:p>
            <w:pPr>
              <w:autoSpaceDE w:val="0"/>
              <w:autoSpaceDN w:val="0"/>
              <w:adjustRightIn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河流水文水资源准则层赋分（HDr）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18"/>
                <w:szCs w:val="18"/>
              </w:rPr>
            </w:pPr>
          </w:p>
        </w:tc>
        <w:tc>
          <w:tcPr>
            <w:tcW w:w="594" w:type="dxa"/>
            <w:vMerge w:val="continue"/>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18"/>
                <w:szCs w:val="18"/>
              </w:rPr>
            </w:pPr>
          </w:p>
        </w:tc>
        <w:tc>
          <w:tcPr>
            <w:tcW w:w="2020" w:type="dxa"/>
            <w:vMerge w:val="continue"/>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18"/>
                <w:szCs w:val="18"/>
              </w:rPr>
            </w:pPr>
          </w:p>
        </w:tc>
        <w:tc>
          <w:tcPr>
            <w:tcW w:w="921"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分值（FDr）</w:t>
            </w:r>
          </w:p>
        </w:tc>
        <w:tc>
          <w:tcPr>
            <w:tcW w:w="998"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权重（FDw）</w:t>
            </w:r>
          </w:p>
        </w:tc>
        <w:tc>
          <w:tcPr>
            <w:tcW w:w="990"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分值（EFr）</w:t>
            </w:r>
          </w:p>
        </w:tc>
        <w:tc>
          <w:tcPr>
            <w:tcW w:w="972"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权重（EFw）</w:t>
            </w:r>
          </w:p>
        </w:tc>
        <w:tc>
          <w:tcPr>
            <w:tcW w:w="1209" w:type="dxa"/>
            <w:vMerge w:val="continue"/>
            <w:shd w:val="clear" w:color="auto" w:fill="auto"/>
            <w:vAlign w:val="center"/>
          </w:tcPr>
          <w:p>
            <w:pPr>
              <w:spacing w:line="380" w:lineRule="exact"/>
              <w:jc w:val="center"/>
              <w:rPr>
                <w:rFonts w:ascii="Times New Roman" w:hAnsi="Times New Roman" w:eastAsia="仿宋" w:cs="Times New Roman"/>
                <w:color w:val="auto"/>
                <w:sz w:val="18"/>
                <w:szCs w:val="18"/>
              </w:rPr>
            </w:pPr>
          </w:p>
        </w:tc>
        <w:tc>
          <w:tcPr>
            <w:tcW w:w="1112" w:type="dxa"/>
            <w:vMerge w:val="continue"/>
            <w:shd w:val="clear" w:color="auto" w:fill="auto"/>
            <w:vAlign w:val="center"/>
          </w:tcPr>
          <w:p>
            <w:pPr>
              <w:spacing w:line="380" w:lineRule="exact"/>
              <w:jc w:val="center"/>
              <w:rPr>
                <w:rFonts w:ascii="Times New Roman" w:hAnsi="Times New Roman" w:eastAsia="仿宋"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1</w:t>
            </w:r>
          </w:p>
        </w:tc>
        <w:tc>
          <w:tcPr>
            <w:tcW w:w="594" w:type="dxa"/>
            <w:vMerge w:val="restart"/>
            <w:shd w:val="clear" w:color="auto" w:fill="auto"/>
            <w:vAlign w:val="center"/>
          </w:tcPr>
          <w:p>
            <w:pPr>
              <w:spacing w:line="380" w:lineRule="exact"/>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lang w:eastAsia="zh-CN"/>
              </w:rPr>
              <w:t>资江</w:t>
            </w:r>
            <w:r>
              <w:rPr>
                <w:rFonts w:ascii="Times New Roman" w:hAnsi="Times New Roman" w:eastAsia="仿宋" w:cs="Times New Roman"/>
                <w:color w:val="auto"/>
                <w:sz w:val="18"/>
                <w:szCs w:val="18"/>
              </w:rPr>
              <w:t>干流</w:t>
            </w:r>
          </w:p>
        </w:tc>
        <w:tc>
          <w:tcPr>
            <w:tcW w:w="2020" w:type="dxa"/>
            <w:shd w:val="clear" w:color="auto" w:fill="auto"/>
            <w:vAlign w:val="center"/>
          </w:tcPr>
          <w:p>
            <w:pPr>
              <w:spacing w:line="380" w:lineRule="exact"/>
              <w:jc w:val="left"/>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lang w:eastAsia="zh-CN"/>
              </w:rPr>
              <w:t>资江</w:t>
            </w:r>
            <w:r>
              <w:rPr>
                <w:rFonts w:ascii="Times New Roman" w:hAnsi="Times New Roman" w:eastAsia="仿宋" w:cs="Times New Roman"/>
                <w:color w:val="auto"/>
                <w:sz w:val="18"/>
                <w:szCs w:val="18"/>
              </w:rPr>
              <w:t>保护段</w:t>
            </w:r>
          </w:p>
        </w:tc>
        <w:tc>
          <w:tcPr>
            <w:tcW w:w="921"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23.8</w:t>
            </w:r>
          </w:p>
        </w:tc>
        <w:tc>
          <w:tcPr>
            <w:tcW w:w="998"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0.3</w:t>
            </w:r>
          </w:p>
        </w:tc>
        <w:tc>
          <w:tcPr>
            <w:tcW w:w="990"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81.4</w:t>
            </w:r>
          </w:p>
        </w:tc>
        <w:tc>
          <w:tcPr>
            <w:tcW w:w="972"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0.7</w:t>
            </w:r>
          </w:p>
        </w:tc>
        <w:tc>
          <w:tcPr>
            <w:tcW w:w="1209" w:type="dxa"/>
            <w:shd w:val="clear" w:color="auto" w:fill="auto"/>
            <w:vAlign w:val="center"/>
          </w:tcPr>
          <w:p>
            <w:pPr>
              <w:widowControl/>
              <w:jc w:val="center"/>
              <w:textAlignment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64.1</w:t>
            </w:r>
          </w:p>
        </w:tc>
        <w:tc>
          <w:tcPr>
            <w:tcW w:w="1112" w:type="dxa"/>
            <w:vMerge w:val="restart"/>
            <w:shd w:val="clear" w:color="auto" w:fill="auto"/>
            <w:vAlign w:val="center"/>
          </w:tcPr>
          <w:p>
            <w:pPr>
              <w:spacing w:line="380" w:lineRule="exact"/>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2</w:t>
            </w:r>
          </w:p>
        </w:tc>
        <w:tc>
          <w:tcPr>
            <w:tcW w:w="594" w:type="dxa"/>
            <w:vMerge w:val="continue"/>
            <w:shd w:val="clear" w:color="auto" w:fill="auto"/>
            <w:vAlign w:val="center"/>
          </w:tcPr>
          <w:p>
            <w:pPr>
              <w:spacing w:line="380" w:lineRule="exact"/>
              <w:jc w:val="center"/>
              <w:rPr>
                <w:rFonts w:ascii="Times New Roman" w:hAnsi="Times New Roman" w:eastAsia="仿宋" w:cs="Times New Roman"/>
                <w:color w:val="auto"/>
                <w:sz w:val="18"/>
                <w:szCs w:val="18"/>
              </w:rPr>
            </w:pPr>
          </w:p>
        </w:tc>
        <w:tc>
          <w:tcPr>
            <w:tcW w:w="2020" w:type="dxa"/>
            <w:shd w:val="clear" w:color="auto" w:fill="auto"/>
            <w:vAlign w:val="center"/>
          </w:tcPr>
          <w:p>
            <w:pPr>
              <w:spacing w:line="380" w:lineRule="exact"/>
              <w:jc w:val="left"/>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lang w:eastAsia="zh-CN"/>
              </w:rPr>
              <w:t>资江</w:t>
            </w:r>
            <w:r>
              <w:rPr>
                <w:rFonts w:hint="eastAsia" w:ascii="Times New Roman" w:hAnsi="Times New Roman" w:eastAsia="仿宋" w:cs="Times New Roman"/>
                <w:color w:val="auto"/>
                <w:sz w:val="18"/>
                <w:szCs w:val="18"/>
                <w:lang w:val="en-US" w:eastAsia="zh-CN"/>
              </w:rPr>
              <w:t>中锋</w:t>
            </w:r>
            <w:r>
              <w:rPr>
                <w:rFonts w:ascii="Times New Roman" w:hAnsi="Times New Roman" w:eastAsia="仿宋" w:cs="Times New Roman"/>
                <w:color w:val="auto"/>
                <w:sz w:val="18"/>
                <w:szCs w:val="18"/>
              </w:rPr>
              <w:t>段</w:t>
            </w:r>
          </w:p>
        </w:tc>
        <w:tc>
          <w:tcPr>
            <w:tcW w:w="921"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23.8</w:t>
            </w:r>
          </w:p>
        </w:tc>
        <w:tc>
          <w:tcPr>
            <w:tcW w:w="998"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0.3</w:t>
            </w:r>
          </w:p>
        </w:tc>
        <w:tc>
          <w:tcPr>
            <w:tcW w:w="990"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81.4</w:t>
            </w:r>
          </w:p>
        </w:tc>
        <w:tc>
          <w:tcPr>
            <w:tcW w:w="972"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0.7</w:t>
            </w:r>
          </w:p>
        </w:tc>
        <w:tc>
          <w:tcPr>
            <w:tcW w:w="1209" w:type="dxa"/>
            <w:shd w:val="clear" w:color="auto" w:fill="auto"/>
            <w:vAlign w:val="center"/>
          </w:tcPr>
          <w:p>
            <w:pPr>
              <w:widowControl/>
              <w:jc w:val="center"/>
              <w:textAlignment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64.1</w:t>
            </w:r>
          </w:p>
        </w:tc>
        <w:tc>
          <w:tcPr>
            <w:tcW w:w="1112" w:type="dxa"/>
            <w:vMerge w:val="continue"/>
            <w:shd w:val="clear" w:color="auto" w:fill="auto"/>
            <w:vAlign w:val="center"/>
          </w:tcPr>
          <w:p>
            <w:pPr>
              <w:spacing w:line="380" w:lineRule="exact"/>
              <w:jc w:val="center"/>
              <w:rPr>
                <w:rFonts w:ascii="Times New Roman" w:hAnsi="Times New Roman" w:eastAsia="仿宋"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3</w:t>
            </w:r>
          </w:p>
        </w:tc>
        <w:tc>
          <w:tcPr>
            <w:tcW w:w="594" w:type="dxa"/>
            <w:vMerge w:val="continue"/>
            <w:shd w:val="clear" w:color="auto" w:fill="auto"/>
            <w:vAlign w:val="center"/>
          </w:tcPr>
          <w:p>
            <w:pPr>
              <w:spacing w:line="380" w:lineRule="exact"/>
              <w:jc w:val="center"/>
              <w:rPr>
                <w:rFonts w:ascii="Times New Roman" w:hAnsi="Times New Roman" w:eastAsia="仿宋" w:cs="Times New Roman"/>
                <w:color w:val="auto"/>
                <w:sz w:val="18"/>
                <w:szCs w:val="18"/>
              </w:rPr>
            </w:pPr>
          </w:p>
        </w:tc>
        <w:tc>
          <w:tcPr>
            <w:tcW w:w="2020" w:type="dxa"/>
            <w:shd w:val="clear" w:color="auto" w:fill="auto"/>
            <w:vAlign w:val="center"/>
          </w:tcPr>
          <w:p>
            <w:pPr>
              <w:spacing w:line="380" w:lineRule="exact"/>
              <w:jc w:val="left"/>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lang w:eastAsia="zh-CN"/>
              </w:rPr>
              <w:t>资江</w:t>
            </w:r>
            <w:r>
              <w:rPr>
                <w:rFonts w:hint="eastAsia" w:ascii="Times New Roman" w:hAnsi="Times New Roman" w:eastAsia="仿宋" w:cs="Times New Roman"/>
                <w:color w:val="auto"/>
                <w:sz w:val="18"/>
                <w:szCs w:val="18"/>
                <w:lang w:val="en-US" w:eastAsia="zh-CN"/>
              </w:rPr>
              <w:t>县城</w:t>
            </w:r>
            <w:r>
              <w:rPr>
                <w:rFonts w:ascii="Times New Roman" w:hAnsi="Times New Roman" w:eastAsia="仿宋" w:cs="Times New Roman"/>
                <w:color w:val="auto"/>
                <w:sz w:val="18"/>
                <w:szCs w:val="18"/>
              </w:rPr>
              <w:t>段</w:t>
            </w:r>
          </w:p>
        </w:tc>
        <w:tc>
          <w:tcPr>
            <w:tcW w:w="921"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22.2</w:t>
            </w:r>
          </w:p>
        </w:tc>
        <w:tc>
          <w:tcPr>
            <w:tcW w:w="998"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0.3</w:t>
            </w:r>
          </w:p>
        </w:tc>
        <w:tc>
          <w:tcPr>
            <w:tcW w:w="990"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53.9</w:t>
            </w:r>
          </w:p>
        </w:tc>
        <w:tc>
          <w:tcPr>
            <w:tcW w:w="972"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0.7</w:t>
            </w:r>
          </w:p>
        </w:tc>
        <w:tc>
          <w:tcPr>
            <w:tcW w:w="1209" w:type="dxa"/>
            <w:shd w:val="clear" w:color="auto" w:fill="auto"/>
            <w:vAlign w:val="center"/>
          </w:tcPr>
          <w:p>
            <w:pPr>
              <w:widowControl/>
              <w:jc w:val="center"/>
              <w:textAlignment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44.4</w:t>
            </w:r>
          </w:p>
        </w:tc>
        <w:tc>
          <w:tcPr>
            <w:tcW w:w="1112" w:type="dxa"/>
            <w:vMerge w:val="continue"/>
            <w:shd w:val="clear" w:color="auto" w:fill="auto"/>
            <w:vAlign w:val="center"/>
          </w:tcPr>
          <w:p>
            <w:pPr>
              <w:spacing w:line="380" w:lineRule="exact"/>
              <w:jc w:val="center"/>
              <w:rPr>
                <w:rFonts w:ascii="Times New Roman" w:hAnsi="Times New Roman" w:eastAsia="仿宋"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4</w:t>
            </w:r>
          </w:p>
        </w:tc>
        <w:tc>
          <w:tcPr>
            <w:tcW w:w="594" w:type="dxa"/>
            <w:vMerge w:val="continue"/>
            <w:shd w:val="clear" w:color="auto" w:fill="auto"/>
            <w:vAlign w:val="center"/>
          </w:tcPr>
          <w:p>
            <w:pPr>
              <w:spacing w:line="380" w:lineRule="exact"/>
              <w:jc w:val="center"/>
              <w:rPr>
                <w:rFonts w:ascii="Times New Roman" w:hAnsi="Times New Roman" w:eastAsia="仿宋" w:cs="Times New Roman"/>
                <w:color w:val="auto"/>
                <w:sz w:val="18"/>
                <w:szCs w:val="18"/>
              </w:rPr>
            </w:pPr>
          </w:p>
        </w:tc>
        <w:tc>
          <w:tcPr>
            <w:tcW w:w="2020" w:type="dxa"/>
            <w:shd w:val="clear" w:color="auto" w:fill="auto"/>
            <w:vAlign w:val="center"/>
          </w:tcPr>
          <w:p>
            <w:pPr>
              <w:spacing w:line="380" w:lineRule="exact"/>
              <w:jc w:val="left"/>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lang w:eastAsia="zh-CN"/>
              </w:rPr>
              <w:t>资江</w:t>
            </w:r>
            <w:r>
              <w:rPr>
                <w:rFonts w:hint="eastAsia" w:ascii="Times New Roman" w:hAnsi="Times New Roman" w:eastAsia="仿宋" w:cs="Times New Roman"/>
                <w:color w:val="auto"/>
                <w:sz w:val="18"/>
                <w:szCs w:val="18"/>
                <w:lang w:val="en-US" w:eastAsia="zh-CN"/>
              </w:rPr>
              <w:t>梅溪</w:t>
            </w:r>
            <w:r>
              <w:rPr>
                <w:rFonts w:ascii="Times New Roman" w:hAnsi="Times New Roman" w:eastAsia="仿宋" w:cs="Times New Roman"/>
                <w:color w:val="auto"/>
                <w:sz w:val="18"/>
                <w:szCs w:val="18"/>
              </w:rPr>
              <w:t>段</w:t>
            </w:r>
          </w:p>
        </w:tc>
        <w:tc>
          <w:tcPr>
            <w:tcW w:w="921"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22.2</w:t>
            </w:r>
          </w:p>
        </w:tc>
        <w:tc>
          <w:tcPr>
            <w:tcW w:w="998"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0.3</w:t>
            </w:r>
          </w:p>
        </w:tc>
        <w:tc>
          <w:tcPr>
            <w:tcW w:w="990"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53.9</w:t>
            </w:r>
          </w:p>
        </w:tc>
        <w:tc>
          <w:tcPr>
            <w:tcW w:w="972"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0.7</w:t>
            </w:r>
          </w:p>
        </w:tc>
        <w:tc>
          <w:tcPr>
            <w:tcW w:w="1209" w:type="dxa"/>
            <w:shd w:val="clear" w:color="auto" w:fill="auto"/>
            <w:vAlign w:val="center"/>
          </w:tcPr>
          <w:p>
            <w:pPr>
              <w:widowControl/>
              <w:jc w:val="center"/>
              <w:textAlignment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44.4</w:t>
            </w:r>
          </w:p>
        </w:tc>
        <w:tc>
          <w:tcPr>
            <w:tcW w:w="1112" w:type="dxa"/>
            <w:vMerge w:val="continue"/>
            <w:shd w:val="clear" w:color="auto" w:fill="auto"/>
            <w:vAlign w:val="center"/>
          </w:tcPr>
          <w:p>
            <w:pPr>
              <w:spacing w:line="380" w:lineRule="exact"/>
              <w:jc w:val="center"/>
              <w:rPr>
                <w:rFonts w:ascii="Times New Roman" w:hAnsi="Times New Roman" w:eastAsia="仿宋"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11</w:t>
            </w:r>
          </w:p>
        </w:tc>
        <w:tc>
          <w:tcPr>
            <w:tcW w:w="594" w:type="dxa"/>
            <w:vMerge w:val="restart"/>
            <w:shd w:val="clear" w:color="auto" w:fill="auto"/>
            <w:vAlign w:val="center"/>
          </w:tcPr>
          <w:p>
            <w:pPr>
              <w:spacing w:line="380" w:lineRule="exact"/>
              <w:jc w:val="center"/>
              <w:rPr>
                <w:rFonts w:hint="eastAsia" w:ascii="Times New Roman" w:hAnsi="Times New Roman" w:eastAsia="仿宋" w:cs="Times New Roman"/>
                <w:color w:val="auto"/>
                <w:sz w:val="18"/>
                <w:szCs w:val="18"/>
                <w:lang w:eastAsia="zh-CN"/>
              </w:rPr>
            </w:pPr>
            <w:r>
              <w:rPr>
                <w:rFonts w:hint="eastAsia" w:ascii="Times New Roman" w:hAnsi="Times New Roman" w:eastAsia="仿宋" w:cs="Times New Roman"/>
                <w:color w:val="auto"/>
                <w:sz w:val="18"/>
                <w:szCs w:val="18"/>
                <w:lang w:eastAsia="zh-CN"/>
              </w:rPr>
              <w:t>白竹洞河</w:t>
            </w:r>
          </w:p>
        </w:tc>
        <w:tc>
          <w:tcPr>
            <w:tcW w:w="2020" w:type="dxa"/>
            <w:shd w:val="clear" w:color="auto" w:fill="auto"/>
            <w:vAlign w:val="center"/>
          </w:tcPr>
          <w:p>
            <w:pPr>
              <w:spacing w:line="380" w:lineRule="exact"/>
              <w:jc w:val="left"/>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lang w:eastAsia="zh-CN"/>
              </w:rPr>
              <w:t>白竹洞河</w:t>
            </w:r>
            <w:r>
              <w:rPr>
                <w:rFonts w:ascii="Times New Roman" w:hAnsi="Times New Roman" w:eastAsia="仿宋" w:cs="Times New Roman"/>
                <w:color w:val="auto"/>
                <w:sz w:val="18"/>
                <w:szCs w:val="18"/>
              </w:rPr>
              <w:t>保护段</w:t>
            </w:r>
          </w:p>
        </w:tc>
        <w:tc>
          <w:tcPr>
            <w:tcW w:w="921"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22.8</w:t>
            </w:r>
          </w:p>
        </w:tc>
        <w:tc>
          <w:tcPr>
            <w:tcW w:w="998"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0.3</w:t>
            </w:r>
          </w:p>
        </w:tc>
        <w:tc>
          <w:tcPr>
            <w:tcW w:w="990"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52.0</w:t>
            </w:r>
          </w:p>
        </w:tc>
        <w:tc>
          <w:tcPr>
            <w:tcW w:w="972"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0.7</w:t>
            </w:r>
          </w:p>
        </w:tc>
        <w:tc>
          <w:tcPr>
            <w:tcW w:w="1209" w:type="dxa"/>
            <w:shd w:val="clear" w:color="auto" w:fill="auto"/>
            <w:vAlign w:val="center"/>
          </w:tcPr>
          <w:p>
            <w:pPr>
              <w:widowControl/>
              <w:jc w:val="center"/>
              <w:textAlignment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43.2</w:t>
            </w:r>
          </w:p>
        </w:tc>
        <w:tc>
          <w:tcPr>
            <w:tcW w:w="1112" w:type="dxa"/>
            <w:vMerge w:val="restart"/>
            <w:shd w:val="clear" w:color="auto" w:fill="auto"/>
            <w:vAlign w:val="center"/>
          </w:tcPr>
          <w:p>
            <w:pPr>
              <w:spacing w:line="380" w:lineRule="exact"/>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12</w:t>
            </w:r>
          </w:p>
        </w:tc>
        <w:tc>
          <w:tcPr>
            <w:tcW w:w="594" w:type="dxa"/>
            <w:vMerge w:val="continue"/>
            <w:shd w:val="clear" w:color="auto" w:fill="auto"/>
            <w:vAlign w:val="center"/>
          </w:tcPr>
          <w:p>
            <w:pPr>
              <w:spacing w:line="380" w:lineRule="exact"/>
              <w:jc w:val="center"/>
              <w:rPr>
                <w:rFonts w:ascii="Times New Roman" w:hAnsi="Times New Roman" w:eastAsia="仿宋" w:cs="Times New Roman"/>
                <w:color w:val="auto"/>
                <w:sz w:val="18"/>
                <w:szCs w:val="18"/>
              </w:rPr>
            </w:pPr>
          </w:p>
        </w:tc>
        <w:tc>
          <w:tcPr>
            <w:tcW w:w="2020" w:type="dxa"/>
            <w:shd w:val="clear" w:color="auto" w:fill="auto"/>
            <w:vAlign w:val="center"/>
          </w:tcPr>
          <w:p>
            <w:pPr>
              <w:spacing w:line="380" w:lineRule="exact"/>
              <w:jc w:val="left"/>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lang w:eastAsia="zh-CN"/>
              </w:rPr>
              <w:t>白竹洞河</w:t>
            </w:r>
            <w:r>
              <w:rPr>
                <w:rFonts w:ascii="Times New Roman" w:hAnsi="Times New Roman" w:eastAsia="仿宋" w:cs="Times New Roman"/>
                <w:color w:val="auto"/>
                <w:sz w:val="18"/>
                <w:szCs w:val="18"/>
              </w:rPr>
              <w:t>保留段</w:t>
            </w:r>
          </w:p>
        </w:tc>
        <w:tc>
          <w:tcPr>
            <w:tcW w:w="921"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22.8</w:t>
            </w:r>
          </w:p>
        </w:tc>
        <w:tc>
          <w:tcPr>
            <w:tcW w:w="998"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0.3</w:t>
            </w:r>
          </w:p>
        </w:tc>
        <w:tc>
          <w:tcPr>
            <w:tcW w:w="990"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52.0</w:t>
            </w:r>
          </w:p>
        </w:tc>
        <w:tc>
          <w:tcPr>
            <w:tcW w:w="972"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0.7</w:t>
            </w:r>
          </w:p>
        </w:tc>
        <w:tc>
          <w:tcPr>
            <w:tcW w:w="1209" w:type="dxa"/>
            <w:shd w:val="clear" w:color="auto" w:fill="auto"/>
            <w:vAlign w:val="center"/>
          </w:tcPr>
          <w:p>
            <w:pPr>
              <w:widowControl/>
              <w:jc w:val="center"/>
              <w:textAlignment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43.2</w:t>
            </w:r>
          </w:p>
        </w:tc>
        <w:tc>
          <w:tcPr>
            <w:tcW w:w="1112" w:type="dxa"/>
            <w:vMerge w:val="continue"/>
            <w:shd w:val="clear" w:color="auto" w:fill="auto"/>
            <w:vAlign w:val="center"/>
          </w:tcPr>
          <w:p>
            <w:pPr>
              <w:spacing w:line="380" w:lineRule="exact"/>
              <w:jc w:val="center"/>
              <w:rPr>
                <w:rFonts w:ascii="Times New Roman" w:hAnsi="Times New Roman" w:eastAsia="仿宋"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13</w:t>
            </w:r>
          </w:p>
        </w:tc>
        <w:tc>
          <w:tcPr>
            <w:tcW w:w="594" w:type="dxa"/>
            <w:vMerge w:val="continue"/>
            <w:shd w:val="clear" w:color="auto" w:fill="auto"/>
            <w:vAlign w:val="center"/>
          </w:tcPr>
          <w:p>
            <w:pPr>
              <w:spacing w:line="380" w:lineRule="exact"/>
              <w:jc w:val="center"/>
              <w:rPr>
                <w:rFonts w:ascii="Times New Roman" w:hAnsi="Times New Roman" w:eastAsia="仿宋" w:cs="Times New Roman"/>
                <w:color w:val="auto"/>
                <w:sz w:val="18"/>
                <w:szCs w:val="18"/>
              </w:rPr>
            </w:pPr>
          </w:p>
        </w:tc>
        <w:tc>
          <w:tcPr>
            <w:tcW w:w="2020" w:type="dxa"/>
            <w:shd w:val="clear" w:color="auto" w:fill="auto"/>
            <w:vAlign w:val="center"/>
          </w:tcPr>
          <w:p>
            <w:pPr>
              <w:spacing w:line="380" w:lineRule="exact"/>
              <w:jc w:val="left"/>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lang w:eastAsia="zh-CN"/>
              </w:rPr>
              <w:t>白竹洞河</w:t>
            </w:r>
            <w:r>
              <w:rPr>
                <w:rFonts w:hint="eastAsia" w:ascii="Times New Roman" w:hAnsi="Times New Roman" w:eastAsia="仿宋" w:cs="Times New Roman"/>
                <w:color w:val="auto"/>
                <w:sz w:val="18"/>
                <w:szCs w:val="18"/>
                <w:lang w:val="en-US" w:eastAsia="zh-CN"/>
              </w:rPr>
              <w:t>开发</w:t>
            </w:r>
            <w:r>
              <w:rPr>
                <w:rFonts w:ascii="Times New Roman" w:hAnsi="Times New Roman" w:eastAsia="仿宋" w:cs="Times New Roman"/>
                <w:color w:val="auto"/>
                <w:sz w:val="18"/>
                <w:szCs w:val="18"/>
              </w:rPr>
              <w:t>段</w:t>
            </w:r>
          </w:p>
        </w:tc>
        <w:tc>
          <w:tcPr>
            <w:tcW w:w="921"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22.8</w:t>
            </w:r>
          </w:p>
        </w:tc>
        <w:tc>
          <w:tcPr>
            <w:tcW w:w="998"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0.3</w:t>
            </w:r>
          </w:p>
        </w:tc>
        <w:tc>
          <w:tcPr>
            <w:tcW w:w="990"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52.0</w:t>
            </w:r>
          </w:p>
        </w:tc>
        <w:tc>
          <w:tcPr>
            <w:tcW w:w="972"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0.7</w:t>
            </w:r>
          </w:p>
        </w:tc>
        <w:tc>
          <w:tcPr>
            <w:tcW w:w="1209" w:type="dxa"/>
            <w:shd w:val="clear" w:color="auto" w:fill="auto"/>
            <w:vAlign w:val="center"/>
          </w:tcPr>
          <w:p>
            <w:pPr>
              <w:widowControl/>
              <w:jc w:val="center"/>
              <w:textAlignment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43.2</w:t>
            </w:r>
          </w:p>
        </w:tc>
        <w:tc>
          <w:tcPr>
            <w:tcW w:w="1112" w:type="dxa"/>
            <w:vMerge w:val="continue"/>
            <w:shd w:val="clear" w:color="auto" w:fill="auto"/>
            <w:vAlign w:val="center"/>
          </w:tcPr>
          <w:p>
            <w:pPr>
              <w:spacing w:line="380" w:lineRule="exact"/>
              <w:jc w:val="center"/>
              <w:rPr>
                <w:rFonts w:ascii="Times New Roman" w:hAnsi="Times New Roman" w:eastAsia="仿宋"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14</w:t>
            </w:r>
          </w:p>
        </w:tc>
        <w:tc>
          <w:tcPr>
            <w:tcW w:w="594" w:type="dxa"/>
            <w:vMerge w:val="restart"/>
            <w:shd w:val="clear" w:color="auto" w:fill="auto"/>
            <w:vAlign w:val="center"/>
          </w:tcPr>
          <w:p>
            <w:pPr>
              <w:spacing w:line="380" w:lineRule="exact"/>
              <w:jc w:val="center"/>
              <w:rPr>
                <w:rFonts w:hint="eastAsia" w:ascii="Times New Roman" w:hAnsi="Times New Roman" w:eastAsia="仿宋" w:cs="Times New Roman"/>
                <w:color w:val="auto"/>
                <w:w w:val="80"/>
                <w:sz w:val="18"/>
                <w:szCs w:val="18"/>
                <w:lang w:eastAsia="zh-CN"/>
              </w:rPr>
            </w:pPr>
            <w:r>
              <w:rPr>
                <w:rFonts w:hint="eastAsia" w:ascii="Times New Roman" w:hAnsi="Times New Roman" w:eastAsia="仿宋" w:cs="Times New Roman"/>
                <w:color w:val="auto"/>
                <w:w w:val="80"/>
                <w:sz w:val="18"/>
                <w:szCs w:val="18"/>
                <w:lang w:eastAsia="zh-CN"/>
              </w:rPr>
              <w:t>大湾河</w:t>
            </w:r>
          </w:p>
        </w:tc>
        <w:tc>
          <w:tcPr>
            <w:tcW w:w="2020" w:type="dxa"/>
            <w:shd w:val="clear" w:color="auto" w:fill="auto"/>
            <w:vAlign w:val="center"/>
          </w:tcPr>
          <w:p>
            <w:pPr>
              <w:spacing w:line="380" w:lineRule="exact"/>
              <w:jc w:val="left"/>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lang w:eastAsia="zh-CN"/>
              </w:rPr>
              <w:t>大湾河</w:t>
            </w:r>
            <w:r>
              <w:rPr>
                <w:rFonts w:ascii="Times New Roman" w:hAnsi="Times New Roman" w:eastAsia="仿宋" w:cs="Times New Roman"/>
                <w:color w:val="auto"/>
                <w:sz w:val="18"/>
                <w:szCs w:val="18"/>
              </w:rPr>
              <w:t>保护段</w:t>
            </w:r>
          </w:p>
        </w:tc>
        <w:tc>
          <w:tcPr>
            <w:tcW w:w="921"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22.1</w:t>
            </w:r>
          </w:p>
        </w:tc>
        <w:tc>
          <w:tcPr>
            <w:tcW w:w="998"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0.3</w:t>
            </w:r>
          </w:p>
        </w:tc>
        <w:tc>
          <w:tcPr>
            <w:tcW w:w="990"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47.7</w:t>
            </w:r>
          </w:p>
        </w:tc>
        <w:tc>
          <w:tcPr>
            <w:tcW w:w="972"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0.7</w:t>
            </w:r>
          </w:p>
        </w:tc>
        <w:tc>
          <w:tcPr>
            <w:tcW w:w="1209" w:type="dxa"/>
            <w:shd w:val="clear" w:color="auto" w:fill="auto"/>
            <w:vAlign w:val="center"/>
          </w:tcPr>
          <w:p>
            <w:pPr>
              <w:widowControl/>
              <w:jc w:val="center"/>
              <w:textAlignment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40.0</w:t>
            </w:r>
          </w:p>
        </w:tc>
        <w:tc>
          <w:tcPr>
            <w:tcW w:w="1112" w:type="dxa"/>
            <w:vMerge w:val="restart"/>
            <w:shd w:val="clear" w:color="auto" w:fill="auto"/>
            <w:vAlign w:val="center"/>
          </w:tcPr>
          <w:p>
            <w:pPr>
              <w:spacing w:line="380" w:lineRule="exact"/>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527"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15</w:t>
            </w:r>
          </w:p>
        </w:tc>
        <w:tc>
          <w:tcPr>
            <w:tcW w:w="594" w:type="dxa"/>
            <w:vMerge w:val="continue"/>
            <w:shd w:val="clear" w:color="auto" w:fill="auto"/>
            <w:vAlign w:val="center"/>
          </w:tcPr>
          <w:p>
            <w:pPr>
              <w:spacing w:line="380" w:lineRule="exact"/>
              <w:jc w:val="center"/>
              <w:rPr>
                <w:rFonts w:ascii="Times New Roman" w:hAnsi="Times New Roman" w:eastAsia="仿宋" w:cs="Times New Roman"/>
                <w:color w:val="auto"/>
                <w:sz w:val="18"/>
                <w:szCs w:val="18"/>
              </w:rPr>
            </w:pPr>
          </w:p>
        </w:tc>
        <w:tc>
          <w:tcPr>
            <w:tcW w:w="2020" w:type="dxa"/>
            <w:shd w:val="clear" w:color="auto" w:fill="auto"/>
            <w:vAlign w:val="center"/>
          </w:tcPr>
          <w:p>
            <w:pPr>
              <w:spacing w:line="380" w:lineRule="exact"/>
              <w:jc w:val="left"/>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lang w:eastAsia="zh-CN"/>
              </w:rPr>
              <w:t>大湾河</w:t>
            </w:r>
            <w:r>
              <w:rPr>
                <w:rFonts w:hint="eastAsia" w:ascii="Times New Roman" w:hAnsi="Times New Roman" w:eastAsia="仿宋" w:cs="Times New Roman"/>
                <w:color w:val="auto"/>
                <w:sz w:val="18"/>
                <w:szCs w:val="18"/>
                <w:lang w:val="en-US" w:eastAsia="zh-CN"/>
              </w:rPr>
              <w:t>保留</w:t>
            </w:r>
            <w:r>
              <w:rPr>
                <w:rFonts w:ascii="Times New Roman" w:hAnsi="Times New Roman" w:eastAsia="仿宋" w:cs="Times New Roman"/>
                <w:color w:val="auto"/>
                <w:sz w:val="18"/>
                <w:szCs w:val="18"/>
              </w:rPr>
              <w:t>段</w:t>
            </w:r>
          </w:p>
        </w:tc>
        <w:tc>
          <w:tcPr>
            <w:tcW w:w="921"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22.1</w:t>
            </w:r>
          </w:p>
        </w:tc>
        <w:tc>
          <w:tcPr>
            <w:tcW w:w="998"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0.3</w:t>
            </w:r>
          </w:p>
        </w:tc>
        <w:tc>
          <w:tcPr>
            <w:tcW w:w="990"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47.7</w:t>
            </w:r>
          </w:p>
        </w:tc>
        <w:tc>
          <w:tcPr>
            <w:tcW w:w="972"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0.7</w:t>
            </w:r>
          </w:p>
        </w:tc>
        <w:tc>
          <w:tcPr>
            <w:tcW w:w="1209" w:type="dxa"/>
            <w:shd w:val="clear" w:color="auto" w:fill="auto"/>
            <w:vAlign w:val="center"/>
          </w:tcPr>
          <w:p>
            <w:pPr>
              <w:widowControl/>
              <w:jc w:val="center"/>
              <w:textAlignment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40.0</w:t>
            </w:r>
          </w:p>
        </w:tc>
        <w:tc>
          <w:tcPr>
            <w:tcW w:w="1112" w:type="dxa"/>
            <w:vMerge w:val="continue"/>
            <w:shd w:val="clear" w:color="auto" w:fill="auto"/>
            <w:vAlign w:val="center"/>
          </w:tcPr>
          <w:p>
            <w:pPr>
              <w:spacing w:line="380" w:lineRule="exact"/>
              <w:jc w:val="center"/>
              <w:rPr>
                <w:rFonts w:ascii="Times New Roman" w:hAnsi="Times New Roman" w:eastAsia="仿宋"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16</w:t>
            </w:r>
          </w:p>
        </w:tc>
        <w:tc>
          <w:tcPr>
            <w:tcW w:w="594" w:type="dxa"/>
            <w:vMerge w:val="restart"/>
            <w:shd w:val="clear" w:color="auto" w:fill="auto"/>
            <w:vAlign w:val="center"/>
          </w:tcPr>
          <w:p>
            <w:pPr>
              <w:spacing w:line="380" w:lineRule="exact"/>
              <w:jc w:val="center"/>
              <w:rPr>
                <w:rFonts w:hint="eastAsia" w:ascii="Times New Roman" w:hAnsi="Times New Roman" w:eastAsia="仿宋" w:cs="Times New Roman"/>
                <w:color w:val="auto"/>
                <w:sz w:val="18"/>
                <w:szCs w:val="18"/>
                <w:lang w:eastAsia="zh-CN"/>
              </w:rPr>
            </w:pPr>
            <w:r>
              <w:rPr>
                <w:rFonts w:hint="eastAsia" w:ascii="Times New Roman" w:hAnsi="Times New Roman" w:eastAsia="仿宋" w:cs="Times New Roman"/>
                <w:color w:val="auto"/>
                <w:sz w:val="18"/>
                <w:szCs w:val="18"/>
                <w:lang w:eastAsia="zh-CN"/>
              </w:rPr>
              <w:t>瓜里河</w:t>
            </w:r>
          </w:p>
        </w:tc>
        <w:tc>
          <w:tcPr>
            <w:tcW w:w="2020" w:type="dxa"/>
            <w:shd w:val="clear" w:color="auto" w:fill="auto"/>
            <w:vAlign w:val="center"/>
          </w:tcPr>
          <w:p>
            <w:pPr>
              <w:spacing w:line="380" w:lineRule="exact"/>
              <w:jc w:val="left"/>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lang w:eastAsia="zh-CN"/>
              </w:rPr>
              <w:t>瓜里河</w:t>
            </w:r>
            <w:r>
              <w:rPr>
                <w:rFonts w:ascii="Times New Roman" w:hAnsi="Times New Roman" w:eastAsia="仿宋" w:cs="Times New Roman"/>
                <w:color w:val="auto"/>
                <w:sz w:val="18"/>
                <w:szCs w:val="18"/>
              </w:rPr>
              <w:t>保护段</w:t>
            </w:r>
          </w:p>
        </w:tc>
        <w:tc>
          <w:tcPr>
            <w:tcW w:w="921"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24.5</w:t>
            </w:r>
          </w:p>
        </w:tc>
        <w:tc>
          <w:tcPr>
            <w:tcW w:w="998"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0.3</w:t>
            </w:r>
          </w:p>
        </w:tc>
        <w:tc>
          <w:tcPr>
            <w:tcW w:w="990"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33.0</w:t>
            </w:r>
          </w:p>
        </w:tc>
        <w:tc>
          <w:tcPr>
            <w:tcW w:w="972"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0.7</w:t>
            </w:r>
          </w:p>
        </w:tc>
        <w:tc>
          <w:tcPr>
            <w:tcW w:w="1209" w:type="dxa"/>
            <w:shd w:val="clear" w:color="auto" w:fill="auto"/>
            <w:vAlign w:val="center"/>
          </w:tcPr>
          <w:p>
            <w:pPr>
              <w:widowControl/>
              <w:jc w:val="center"/>
              <w:textAlignment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30.5</w:t>
            </w:r>
          </w:p>
        </w:tc>
        <w:tc>
          <w:tcPr>
            <w:tcW w:w="1112" w:type="dxa"/>
            <w:vMerge w:val="restart"/>
            <w:shd w:val="clear" w:color="auto" w:fill="auto"/>
            <w:vAlign w:val="center"/>
          </w:tcPr>
          <w:p>
            <w:pPr>
              <w:spacing w:line="380" w:lineRule="exact"/>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17</w:t>
            </w:r>
          </w:p>
        </w:tc>
        <w:tc>
          <w:tcPr>
            <w:tcW w:w="594" w:type="dxa"/>
            <w:vMerge w:val="continue"/>
            <w:shd w:val="clear" w:color="auto" w:fill="auto"/>
            <w:vAlign w:val="center"/>
          </w:tcPr>
          <w:p>
            <w:pPr>
              <w:spacing w:line="380" w:lineRule="exact"/>
              <w:jc w:val="center"/>
              <w:rPr>
                <w:rFonts w:ascii="Times New Roman" w:hAnsi="Times New Roman" w:eastAsia="仿宋" w:cs="Times New Roman"/>
                <w:color w:val="auto"/>
                <w:sz w:val="18"/>
                <w:szCs w:val="18"/>
              </w:rPr>
            </w:pPr>
          </w:p>
        </w:tc>
        <w:tc>
          <w:tcPr>
            <w:tcW w:w="2020" w:type="dxa"/>
            <w:shd w:val="clear" w:color="auto" w:fill="auto"/>
            <w:vAlign w:val="center"/>
          </w:tcPr>
          <w:p>
            <w:pPr>
              <w:spacing w:line="380" w:lineRule="exact"/>
              <w:jc w:val="left"/>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lang w:eastAsia="zh-CN"/>
              </w:rPr>
              <w:t>瓜里河</w:t>
            </w:r>
            <w:r>
              <w:rPr>
                <w:rFonts w:ascii="Times New Roman" w:hAnsi="Times New Roman" w:eastAsia="仿宋" w:cs="Times New Roman"/>
                <w:color w:val="auto"/>
                <w:sz w:val="18"/>
                <w:szCs w:val="18"/>
              </w:rPr>
              <w:t>保留段</w:t>
            </w:r>
          </w:p>
        </w:tc>
        <w:tc>
          <w:tcPr>
            <w:tcW w:w="921"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24.5</w:t>
            </w:r>
          </w:p>
        </w:tc>
        <w:tc>
          <w:tcPr>
            <w:tcW w:w="998"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0.3</w:t>
            </w:r>
          </w:p>
        </w:tc>
        <w:tc>
          <w:tcPr>
            <w:tcW w:w="990"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33.0</w:t>
            </w:r>
          </w:p>
        </w:tc>
        <w:tc>
          <w:tcPr>
            <w:tcW w:w="972"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0.7</w:t>
            </w:r>
          </w:p>
        </w:tc>
        <w:tc>
          <w:tcPr>
            <w:tcW w:w="1209" w:type="dxa"/>
            <w:shd w:val="clear" w:color="auto" w:fill="auto"/>
            <w:vAlign w:val="center"/>
          </w:tcPr>
          <w:p>
            <w:pPr>
              <w:widowControl/>
              <w:jc w:val="center"/>
              <w:textAlignment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30.5</w:t>
            </w:r>
          </w:p>
        </w:tc>
        <w:tc>
          <w:tcPr>
            <w:tcW w:w="1112" w:type="dxa"/>
            <w:vMerge w:val="continue"/>
            <w:shd w:val="clear" w:color="auto" w:fill="auto"/>
            <w:vAlign w:val="center"/>
          </w:tcPr>
          <w:p>
            <w:pPr>
              <w:spacing w:line="380" w:lineRule="exact"/>
              <w:jc w:val="center"/>
              <w:rPr>
                <w:rFonts w:ascii="Times New Roman" w:hAnsi="Times New Roman" w:eastAsia="仿宋"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18</w:t>
            </w:r>
          </w:p>
        </w:tc>
        <w:tc>
          <w:tcPr>
            <w:tcW w:w="594" w:type="dxa"/>
            <w:vMerge w:val="continue"/>
            <w:shd w:val="clear" w:color="auto" w:fill="auto"/>
            <w:vAlign w:val="center"/>
          </w:tcPr>
          <w:p>
            <w:pPr>
              <w:spacing w:line="380" w:lineRule="exact"/>
              <w:jc w:val="center"/>
              <w:rPr>
                <w:rFonts w:ascii="Times New Roman" w:hAnsi="Times New Roman" w:eastAsia="仿宋" w:cs="Times New Roman"/>
                <w:color w:val="auto"/>
                <w:sz w:val="18"/>
                <w:szCs w:val="18"/>
              </w:rPr>
            </w:pPr>
          </w:p>
        </w:tc>
        <w:tc>
          <w:tcPr>
            <w:tcW w:w="2020" w:type="dxa"/>
            <w:shd w:val="clear" w:color="auto" w:fill="auto"/>
            <w:vAlign w:val="center"/>
          </w:tcPr>
          <w:p>
            <w:pPr>
              <w:spacing w:line="380" w:lineRule="exact"/>
              <w:jc w:val="left"/>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lang w:eastAsia="zh-CN"/>
              </w:rPr>
              <w:t>瓜里河</w:t>
            </w:r>
            <w:r>
              <w:rPr>
                <w:rFonts w:hint="eastAsia" w:ascii="Times New Roman" w:hAnsi="Times New Roman" w:eastAsia="仿宋" w:cs="Times New Roman"/>
                <w:color w:val="auto"/>
                <w:sz w:val="18"/>
                <w:szCs w:val="18"/>
                <w:lang w:val="en-US" w:eastAsia="zh-CN"/>
              </w:rPr>
              <w:t>开发</w:t>
            </w:r>
            <w:r>
              <w:rPr>
                <w:rFonts w:ascii="Times New Roman" w:hAnsi="Times New Roman" w:eastAsia="仿宋" w:cs="Times New Roman"/>
                <w:color w:val="auto"/>
                <w:sz w:val="18"/>
                <w:szCs w:val="18"/>
              </w:rPr>
              <w:t>段</w:t>
            </w:r>
          </w:p>
        </w:tc>
        <w:tc>
          <w:tcPr>
            <w:tcW w:w="921"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24.5</w:t>
            </w:r>
          </w:p>
        </w:tc>
        <w:tc>
          <w:tcPr>
            <w:tcW w:w="998"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0.3</w:t>
            </w:r>
          </w:p>
        </w:tc>
        <w:tc>
          <w:tcPr>
            <w:tcW w:w="990"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33.0</w:t>
            </w:r>
          </w:p>
        </w:tc>
        <w:tc>
          <w:tcPr>
            <w:tcW w:w="972"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0.7</w:t>
            </w:r>
          </w:p>
        </w:tc>
        <w:tc>
          <w:tcPr>
            <w:tcW w:w="1209" w:type="dxa"/>
            <w:shd w:val="clear" w:color="auto" w:fill="auto"/>
            <w:vAlign w:val="center"/>
          </w:tcPr>
          <w:p>
            <w:pPr>
              <w:widowControl/>
              <w:jc w:val="center"/>
              <w:textAlignment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30.5</w:t>
            </w:r>
          </w:p>
        </w:tc>
        <w:tc>
          <w:tcPr>
            <w:tcW w:w="1112" w:type="dxa"/>
            <w:vMerge w:val="continue"/>
            <w:shd w:val="clear" w:color="auto" w:fill="auto"/>
            <w:vAlign w:val="center"/>
          </w:tcPr>
          <w:p>
            <w:pPr>
              <w:spacing w:line="380" w:lineRule="exact"/>
              <w:jc w:val="center"/>
              <w:rPr>
                <w:rFonts w:ascii="Times New Roman" w:hAnsi="Times New Roman" w:eastAsia="仿宋"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19</w:t>
            </w:r>
          </w:p>
        </w:tc>
        <w:tc>
          <w:tcPr>
            <w:tcW w:w="594" w:type="dxa"/>
            <w:vMerge w:val="restart"/>
            <w:shd w:val="clear" w:color="auto" w:fill="auto"/>
            <w:vAlign w:val="center"/>
          </w:tcPr>
          <w:p>
            <w:pPr>
              <w:spacing w:line="380" w:lineRule="exact"/>
              <w:jc w:val="center"/>
              <w:rPr>
                <w:rFonts w:hint="eastAsia" w:ascii="Times New Roman" w:hAnsi="Times New Roman" w:eastAsia="仿宋" w:cs="Times New Roman"/>
                <w:color w:val="auto"/>
                <w:sz w:val="18"/>
                <w:szCs w:val="18"/>
                <w:lang w:eastAsia="zh-CN"/>
              </w:rPr>
            </w:pPr>
            <w:r>
              <w:rPr>
                <w:rFonts w:hint="eastAsia" w:ascii="Times New Roman" w:hAnsi="Times New Roman" w:eastAsia="仿宋" w:cs="Times New Roman"/>
                <w:color w:val="auto"/>
                <w:sz w:val="18"/>
                <w:szCs w:val="18"/>
                <w:lang w:eastAsia="zh-CN"/>
              </w:rPr>
              <w:t>木厂水</w:t>
            </w:r>
          </w:p>
        </w:tc>
        <w:tc>
          <w:tcPr>
            <w:tcW w:w="2020" w:type="dxa"/>
            <w:shd w:val="clear" w:color="auto" w:fill="auto"/>
            <w:vAlign w:val="center"/>
          </w:tcPr>
          <w:p>
            <w:pPr>
              <w:spacing w:line="380" w:lineRule="exact"/>
              <w:jc w:val="left"/>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lang w:eastAsia="zh-CN"/>
              </w:rPr>
              <w:t>木厂水</w:t>
            </w:r>
            <w:r>
              <w:rPr>
                <w:rFonts w:hint="eastAsia" w:ascii="Times New Roman" w:hAnsi="Times New Roman" w:eastAsia="仿宋" w:cs="Times New Roman"/>
                <w:color w:val="auto"/>
                <w:sz w:val="18"/>
                <w:szCs w:val="18"/>
                <w:lang w:val="en-US" w:eastAsia="zh-CN"/>
              </w:rPr>
              <w:t>保留</w:t>
            </w:r>
            <w:r>
              <w:rPr>
                <w:rFonts w:ascii="Times New Roman" w:hAnsi="Times New Roman" w:eastAsia="仿宋" w:cs="Times New Roman"/>
                <w:color w:val="auto"/>
                <w:sz w:val="18"/>
                <w:szCs w:val="18"/>
              </w:rPr>
              <w:t>段</w:t>
            </w:r>
          </w:p>
        </w:tc>
        <w:tc>
          <w:tcPr>
            <w:tcW w:w="921"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29.3</w:t>
            </w:r>
          </w:p>
        </w:tc>
        <w:tc>
          <w:tcPr>
            <w:tcW w:w="998"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0.3</w:t>
            </w:r>
          </w:p>
        </w:tc>
        <w:tc>
          <w:tcPr>
            <w:tcW w:w="990"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29.9</w:t>
            </w:r>
          </w:p>
        </w:tc>
        <w:tc>
          <w:tcPr>
            <w:tcW w:w="972"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0.7</w:t>
            </w:r>
          </w:p>
        </w:tc>
        <w:tc>
          <w:tcPr>
            <w:tcW w:w="1209" w:type="dxa"/>
            <w:shd w:val="clear" w:color="auto" w:fill="auto"/>
            <w:vAlign w:val="center"/>
          </w:tcPr>
          <w:p>
            <w:pPr>
              <w:widowControl/>
              <w:jc w:val="center"/>
              <w:textAlignment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29.7</w:t>
            </w:r>
          </w:p>
        </w:tc>
        <w:tc>
          <w:tcPr>
            <w:tcW w:w="1112" w:type="dxa"/>
            <w:vMerge w:val="restart"/>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2</w:t>
            </w:r>
            <w:r>
              <w:rPr>
                <w:rFonts w:hint="eastAsia" w:ascii="Times New Roman" w:hAnsi="Times New Roman" w:eastAsia="仿宋" w:cs="Times New Roman"/>
                <w:color w:val="auto"/>
                <w:sz w:val="18"/>
                <w:szCs w:val="18"/>
              </w:rPr>
              <w:t>9</w:t>
            </w:r>
            <w:r>
              <w:rPr>
                <w:rFonts w:ascii="Times New Roman" w:hAnsi="Times New Roman" w:eastAsia="仿宋" w:cs="Times New Roman"/>
                <w:color w:val="auto"/>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20</w:t>
            </w:r>
          </w:p>
        </w:tc>
        <w:tc>
          <w:tcPr>
            <w:tcW w:w="594" w:type="dxa"/>
            <w:vMerge w:val="continue"/>
            <w:shd w:val="clear" w:color="auto" w:fill="auto"/>
            <w:vAlign w:val="center"/>
          </w:tcPr>
          <w:p>
            <w:pPr>
              <w:spacing w:line="380" w:lineRule="exact"/>
              <w:jc w:val="center"/>
              <w:rPr>
                <w:rFonts w:ascii="Times New Roman" w:hAnsi="Times New Roman" w:eastAsia="仿宋" w:cs="Times New Roman"/>
                <w:color w:val="auto"/>
                <w:sz w:val="18"/>
                <w:szCs w:val="18"/>
              </w:rPr>
            </w:pPr>
          </w:p>
        </w:tc>
        <w:tc>
          <w:tcPr>
            <w:tcW w:w="2020" w:type="dxa"/>
            <w:shd w:val="clear" w:color="auto" w:fill="auto"/>
            <w:vAlign w:val="center"/>
          </w:tcPr>
          <w:p>
            <w:pPr>
              <w:spacing w:line="380" w:lineRule="exact"/>
              <w:jc w:val="left"/>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lang w:eastAsia="zh-CN"/>
              </w:rPr>
              <w:t>木厂水</w:t>
            </w:r>
            <w:r>
              <w:rPr>
                <w:rFonts w:hint="eastAsia" w:ascii="Times New Roman" w:hAnsi="Times New Roman" w:eastAsia="仿宋" w:cs="Times New Roman"/>
                <w:color w:val="auto"/>
                <w:sz w:val="18"/>
                <w:szCs w:val="18"/>
                <w:lang w:val="en-US" w:eastAsia="zh-CN"/>
              </w:rPr>
              <w:t>开发</w:t>
            </w:r>
            <w:r>
              <w:rPr>
                <w:rFonts w:ascii="Times New Roman" w:hAnsi="Times New Roman" w:eastAsia="仿宋" w:cs="Times New Roman"/>
                <w:color w:val="auto"/>
                <w:sz w:val="18"/>
                <w:szCs w:val="18"/>
              </w:rPr>
              <w:t>段</w:t>
            </w:r>
          </w:p>
        </w:tc>
        <w:tc>
          <w:tcPr>
            <w:tcW w:w="921"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29.3</w:t>
            </w:r>
          </w:p>
        </w:tc>
        <w:tc>
          <w:tcPr>
            <w:tcW w:w="998"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0.3</w:t>
            </w:r>
          </w:p>
        </w:tc>
        <w:tc>
          <w:tcPr>
            <w:tcW w:w="990" w:type="dxa"/>
            <w:shd w:val="clear" w:color="auto" w:fill="auto"/>
            <w:vAlign w:val="center"/>
          </w:tcPr>
          <w:p>
            <w:pPr>
              <w:widowControl/>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29.9</w:t>
            </w:r>
          </w:p>
        </w:tc>
        <w:tc>
          <w:tcPr>
            <w:tcW w:w="972" w:type="dxa"/>
            <w:shd w:val="clear" w:color="auto" w:fill="auto"/>
            <w:vAlign w:val="center"/>
          </w:tcPr>
          <w:p>
            <w:pPr>
              <w:spacing w:line="380" w:lineRule="exact"/>
              <w:jc w:val="center"/>
              <w:rPr>
                <w:rFonts w:ascii="Times New Roman" w:hAnsi="Times New Roman" w:eastAsia="仿宋" w:cs="Times New Roman"/>
                <w:color w:val="auto"/>
                <w:sz w:val="18"/>
                <w:szCs w:val="18"/>
              </w:rPr>
            </w:pPr>
            <w:r>
              <w:rPr>
                <w:rFonts w:ascii="Times New Roman" w:hAnsi="Times New Roman" w:eastAsia="仿宋" w:cs="Times New Roman"/>
                <w:color w:val="auto"/>
                <w:sz w:val="18"/>
                <w:szCs w:val="18"/>
              </w:rPr>
              <w:t>0.7</w:t>
            </w:r>
          </w:p>
        </w:tc>
        <w:tc>
          <w:tcPr>
            <w:tcW w:w="1209" w:type="dxa"/>
            <w:shd w:val="clear" w:color="auto" w:fill="auto"/>
            <w:vAlign w:val="center"/>
          </w:tcPr>
          <w:p>
            <w:pPr>
              <w:widowControl/>
              <w:jc w:val="center"/>
              <w:textAlignment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29.7</w:t>
            </w:r>
          </w:p>
        </w:tc>
        <w:tc>
          <w:tcPr>
            <w:tcW w:w="1112" w:type="dxa"/>
            <w:vMerge w:val="continue"/>
            <w:shd w:val="clear" w:color="auto" w:fill="auto"/>
            <w:vAlign w:val="center"/>
          </w:tcPr>
          <w:p>
            <w:pPr>
              <w:spacing w:line="380" w:lineRule="exact"/>
              <w:jc w:val="center"/>
              <w:rPr>
                <w:rFonts w:ascii="Times New Roman" w:hAnsi="Times New Roman" w:eastAsia="仿宋" w:cs="Times New Roman"/>
                <w:color w:val="auto"/>
                <w:sz w:val="18"/>
                <w:szCs w:val="18"/>
              </w:rPr>
            </w:pPr>
          </w:p>
        </w:tc>
      </w:tr>
    </w:tbl>
    <w:p>
      <w:pPr>
        <w:rPr>
          <w:color w:val="auto"/>
        </w:rPr>
      </w:pPr>
    </w:p>
    <w:p>
      <w:pPr>
        <w:rPr>
          <w:color w:val="auto"/>
        </w:rPr>
      </w:pPr>
    </w:p>
    <w:p>
      <w:pPr>
        <w:autoSpaceDE w:val="0"/>
        <w:autoSpaceDN w:val="0"/>
        <w:adjustRightInd w:val="0"/>
        <w:spacing w:line="560" w:lineRule="exact"/>
        <w:jc w:val="left"/>
        <w:outlineLvl w:val="2"/>
        <w:rPr>
          <w:rFonts w:ascii="Times New Roman" w:hAnsi="Times New Roman" w:eastAsia="宋体" w:cs="Times New Roman"/>
          <w:color w:val="auto"/>
          <w:kern w:val="0"/>
          <w:sz w:val="28"/>
          <w:szCs w:val="28"/>
        </w:rPr>
      </w:pPr>
      <w:r>
        <w:rPr>
          <w:rFonts w:ascii="Times New Roman" w:hAnsi="Times New Roman" w:eastAsia="仿宋" w:cs="Times New Roman"/>
          <w:color w:val="auto"/>
          <w:kern w:val="0"/>
          <w:sz w:val="28"/>
          <w:szCs w:val="28"/>
        </w:rPr>
        <w:t>5.1.2 物理结构评估</w:t>
      </w:r>
      <w:r>
        <w:rPr>
          <w:rFonts w:ascii="Times New Roman" w:hAnsi="Times New Roman" w:eastAsia="宋体" w:cs="Times New Roman"/>
          <w:color w:val="auto"/>
          <w:kern w:val="0"/>
          <w:sz w:val="28"/>
          <w:szCs w:val="28"/>
        </w:rPr>
        <w:t xml:space="preserve"> </w:t>
      </w:r>
    </w:p>
    <w:p>
      <w:pPr>
        <w:autoSpaceDE w:val="0"/>
        <w:autoSpaceDN w:val="0"/>
        <w:adjustRightInd w:val="0"/>
        <w:spacing w:line="560" w:lineRule="exact"/>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（1） 河岸带状况评估（RS） </w:t>
      </w:r>
    </w:p>
    <w:p>
      <w:pPr>
        <w:autoSpaceDE w:val="0"/>
        <w:autoSpaceDN w:val="0"/>
        <w:adjustRightInd w:val="0"/>
        <w:spacing w:line="560" w:lineRule="exact"/>
        <w:ind w:firstLine="560" w:firstLineChars="200"/>
        <w:rPr>
          <w:rFonts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河岸带状况评估现场查勘了57个调查点，并填写了</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 xml:space="preserve">各评价功能区的河岸带调查表。 </w:t>
      </w:r>
    </w:p>
    <w:p>
      <w:pPr>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根据</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各评价水功能区的河岸带调查表中的数据，参照3.6.1节中河岸带状况的计算方法，分为三个部分进行统计分析，分别为河岸稳定性、河岸植被覆盖度和河岸人工干扰度。由以上三个部分得分再根据各自权重得出</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各评价河段的河岸带状况RSr分数，如表5.1.2-1所示。</w:t>
      </w:r>
    </w:p>
    <w:p>
      <w:pPr>
        <w:ind w:firstLine="560" w:firstLineChars="200"/>
        <w:rPr>
          <w:rFonts w:ascii="Times New Roman" w:hAnsi="Times New Roman" w:eastAsia="仿宋" w:cs="Times New Roman"/>
          <w:color w:val="auto"/>
          <w:kern w:val="0"/>
          <w:sz w:val="28"/>
          <w:szCs w:val="28"/>
        </w:rPr>
      </w:pPr>
    </w:p>
    <w:p>
      <w:pPr>
        <w:ind w:firstLine="560" w:firstLineChars="200"/>
        <w:rPr>
          <w:rFonts w:ascii="Times New Roman" w:hAnsi="Times New Roman" w:eastAsia="仿宋" w:cs="Times New Roman"/>
          <w:color w:val="auto"/>
          <w:kern w:val="0"/>
          <w:sz w:val="28"/>
          <w:szCs w:val="28"/>
        </w:rPr>
      </w:pPr>
    </w:p>
    <w:p>
      <w:pPr>
        <w:ind w:firstLine="560" w:firstLineChars="200"/>
        <w:rPr>
          <w:rFonts w:ascii="Times New Roman" w:hAnsi="Times New Roman" w:eastAsia="仿宋" w:cs="Times New Roman"/>
          <w:color w:val="auto"/>
          <w:kern w:val="0"/>
          <w:sz w:val="28"/>
          <w:szCs w:val="28"/>
        </w:rPr>
      </w:pPr>
    </w:p>
    <w:p>
      <w:pPr>
        <w:ind w:firstLine="560" w:firstLineChars="200"/>
        <w:rPr>
          <w:rFonts w:ascii="Times New Roman" w:hAnsi="Times New Roman" w:eastAsia="仿宋" w:cs="Times New Roman"/>
          <w:color w:val="auto"/>
          <w:kern w:val="0"/>
          <w:sz w:val="28"/>
          <w:szCs w:val="28"/>
        </w:rPr>
      </w:pPr>
    </w:p>
    <w:p>
      <w:pPr>
        <w:ind w:firstLine="560" w:firstLineChars="200"/>
        <w:rPr>
          <w:rFonts w:ascii="Times New Roman" w:hAnsi="Times New Roman" w:eastAsia="仿宋" w:cs="Times New Roman"/>
          <w:color w:val="auto"/>
          <w:kern w:val="0"/>
          <w:sz w:val="28"/>
          <w:szCs w:val="28"/>
        </w:rPr>
      </w:pPr>
    </w:p>
    <w:p>
      <w:pPr>
        <w:ind w:firstLine="560" w:firstLineChars="200"/>
        <w:rPr>
          <w:rFonts w:ascii="Times New Roman" w:hAnsi="Times New Roman" w:eastAsia="仿宋" w:cs="Times New Roman"/>
          <w:color w:val="auto"/>
          <w:kern w:val="0"/>
          <w:sz w:val="28"/>
          <w:szCs w:val="28"/>
        </w:rPr>
      </w:pPr>
    </w:p>
    <w:p>
      <w:pPr>
        <w:ind w:firstLine="560" w:firstLineChars="200"/>
        <w:rPr>
          <w:rFonts w:ascii="Times New Roman" w:hAnsi="Times New Roman" w:eastAsia="仿宋" w:cs="Times New Roman"/>
          <w:color w:val="auto"/>
          <w:kern w:val="0"/>
          <w:sz w:val="28"/>
          <w:szCs w:val="28"/>
        </w:rPr>
      </w:pPr>
    </w:p>
    <w:p>
      <w:pPr>
        <w:ind w:firstLine="560" w:firstLineChars="200"/>
        <w:rPr>
          <w:rFonts w:ascii="Times New Roman" w:hAnsi="Times New Roman" w:eastAsia="仿宋" w:cs="Times New Roman"/>
          <w:color w:val="auto"/>
          <w:kern w:val="0"/>
          <w:sz w:val="28"/>
          <w:szCs w:val="28"/>
        </w:rPr>
        <w:sectPr>
          <w:headerReference r:id="rId11" w:type="default"/>
          <w:pgSz w:w="11906" w:h="16838"/>
          <w:pgMar w:top="1361" w:right="1361" w:bottom="1474" w:left="1418" w:header="1021" w:footer="964" w:gutter="0"/>
          <w:cols w:space="425" w:num="1"/>
          <w:docGrid w:linePitch="312" w:charSpace="0"/>
        </w:sectPr>
      </w:pPr>
    </w:p>
    <w:p>
      <w:pPr>
        <w:ind w:firstLine="562" w:firstLineChars="200"/>
        <w:jc w:val="center"/>
        <w:rPr>
          <w:rFonts w:ascii="Times New Roman" w:hAnsi="Times New Roman" w:eastAsia="仿宋" w:cs="Times New Roman"/>
          <w:b/>
          <w:color w:val="auto"/>
        </w:rPr>
      </w:pPr>
      <w:r>
        <w:rPr>
          <w:rFonts w:ascii="Times New Roman" w:hAnsi="Times New Roman" w:eastAsia="仿宋" w:cs="Times New Roman"/>
          <w:b/>
          <w:color w:val="auto"/>
          <w:sz w:val="28"/>
          <w:szCs w:val="28"/>
        </w:rPr>
        <w:t xml:space="preserve">表5.1.2-1                 </w:t>
      </w:r>
      <w:r>
        <w:rPr>
          <w:rFonts w:hint="eastAsia" w:ascii="Times New Roman" w:hAnsi="Times New Roman" w:eastAsia="仿宋" w:cs="Times New Roman"/>
          <w:b/>
          <w:color w:val="auto"/>
          <w:sz w:val="28"/>
          <w:szCs w:val="28"/>
          <w:lang w:eastAsia="zh-CN"/>
        </w:rPr>
        <w:t>资江流域</w:t>
      </w:r>
      <w:r>
        <w:rPr>
          <w:rFonts w:ascii="Times New Roman" w:hAnsi="Times New Roman" w:eastAsia="仿宋" w:cs="Times New Roman"/>
          <w:b/>
          <w:color w:val="auto"/>
          <w:sz w:val="28"/>
          <w:szCs w:val="28"/>
        </w:rPr>
        <w:t>各评估河段河岸带状况评估分数表</w:t>
      </w:r>
    </w:p>
    <w:tbl>
      <w:tblPr>
        <w:tblStyle w:val="15"/>
        <w:tblW w:w="14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1467"/>
        <w:gridCol w:w="1388"/>
        <w:gridCol w:w="850"/>
        <w:gridCol w:w="850"/>
        <w:gridCol w:w="1135"/>
        <w:gridCol w:w="850"/>
        <w:gridCol w:w="998"/>
        <w:gridCol w:w="1263"/>
        <w:gridCol w:w="998"/>
        <w:gridCol w:w="995"/>
        <w:gridCol w:w="992"/>
        <w:gridCol w:w="1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27" w:type="dxa"/>
            <w:vMerge w:val="restart"/>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序号</w:t>
            </w:r>
          </w:p>
        </w:tc>
        <w:tc>
          <w:tcPr>
            <w:tcW w:w="1467" w:type="dxa"/>
            <w:vMerge w:val="restart"/>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评估河段</w:t>
            </w:r>
          </w:p>
        </w:tc>
        <w:tc>
          <w:tcPr>
            <w:tcW w:w="1388" w:type="dxa"/>
            <w:vMerge w:val="restart"/>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调查点名称</w:t>
            </w:r>
          </w:p>
        </w:tc>
        <w:tc>
          <w:tcPr>
            <w:tcW w:w="2835" w:type="dxa"/>
            <w:gridSpan w:val="3"/>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岸坡稳定性指标分数（BKSr）</w:t>
            </w:r>
          </w:p>
        </w:tc>
        <w:tc>
          <w:tcPr>
            <w:tcW w:w="3111" w:type="dxa"/>
            <w:gridSpan w:val="3"/>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河岸带植被覆盖度分数（RVSr）</w:t>
            </w:r>
          </w:p>
        </w:tc>
        <w:tc>
          <w:tcPr>
            <w:tcW w:w="2985" w:type="dxa"/>
            <w:gridSpan w:val="3"/>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河岸带人工干扰程度（RDr）</w:t>
            </w:r>
          </w:p>
        </w:tc>
        <w:tc>
          <w:tcPr>
            <w:tcW w:w="1806" w:type="dxa"/>
            <w:vMerge w:val="restart"/>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河岸带状况分数</w:t>
            </w:r>
          </w:p>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（RSr）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27" w:type="dxa"/>
            <w:vMerge w:val="continue"/>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1"/>
                <w:szCs w:val="21"/>
              </w:rPr>
            </w:pPr>
          </w:p>
        </w:tc>
        <w:tc>
          <w:tcPr>
            <w:tcW w:w="1467" w:type="dxa"/>
            <w:vMerge w:val="continue"/>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1"/>
                <w:szCs w:val="21"/>
              </w:rPr>
            </w:pPr>
          </w:p>
        </w:tc>
        <w:tc>
          <w:tcPr>
            <w:tcW w:w="1388" w:type="dxa"/>
            <w:vMerge w:val="continue"/>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1"/>
                <w:szCs w:val="21"/>
              </w:rPr>
            </w:pPr>
          </w:p>
        </w:tc>
        <w:tc>
          <w:tcPr>
            <w:tcW w:w="850" w:type="dxa"/>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左岸</w:t>
            </w:r>
          </w:p>
        </w:tc>
        <w:tc>
          <w:tcPr>
            <w:tcW w:w="850" w:type="dxa"/>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右岸</w:t>
            </w:r>
          </w:p>
        </w:tc>
        <w:tc>
          <w:tcPr>
            <w:tcW w:w="1135" w:type="dxa"/>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平均值</w:t>
            </w:r>
          </w:p>
        </w:tc>
        <w:tc>
          <w:tcPr>
            <w:tcW w:w="850" w:type="dxa"/>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左岸</w:t>
            </w:r>
          </w:p>
        </w:tc>
        <w:tc>
          <w:tcPr>
            <w:tcW w:w="998" w:type="dxa"/>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右岸</w:t>
            </w:r>
          </w:p>
        </w:tc>
        <w:tc>
          <w:tcPr>
            <w:tcW w:w="1263" w:type="dxa"/>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平均值</w:t>
            </w:r>
          </w:p>
        </w:tc>
        <w:tc>
          <w:tcPr>
            <w:tcW w:w="998" w:type="dxa"/>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左岸</w:t>
            </w:r>
          </w:p>
        </w:tc>
        <w:tc>
          <w:tcPr>
            <w:tcW w:w="995" w:type="dxa"/>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右岸</w:t>
            </w:r>
          </w:p>
        </w:tc>
        <w:tc>
          <w:tcPr>
            <w:tcW w:w="992" w:type="dxa"/>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平均值</w:t>
            </w:r>
          </w:p>
        </w:tc>
        <w:tc>
          <w:tcPr>
            <w:tcW w:w="1806"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w:t>
            </w:r>
          </w:p>
        </w:tc>
        <w:tc>
          <w:tcPr>
            <w:tcW w:w="1467"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ascii="Times New Roman" w:hAnsi="Times New Roman" w:eastAsia="仿宋" w:cs="Times New Roman"/>
                <w:color w:val="auto"/>
                <w:sz w:val="21"/>
                <w:szCs w:val="21"/>
              </w:rPr>
              <w:t>保护段</w:t>
            </w:r>
          </w:p>
        </w:tc>
        <w:tc>
          <w:tcPr>
            <w:tcW w:w="1388" w:type="dxa"/>
            <w:shd w:val="clear" w:color="auto" w:fill="auto"/>
            <w:vAlign w:val="center"/>
          </w:tcPr>
          <w:p>
            <w:pPr>
              <w:spacing w:line="360" w:lineRule="exact"/>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枫木</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71.0</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45.0</w:t>
            </w:r>
          </w:p>
        </w:tc>
        <w:tc>
          <w:tcPr>
            <w:tcW w:w="113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58.0</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47.1</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36.7</w:t>
            </w:r>
          </w:p>
        </w:tc>
        <w:tc>
          <w:tcPr>
            <w:tcW w:w="126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41.9</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95.0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85.0</w:t>
            </w:r>
          </w:p>
        </w:tc>
        <w:tc>
          <w:tcPr>
            <w:tcW w:w="992"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90.0</w:t>
            </w:r>
          </w:p>
        </w:tc>
        <w:tc>
          <w:tcPr>
            <w:tcW w:w="1806"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w:t>
            </w:r>
          </w:p>
        </w:tc>
        <w:tc>
          <w:tcPr>
            <w:tcW w:w="1467"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hint="eastAsia" w:ascii="Times New Roman" w:hAnsi="Times New Roman" w:eastAsia="仿宋" w:cs="Times New Roman"/>
                <w:color w:val="auto"/>
                <w:sz w:val="21"/>
                <w:szCs w:val="21"/>
                <w:lang w:val="en-US" w:eastAsia="zh-CN"/>
              </w:rPr>
              <w:t>中锋</w:t>
            </w:r>
            <w:r>
              <w:rPr>
                <w:rFonts w:ascii="Times New Roman" w:hAnsi="Times New Roman" w:eastAsia="仿宋" w:cs="Times New Roman"/>
                <w:color w:val="auto"/>
                <w:sz w:val="21"/>
                <w:szCs w:val="21"/>
              </w:rPr>
              <w:t>段</w:t>
            </w: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中锋</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67.7</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74.0</w:t>
            </w:r>
          </w:p>
        </w:tc>
        <w:tc>
          <w:tcPr>
            <w:tcW w:w="113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70.8</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45.0</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45.0</w:t>
            </w:r>
          </w:p>
        </w:tc>
        <w:tc>
          <w:tcPr>
            <w:tcW w:w="126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45.0</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95.0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95.0</w:t>
            </w:r>
          </w:p>
        </w:tc>
        <w:tc>
          <w:tcPr>
            <w:tcW w:w="992"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95.0</w:t>
            </w:r>
          </w:p>
        </w:tc>
        <w:tc>
          <w:tcPr>
            <w:tcW w:w="1806"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w:t>
            </w:r>
          </w:p>
        </w:tc>
        <w:tc>
          <w:tcPr>
            <w:tcW w:w="1467" w:type="dxa"/>
            <w:shd w:val="clear" w:color="auto" w:fill="auto"/>
            <w:vAlign w:val="center"/>
          </w:tcPr>
          <w:p>
            <w:pPr>
              <w:spacing w:line="360" w:lineRule="exact"/>
              <w:jc w:val="center"/>
              <w:rPr>
                <w:rFonts w:hint="default" w:ascii="Times New Roman" w:hAnsi="Times New Roman" w:eastAsia="仿宋" w:cs="Times New Roman"/>
                <w:color w:val="auto"/>
                <w:sz w:val="21"/>
                <w:szCs w:val="21"/>
                <w:lang w:val="en-US"/>
              </w:rPr>
            </w:pPr>
            <w:r>
              <w:rPr>
                <w:rFonts w:hint="eastAsia" w:ascii="Times New Roman" w:hAnsi="Times New Roman" w:eastAsia="仿宋" w:cs="Times New Roman"/>
                <w:color w:val="auto"/>
                <w:sz w:val="21"/>
                <w:szCs w:val="21"/>
                <w:lang w:eastAsia="zh-CN"/>
              </w:rPr>
              <w:t>资江</w:t>
            </w:r>
            <w:r>
              <w:rPr>
                <w:rFonts w:hint="eastAsia" w:ascii="Times New Roman" w:hAnsi="Times New Roman" w:eastAsia="仿宋" w:cs="Times New Roman"/>
                <w:color w:val="auto"/>
                <w:sz w:val="21"/>
                <w:szCs w:val="21"/>
                <w:lang w:val="en-US" w:eastAsia="zh-CN"/>
              </w:rPr>
              <w:t>中锋段</w:t>
            </w: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产子坪</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51.0</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51.7</w:t>
            </w:r>
          </w:p>
        </w:tc>
        <w:tc>
          <w:tcPr>
            <w:tcW w:w="113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51.3</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40.5</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33.3</w:t>
            </w:r>
          </w:p>
        </w:tc>
        <w:tc>
          <w:tcPr>
            <w:tcW w:w="126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36.9</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60.0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0.0</w:t>
            </w:r>
          </w:p>
        </w:tc>
        <w:tc>
          <w:tcPr>
            <w:tcW w:w="992"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30.0</w:t>
            </w:r>
          </w:p>
        </w:tc>
        <w:tc>
          <w:tcPr>
            <w:tcW w:w="1806"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w:t>
            </w:r>
          </w:p>
        </w:tc>
        <w:tc>
          <w:tcPr>
            <w:tcW w:w="1467"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hint="eastAsia" w:ascii="Times New Roman" w:hAnsi="Times New Roman" w:eastAsia="仿宋" w:cs="Times New Roman"/>
                <w:color w:val="auto"/>
                <w:sz w:val="21"/>
                <w:szCs w:val="21"/>
                <w:lang w:val="en-US" w:eastAsia="zh-CN"/>
              </w:rPr>
              <w:t>县城</w:t>
            </w:r>
            <w:r>
              <w:rPr>
                <w:rFonts w:ascii="Times New Roman" w:hAnsi="Times New Roman" w:eastAsia="仿宋" w:cs="Times New Roman"/>
                <w:color w:val="auto"/>
                <w:sz w:val="21"/>
                <w:szCs w:val="21"/>
              </w:rPr>
              <w:t>段</w:t>
            </w: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县城电站</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69.7</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51.0</w:t>
            </w:r>
          </w:p>
        </w:tc>
        <w:tc>
          <w:tcPr>
            <w:tcW w:w="1135"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49.9</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35.0</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23.3</w:t>
            </w:r>
          </w:p>
        </w:tc>
        <w:tc>
          <w:tcPr>
            <w:tcW w:w="1263"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33.2</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75.0</w:t>
            </w:r>
          </w:p>
        </w:tc>
        <w:tc>
          <w:tcPr>
            <w:tcW w:w="992"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83.1</w:t>
            </w:r>
          </w:p>
        </w:tc>
        <w:tc>
          <w:tcPr>
            <w:tcW w:w="1806"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467"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风雨桥</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58.0</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40.4</w:t>
            </w:r>
          </w:p>
        </w:tc>
        <w:tc>
          <w:tcPr>
            <w:tcW w:w="1135"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31.7</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31.7</w:t>
            </w:r>
          </w:p>
        </w:tc>
        <w:tc>
          <w:tcPr>
            <w:tcW w:w="1263"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85.0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75.0</w:t>
            </w:r>
          </w:p>
        </w:tc>
        <w:tc>
          <w:tcPr>
            <w:tcW w:w="992"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806"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467"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资江二桥</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43.3</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43.0</w:t>
            </w:r>
          </w:p>
        </w:tc>
        <w:tc>
          <w:tcPr>
            <w:tcW w:w="1135"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30.0</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30.0</w:t>
            </w:r>
          </w:p>
        </w:tc>
        <w:tc>
          <w:tcPr>
            <w:tcW w:w="1263"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80.0</w:t>
            </w:r>
          </w:p>
        </w:tc>
        <w:tc>
          <w:tcPr>
            <w:tcW w:w="992"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806"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467"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沈滩</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53.0</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41.0</w:t>
            </w:r>
          </w:p>
        </w:tc>
        <w:tc>
          <w:tcPr>
            <w:tcW w:w="1135"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30.0</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54.3</w:t>
            </w:r>
          </w:p>
        </w:tc>
        <w:tc>
          <w:tcPr>
            <w:tcW w:w="1263"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80.0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95.0</w:t>
            </w:r>
          </w:p>
        </w:tc>
        <w:tc>
          <w:tcPr>
            <w:tcW w:w="992"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806"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627"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467"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捉口</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36.0</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49.2</w:t>
            </w:r>
          </w:p>
        </w:tc>
        <w:tc>
          <w:tcPr>
            <w:tcW w:w="1135"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51.0</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53.8</w:t>
            </w:r>
          </w:p>
        </w:tc>
        <w:tc>
          <w:tcPr>
            <w:tcW w:w="1263"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85.0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85.0</w:t>
            </w:r>
          </w:p>
        </w:tc>
        <w:tc>
          <w:tcPr>
            <w:tcW w:w="992"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806"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627" w:type="dxa"/>
            <w:shd w:val="clear" w:color="auto" w:fill="auto"/>
            <w:vAlign w:val="center"/>
          </w:tcPr>
          <w:p>
            <w:pPr>
              <w:spacing w:line="36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rPr>
              <w:t>5</w:t>
            </w:r>
          </w:p>
        </w:tc>
        <w:tc>
          <w:tcPr>
            <w:tcW w:w="1467" w:type="dxa"/>
            <w:shd w:val="clear" w:color="auto" w:fill="auto"/>
            <w:vAlign w:val="center"/>
          </w:tcPr>
          <w:p>
            <w:pPr>
              <w:spacing w:line="360" w:lineRule="exact"/>
              <w:jc w:val="center"/>
              <w:rPr>
                <w:rFonts w:ascii="Times New Roman" w:hAnsi="Times New Roman" w:eastAsia="仿宋" w:cs="Times New Roman"/>
                <w:color w:val="auto"/>
                <w:spacing w:val="-6"/>
                <w:sz w:val="21"/>
                <w:szCs w:val="21"/>
              </w:rPr>
            </w:pPr>
            <w:r>
              <w:rPr>
                <w:rFonts w:hint="eastAsia" w:ascii="Times New Roman" w:hAnsi="Times New Roman" w:eastAsia="仿宋" w:cs="Times New Roman"/>
                <w:color w:val="auto"/>
                <w:spacing w:val="-6"/>
                <w:sz w:val="21"/>
                <w:szCs w:val="21"/>
                <w:lang w:eastAsia="zh-CN"/>
              </w:rPr>
              <w:t>白竹洞河</w:t>
            </w:r>
            <w:r>
              <w:rPr>
                <w:rFonts w:ascii="Times New Roman" w:hAnsi="Times New Roman" w:eastAsia="仿宋" w:cs="Times New Roman"/>
                <w:color w:val="auto"/>
                <w:spacing w:val="-6"/>
                <w:sz w:val="21"/>
                <w:szCs w:val="21"/>
              </w:rPr>
              <w:t>保护段</w:t>
            </w: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两岔河</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54.0</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49.0</w:t>
            </w:r>
          </w:p>
        </w:tc>
        <w:tc>
          <w:tcPr>
            <w:tcW w:w="113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51.5</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53.3</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36.7</w:t>
            </w:r>
          </w:p>
        </w:tc>
        <w:tc>
          <w:tcPr>
            <w:tcW w:w="126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45.0</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80.0</w:t>
            </w:r>
          </w:p>
        </w:tc>
        <w:tc>
          <w:tcPr>
            <w:tcW w:w="992"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90.0</w:t>
            </w:r>
          </w:p>
        </w:tc>
        <w:tc>
          <w:tcPr>
            <w:tcW w:w="1806"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627" w:type="dxa"/>
            <w:shd w:val="clear" w:color="auto" w:fill="auto"/>
            <w:vAlign w:val="center"/>
          </w:tcPr>
          <w:p>
            <w:pPr>
              <w:spacing w:line="360" w:lineRule="exact"/>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6</w:t>
            </w:r>
          </w:p>
        </w:tc>
        <w:tc>
          <w:tcPr>
            <w:tcW w:w="1467" w:type="dxa"/>
            <w:shd w:val="clear" w:color="auto" w:fill="auto"/>
            <w:vAlign w:val="center"/>
          </w:tcPr>
          <w:p>
            <w:pPr>
              <w:spacing w:line="360" w:lineRule="exact"/>
              <w:jc w:val="center"/>
              <w:rPr>
                <w:rFonts w:ascii="Times New Roman" w:hAnsi="Times New Roman" w:eastAsia="仿宋" w:cs="Times New Roman"/>
                <w:color w:val="auto"/>
                <w:spacing w:val="-6"/>
                <w:sz w:val="21"/>
                <w:szCs w:val="21"/>
              </w:rPr>
            </w:pPr>
            <w:r>
              <w:rPr>
                <w:rFonts w:hint="eastAsia" w:ascii="Times New Roman" w:hAnsi="Times New Roman" w:eastAsia="仿宋" w:cs="Times New Roman"/>
                <w:color w:val="auto"/>
                <w:spacing w:val="-6"/>
                <w:sz w:val="21"/>
                <w:szCs w:val="21"/>
                <w:lang w:eastAsia="zh-CN"/>
              </w:rPr>
              <w:t>白竹洞河</w:t>
            </w:r>
            <w:r>
              <w:rPr>
                <w:rFonts w:ascii="Times New Roman" w:hAnsi="Times New Roman" w:eastAsia="仿宋" w:cs="Times New Roman"/>
                <w:color w:val="auto"/>
                <w:spacing w:val="-6"/>
                <w:sz w:val="21"/>
                <w:szCs w:val="21"/>
              </w:rPr>
              <w:t>保留段</w:t>
            </w: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龙虎</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29.5</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42.0</w:t>
            </w:r>
          </w:p>
        </w:tc>
        <w:tc>
          <w:tcPr>
            <w:tcW w:w="113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35.8</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33.3</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46.7</w:t>
            </w:r>
          </w:p>
        </w:tc>
        <w:tc>
          <w:tcPr>
            <w:tcW w:w="126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40.0</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85.0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90.0</w:t>
            </w:r>
          </w:p>
        </w:tc>
        <w:tc>
          <w:tcPr>
            <w:tcW w:w="992"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87.5</w:t>
            </w:r>
          </w:p>
        </w:tc>
        <w:tc>
          <w:tcPr>
            <w:tcW w:w="1806"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627" w:type="dxa"/>
            <w:vMerge w:val="restart"/>
            <w:shd w:val="clear" w:color="auto" w:fill="auto"/>
            <w:vAlign w:val="center"/>
          </w:tcPr>
          <w:p>
            <w:pPr>
              <w:spacing w:line="36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rPr>
              <w:t>7</w:t>
            </w:r>
          </w:p>
        </w:tc>
        <w:tc>
          <w:tcPr>
            <w:tcW w:w="1467"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白竹洞河开发段</w:t>
            </w: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嘉会</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52.5</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55.7</w:t>
            </w:r>
          </w:p>
        </w:tc>
        <w:tc>
          <w:tcPr>
            <w:tcW w:w="1135"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40.9</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33.3</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40.0</w:t>
            </w:r>
          </w:p>
        </w:tc>
        <w:tc>
          <w:tcPr>
            <w:tcW w:w="1263"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33.3</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75.0</w:t>
            </w:r>
          </w:p>
        </w:tc>
        <w:tc>
          <w:tcPr>
            <w:tcW w:w="992"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80.0</w:t>
            </w:r>
          </w:p>
        </w:tc>
        <w:tc>
          <w:tcPr>
            <w:tcW w:w="1806"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627"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467"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中镇</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47.0</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34.3</w:t>
            </w:r>
          </w:p>
        </w:tc>
        <w:tc>
          <w:tcPr>
            <w:tcW w:w="1135"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36.7</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43.3</w:t>
            </w:r>
          </w:p>
        </w:tc>
        <w:tc>
          <w:tcPr>
            <w:tcW w:w="1263"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85.0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100.0</w:t>
            </w:r>
          </w:p>
        </w:tc>
        <w:tc>
          <w:tcPr>
            <w:tcW w:w="992"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806"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627"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467"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沙桥</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45.0</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45.3</w:t>
            </w:r>
          </w:p>
        </w:tc>
        <w:tc>
          <w:tcPr>
            <w:tcW w:w="1135"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40.0</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40.0</w:t>
            </w:r>
          </w:p>
        </w:tc>
        <w:tc>
          <w:tcPr>
            <w:tcW w:w="1263"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90.0</w:t>
            </w:r>
          </w:p>
        </w:tc>
        <w:tc>
          <w:tcPr>
            <w:tcW w:w="992"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806"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627"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467"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口</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22.0</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25.3</w:t>
            </w:r>
          </w:p>
        </w:tc>
        <w:tc>
          <w:tcPr>
            <w:tcW w:w="1135"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16.7</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16.7</w:t>
            </w:r>
          </w:p>
        </w:tc>
        <w:tc>
          <w:tcPr>
            <w:tcW w:w="1263"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75.0</w:t>
            </w:r>
          </w:p>
        </w:tc>
        <w:tc>
          <w:tcPr>
            <w:tcW w:w="992"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806"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627" w:type="dxa"/>
            <w:shd w:val="clear" w:color="auto" w:fill="auto"/>
            <w:vAlign w:val="center"/>
          </w:tcPr>
          <w:p>
            <w:pPr>
              <w:spacing w:line="36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rPr>
              <w:t>8</w:t>
            </w:r>
          </w:p>
        </w:tc>
        <w:tc>
          <w:tcPr>
            <w:tcW w:w="1467" w:type="dxa"/>
            <w:shd w:val="clear" w:color="auto" w:fill="auto"/>
            <w:vAlign w:val="center"/>
          </w:tcPr>
          <w:p>
            <w:pPr>
              <w:spacing w:line="360" w:lineRule="exact"/>
              <w:jc w:val="center"/>
              <w:rPr>
                <w:rFonts w:ascii="Times New Roman" w:hAnsi="Times New Roman" w:eastAsia="仿宋" w:cs="Times New Roman"/>
                <w:color w:val="auto"/>
                <w:spacing w:val="-6"/>
                <w:sz w:val="21"/>
                <w:szCs w:val="21"/>
              </w:rPr>
            </w:pPr>
            <w:r>
              <w:rPr>
                <w:rFonts w:hint="eastAsia" w:ascii="Times New Roman" w:hAnsi="Times New Roman" w:eastAsia="仿宋" w:cs="Times New Roman"/>
                <w:color w:val="auto"/>
                <w:spacing w:val="-6"/>
                <w:sz w:val="21"/>
                <w:szCs w:val="21"/>
                <w:lang w:eastAsia="zh-CN"/>
              </w:rPr>
              <w:t>大湾河</w:t>
            </w:r>
            <w:r>
              <w:rPr>
                <w:rFonts w:ascii="Times New Roman" w:hAnsi="Times New Roman" w:eastAsia="仿宋" w:cs="Times New Roman"/>
                <w:color w:val="auto"/>
                <w:spacing w:val="-6"/>
                <w:sz w:val="21"/>
                <w:szCs w:val="21"/>
              </w:rPr>
              <w:t>保护段</w:t>
            </w: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金龙</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52.5</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46.0</w:t>
            </w:r>
          </w:p>
        </w:tc>
        <w:tc>
          <w:tcPr>
            <w:tcW w:w="113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49.3</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36.7</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33.3</w:t>
            </w:r>
          </w:p>
        </w:tc>
        <w:tc>
          <w:tcPr>
            <w:tcW w:w="126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35.0</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90.0</w:t>
            </w:r>
          </w:p>
        </w:tc>
        <w:tc>
          <w:tcPr>
            <w:tcW w:w="992"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82.5</w:t>
            </w:r>
          </w:p>
        </w:tc>
        <w:tc>
          <w:tcPr>
            <w:tcW w:w="1806"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627" w:type="dxa"/>
            <w:vMerge w:val="restart"/>
            <w:shd w:val="clear" w:color="auto" w:fill="auto"/>
            <w:vAlign w:val="center"/>
          </w:tcPr>
          <w:p>
            <w:pPr>
              <w:spacing w:line="36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rPr>
              <w:t>9</w:t>
            </w:r>
          </w:p>
        </w:tc>
        <w:tc>
          <w:tcPr>
            <w:tcW w:w="1467"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大湾河开发段</w:t>
            </w: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县下</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30.8</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51.0</w:t>
            </w:r>
          </w:p>
        </w:tc>
        <w:tc>
          <w:tcPr>
            <w:tcW w:w="1135"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36.4</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51.0</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51.0</w:t>
            </w:r>
          </w:p>
        </w:tc>
        <w:tc>
          <w:tcPr>
            <w:tcW w:w="1263"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35.0</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100.0</w:t>
            </w:r>
          </w:p>
        </w:tc>
        <w:tc>
          <w:tcPr>
            <w:tcW w:w="992"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85.8</w:t>
            </w:r>
          </w:p>
        </w:tc>
        <w:tc>
          <w:tcPr>
            <w:tcW w:w="1806"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627"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467"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浦城</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35.0</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35.0</w:t>
            </w:r>
          </w:p>
        </w:tc>
        <w:tc>
          <w:tcPr>
            <w:tcW w:w="1135"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263"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75.0</w:t>
            </w:r>
          </w:p>
        </w:tc>
        <w:tc>
          <w:tcPr>
            <w:tcW w:w="992"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806"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627" w:type="dxa"/>
            <w:shd w:val="clear" w:color="auto" w:fill="auto"/>
            <w:vAlign w:val="center"/>
          </w:tcPr>
          <w:p>
            <w:pPr>
              <w:spacing w:line="360" w:lineRule="exact"/>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10</w:t>
            </w:r>
          </w:p>
        </w:tc>
        <w:tc>
          <w:tcPr>
            <w:tcW w:w="1467" w:type="dxa"/>
            <w:shd w:val="clear" w:color="auto" w:fill="auto"/>
            <w:vAlign w:val="center"/>
          </w:tcPr>
          <w:p>
            <w:pPr>
              <w:spacing w:line="360" w:lineRule="exact"/>
              <w:jc w:val="center"/>
              <w:rPr>
                <w:rFonts w:ascii="Times New Roman" w:hAnsi="Times New Roman" w:eastAsia="仿宋" w:cs="Times New Roman"/>
                <w:color w:val="auto"/>
                <w:spacing w:val="-6"/>
                <w:sz w:val="21"/>
                <w:szCs w:val="21"/>
              </w:rPr>
            </w:pPr>
            <w:r>
              <w:rPr>
                <w:rFonts w:hint="eastAsia" w:ascii="Times New Roman" w:hAnsi="Times New Roman" w:eastAsia="仿宋" w:cs="Times New Roman"/>
                <w:color w:val="auto"/>
                <w:spacing w:val="-6"/>
                <w:sz w:val="21"/>
                <w:szCs w:val="21"/>
                <w:lang w:eastAsia="zh-CN"/>
              </w:rPr>
              <w:t>瓜里河</w:t>
            </w:r>
            <w:r>
              <w:rPr>
                <w:rFonts w:ascii="Times New Roman" w:hAnsi="Times New Roman" w:eastAsia="仿宋" w:cs="Times New Roman"/>
                <w:color w:val="auto"/>
                <w:spacing w:val="-6"/>
                <w:sz w:val="21"/>
                <w:szCs w:val="21"/>
              </w:rPr>
              <w:t>保护段</w:t>
            </w: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两安</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38.0</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58.7</w:t>
            </w:r>
          </w:p>
        </w:tc>
        <w:tc>
          <w:tcPr>
            <w:tcW w:w="113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48.4</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33.3</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46.7</w:t>
            </w:r>
          </w:p>
        </w:tc>
        <w:tc>
          <w:tcPr>
            <w:tcW w:w="126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40.0</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80.0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80.0</w:t>
            </w:r>
          </w:p>
        </w:tc>
        <w:tc>
          <w:tcPr>
            <w:tcW w:w="992"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80.0</w:t>
            </w:r>
          </w:p>
        </w:tc>
        <w:tc>
          <w:tcPr>
            <w:tcW w:w="1806"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627" w:type="dxa"/>
            <w:vMerge w:val="restart"/>
            <w:shd w:val="clear" w:color="auto" w:fill="auto"/>
            <w:vAlign w:val="center"/>
          </w:tcPr>
          <w:p>
            <w:pPr>
              <w:spacing w:line="360" w:lineRule="exact"/>
              <w:jc w:val="center"/>
              <w:rPr>
                <w:rFonts w:hint="eastAsia" w:ascii="Times New Roman" w:hAnsi="Times New Roman" w:eastAsia="仿宋" w:cs="Times New Roman"/>
                <w:color w:val="auto"/>
                <w:sz w:val="21"/>
                <w:szCs w:val="21"/>
                <w:lang w:eastAsia="zh-CN"/>
              </w:rPr>
            </w:pPr>
            <w:r>
              <w:rPr>
                <w:rFonts w:ascii="Times New Roman" w:hAnsi="Times New Roman" w:eastAsia="仿宋" w:cs="Times New Roman"/>
                <w:color w:val="auto"/>
                <w:sz w:val="21"/>
                <w:szCs w:val="21"/>
              </w:rPr>
              <w:t>1</w:t>
            </w:r>
            <w:r>
              <w:rPr>
                <w:rFonts w:hint="eastAsia" w:ascii="Times New Roman" w:hAnsi="Times New Roman" w:eastAsia="仿宋" w:cs="Times New Roman"/>
                <w:color w:val="auto"/>
                <w:sz w:val="21"/>
                <w:szCs w:val="21"/>
                <w:lang w:val="en-US" w:eastAsia="zh-CN"/>
              </w:rPr>
              <w:t>1</w:t>
            </w:r>
          </w:p>
        </w:tc>
        <w:tc>
          <w:tcPr>
            <w:tcW w:w="1467"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瓜里河保留段</w:t>
            </w: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红花</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70.4</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57.2</w:t>
            </w:r>
          </w:p>
        </w:tc>
        <w:tc>
          <w:tcPr>
            <w:tcW w:w="1135"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53.6</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33.3</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40.0</w:t>
            </w:r>
          </w:p>
        </w:tc>
        <w:tc>
          <w:tcPr>
            <w:tcW w:w="1263"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38.3</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85.0</w:t>
            </w:r>
          </w:p>
        </w:tc>
        <w:tc>
          <w:tcPr>
            <w:tcW w:w="992"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88.8</w:t>
            </w:r>
          </w:p>
        </w:tc>
        <w:tc>
          <w:tcPr>
            <w:tcW w:w="1806"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627"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467"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清塘</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44.3</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42.5</w:t>
            </w:r>
          </w:p>
        </w:tc>
        <w:tc>
          <w:tcPr>
            <w:tcW w:w="1135"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36.7</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43.3</w:t>
            </w:r>
          </w:p>
        </w:tc>
        <w:tc>
          <w:tcPr>
            <w:tcW w:w="1263"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85.0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85.0</w:t>
            </w:r>
          </w:p>
        </w:tc>
        <w:tc>
          <w:tcPr>
            <w:tcW w:w="992"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806"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627" w:type="dxa"/>
            <w:vMerge w:val="restart"/>
            <w:shd w:val="clear" w:color="auto" w:fill="auto"/>
            <w:vAlign w:val="center"/>
          </w:tcPr>
          <w:p>
            <w:pPr>
              <w:spacing w:line="360" w:lineRule="exact"/>
              <w:jc w:val="center"/>
              <w:rPr>
                <w:rFonts w:hint="eastAsia" w:ascii="Times New Roman" w:hAnsi="Times New Roman" w:eastAsia="仿宋" w:cs="Times New Roman"/>
                <w:color w:val="auto"/>
                <w:sz w:val="21"/>
                <w:szCs w:val="21"/>
                <w:lang w:eastAsia="zh-CN"/>
              </w:rPr>
            </w:pPr>
            <w:r>
              <w:rPr>
                <w:rFonts w:ascii="Times New Roman" w:hAnsi="Times New Roman" w:eastAsia="仿宋" w:cs="Times New Roman"/>
                <w:color w:val="auto"/>
                <w:sz w:val="21"/>
                <w:szCs w:val="21"/>
              </w:rPr>
              <w:t>1</w:t>
            </w:r>
            <w:r>
              <w:rPr>
                <w:rFonts w:hint="eastAsia" w:ascii="Times New Roman" w:hAnsi="Times New Roman" w:eastAsia="仿宋" w:cs="Times New Roman"/>
                <w:color w:val="auto"/>
                <w:sz w:val="21"/>
                <w:szCs w:val="21"/>
                <w:lang w:val="en-US" w:eastAsia="zh-CN"/>
              </w:rPr>
              <w:t>2</w:t>
            </w:r>
          </w:p>
        </w:tc>
        <w:tc>
          <w:tcPr>
            <w:tcW w:w="1467"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瓜里河开发段</w:t>
            </w: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走马</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54.0</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39.8</w:t>
            </w:r>
          </w:p>
        </w:tc>
        <w:tc>
          <w:tcPr>
            <w:tcW w:w="1135"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48.0</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40.0</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40.0</w:t>
            </w:r>
          </w:p>
        </w:tc>
        <w:tc>
          <w:tcPr>
            <w:tcW w:w="1263"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43.0</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75.0</w:t>
            </w:r>
          </w:p>
        </w:tc>
        <w:tc>
          <w:tcPr>
            <w:tcW w:w="992"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87.5</w:t>
            </w:r>
          </w:p>
        </w:tc>
        <w:tc>
          <w:tcPr>
            <w:tcW w:w="1806"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627"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467"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庇江</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54.0</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44.0</w:t>
            </w:r>
          </w:p>
        </w:tc>
        <w:tc>
          <w:tcPr>
            <w:tcW w:w="1135"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50.5</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41.7</w:t>
            </w:r>
          </w:p>
        </w:tc>
        <w:tc>
          <w:tcPr>
            <w:tcW w:w="1263"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100.0</w:t>
            </w:r>
          </w:p>
        </w:tc>
        <w:tc>
          <w:tcPr>
            <w:tcW w:w="992"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806"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627" w:type="dxa"/>
            <w:shd w:val="clear" w:color="auto" w:fill="auto"/>
            <w:vAlign w:val="center"/>
          </w:tcPr>
          <w:p>
            <w:pPr>
              <w:spacing w:line="360" w:lineRule="exact"/>
              <w:jc w:val="center"/>
              <w:rPr>
                <w:rFonts w:hint="eastAsia" w:ascii="Times New Roman" w:hAnsi="Times New Roman" w:eastAsia="仿宋" w:cs="Times New Roman"/>
                <w:color w:val="auto"/>
                <w:sz w:val="21"/>
                <w:szCs w:val="21"/>
                <w:lang w:eastAsia="zh-CN"/>
              </w:rPr>
            </w:pPr>
            <w:r>
              <w:rPr>
                <w:rFonts w:ascii="Times New Roman" w:hAnsi="Times New Roman" w:eastAsia="仿宋" w:cs="Times New Roman"/>
                <w:color w:val="auto"/>
                <w:sz w:val="21"/>
                <w:szCs w:val="21"/>
              </w:rPr>
              <w:t>1</w:t>
            </w:r>
            <w:r>
              <w:rPr>
                <w:rFonts w:hint="eastAsia" w:ascii="Times New Roman" w:hAnsi="Times New Roman" w:eastAsia="仿宋" w:cs="Times New Roman"/>
                <w:color w:val="auto"/>
                <w:sz w:val="21"/>
                <w:szCs w:val="21"/>
                <w:lang w:val="en-US" w:eastAsia="zh-CN"/>
              </w:rPr>
              <w:t>3</w:t>
            </w:r>
          </w:p>
        </w:tc>
        <w:tc>
          <w:tcPr>
            <w:tcW w:w="1467"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木厂水保护段</w:t>
            </w: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公会</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55.0</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45.5</w:t>
            </w:r>
          </w:p>
        </w:tc>
        <w:tc>
          <w:tcPr>
            <w:tcW w:w="113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50.3</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23.3</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33.3</w:t>
            </w:r>
          </w:p>
        </w:tc>
        <w:tc>
          <w:tcPr>
            <w:tcW w:w="126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28.3</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85.0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80.0</w:t>
            </w:r>
          </w:p>
        </w:tc>
        <w:tc>
          <w:tcPr>
            <w:tcW w:w="992"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82.5</w:t>
            </w:r>
          </w:p>
        </w:tc>
        <w:tc>
          <w:tcPr>
            <w:tcW w:w="1806"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627" w:type="dxa"/>
            <w:vMerge w:val="restart"/>
            <w:shd w:val="clear" w:color="auto" w:fill="auto"/>
            <w:vAlign w:val="center"/>
          </w:tcPr>
          <w:p>
            <w:pPr>
              <w:spacing w:line="360" w:lineRule="exact"/>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14</w:t>
            </w:r>
          </w:p>
        </w:tc>
        <w:tc>
          <w:tcPr>
            <w:tcW w:w="1467"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木厂水开发段</w:t>
            </w: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樟木</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48.3</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33.0</w:t>
            </w:r>
          </w:p>
        </w:tc>
        <w:tc>
          <w:tcPr>
            <w:tcW w:w="1135"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35.4</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38.3</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40.0</w:t>
            </w:r>
          </w:p>
        </w:tc>
        <w:tc>
          <w:tcPr>
            <w:tcW w:w="1263"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37.5</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85.0</w:t>
            </w:r>
          </w:p>
        </w:tc>
        <w:tc>
          <w:tcPr>
            <w:tcW w:w="992"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82.5</w:t>
            </w:r>
          </w:p>
        </w:tc>
        <w:tc>
          <w:tcPr>
            <w:tcW w:w="1806"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627"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467"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富罗</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33.0</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44.3</w:t>
            </w:r>
          </w:p>
        </w:tc>
        <w:tc>
          <w:tcPr>
            <w:tcW w:w="1135"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40.0</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46.7</w:t>
            </w:r>
          </w:p>
        </w:tc>
        <w:tc>
          <w:tcPr>
            <w:tcW w:w="1263"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80.0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60.0</w:t>
            </w:r>
          </w:p>
        </w:tc>
        <w:tc>
          <w:tcPr>
            <w:tcW w:w="992"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806"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627"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467"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38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旺平</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25.0</w:t>
            </w: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29.0</w:t>
            </w:r>
          </w:p>
        </w:tc>
        <w:tc>
          <w:tcPr>
            <w:tcW w:w="1135"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85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30.0</w:t>
            </w: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30.0</w:t>
            </w:r>
          </w:p>
        </w:tc>
        <w:tc>
          <w:tcPr>
            <w:tcW w:w="1263"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998"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90.0</w:t>
            </w:r>
          </w:p>
        </w:tc>
        <w:tc>
          <w:tcPr>
            <w:tcW w:w="99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90.0</w:t>
            </w:r>
          </w:p>
        </w:tc>
        <w:tc>
          <w:tcPr>
            <w:tcW w:w="992"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806"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r>
    </w:tbl>
    <w:p>
      <w:pPr>
        <w:spacing w:line="380" w:lineRule="exact"/>
        <w:jc w:val="center"/>
        <w:rPr>
          <w:rFonts w:ascii="Times New Roman" w:hAnsi="Times New Roman" w:eastAsia="仿宋" w:cs="Times New Roman"/>
          <w:color w:val="auto"/>
          <w:szCs w:val="21"/>
        </w:rPr>
      </w:pPr>
    </w:p>
    <w:p>
      <w:pPr>
        <w:ind w:firstLine="560" w:firstLineChars="200"/>
        <w:rPr>
          <w:rFonts w:ascii="Times New Roman" w:hAnsi="Times New Roman" w:eastAsia="仿宋" w:cs="Times New Roman"/>
          <w:color w:val="auto"/>
          <w:kern w:val="0"/>
          <w:sz w:val="28"/>
          <w:szCs w:val="28"/>
        </w:rPr>
        <w:sectPr>
          <w:headerReference r:id="rId12" w:type="default"/>
          <w:pgSz w:w="16838" w:h="11906" w:orient="landscape"/>
          <w:pgMar w:top="1361" w:right="1361" w:bottom="1474" w:left="1418" w:header="1021" w:footer="964" w:gutter="0"/>
          <w:cols w:space="425" w:num="1"/>
          <w:docGrid w:linePitch="312" w:charSpace="0"/>
        </w:sectPr>
      </w:pPr>
    </w:p>
    <w:p>
      <w:pPr>
        <w:autoSpaceDE w:val="0"/>
        <w:autoSpaceDN w:val="0"/>
        <w:adjustRightInd w:val="0"/>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（2） 河流连通阻隔状况评估(RC) </w:t>
      </w:r>
    </w:p>
    <w:p>
      <w:pPr>
        <w:autoSpaceDE w:val="0"/>
        <w:autoSpaceDN w:val="0"/>
        <w:adjustRightInd w:val="0"/>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评估范围河段内已建梯级电站共29个。其中</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干流已建梯级</w:t>
      </w:r>
      <w:r>
        <w:rPr>
          <w:rFonts w:hint="eastAsia" w:ascii="Times New Roman" w:hAnsi="Times New Roman" w:eastAsia="仿宋" w:cs="Times New Roman"/>
          <w:color w:val="auto"/>
          <w:kern w:val="0"/>
          <w:sz w:val="28"/>
          <w:szCs w:val="28"/>
          <w:lang w:val="en-US" w:eastAsia="zh-CN"/>
        </w:rPr>
        <w:t>4</w:t>
      </w:r>
      <w:r>
        <w:rPr>
          <w:rFonts w:ascii="Times New Roman" w:hAnsi="Times New Roman" w:eastAsia="仿宋" w:cs="Times New Roman"/>
          <w:color w:val="auto"/>
          <w:kern w:val="0"/>
          <w:sz w:val="28"/>
          <w:szCs w:val="28"/>
        </w:rPr>
        <w:t>座，</w:t>
      </w:r>
      <w:r>
        <w:rPr>
          <w:rFonts w:hint="eastAsia" w:ascii="Times New Roman" w:hAnsi="Times New Roman" w:eastAsia="仿宋" w:cs="Times New Roman"/>
          <w:color w:val="auto"/>
          <w:kern w:val="0"/>
          <w:sz w:val="28"/>
          <w:szCs w:val="28"/>
          <w:lang w:eastAsia="zh-CN"/>
        </w:rPr>
        <w:t>白竹洞河</w:t>
      </w:r>
      <w:r>
        <w:rPr>
          <w:rFonts w:ascii="Times New Roman" w:hAnsi="Times New Roman" w:eastAsia="仿宋" w:cs="Times New Roman"/>
          <w:color w:val="auto"/>
          <w:kern w:val="0"/>
          <w:sz w:val="28"/>
          <w:szCs w:val="28"/>
        </w:rPr>
        <w:t>河段已建梯级6座，</w:t>
      </w:r>
      <w:r>
        <w:rPr>
          <w:rFonts w:hint="eastAsia" w:ascii="Times New Roman" w:hAnsi="Times New Roman" w:eastAsia="仿宋" w:cs="Times New Roman"/>
          <w:color w:val="auto"/>
          <w:kern w:val="0"/>
          <w:sz w:val="28"/>
          <w:szCs w:val="28"/>
          <w:lang w:eastAsia="zh-CN"/>
        </w:rPr>
        <w:t>大湾河</w:t>
      </w:r>
      <w:r>
        <w:rPr>
          <w:rFonts w:ascii="Times New Roman" w:hAnsi="Times New Roman" w:eastAsia="仿宋" w:cs="Times New Roman"/>
          <w:color w:val="auto"/>
          <w:kern w:val="0"/>
          <w:sz w:val="28"/>
          <w:szCs w:val="28"/>
        </w:rPr>
        <w:t>河段已建梯级3座，</w:t>
      </w:r>
      <w:r>
        <w:rPr>
          <w:rFonts w:hint="eastAsia" w:ascii="Times New Roman" w:hAnsi="Times New Roman" w:eastAsia="仿宋" w:cs="Times New Roman"/>
          <w:color w:val="auto"/>
          <w:kern w:val="0"/>
          <w:sz w:val="28"/>
          <w:szCs w:val="28"/>
          <w:lang w:eastAsia="zh-CN"/>
        </w:rPr>
        <w:t>瓜里河</w:t>
      </w:r>
      <w:r>
        <w:rPr>
          <w:rFonts w:ascii="Times New Roman" w:hAnsi="Times New Roman" w:eastAsia="仿宋" w:cs="Times New Roman"/>
          <w:color w:val="auto"/>
          <w:kern w:val="0"/>
          <w:sz w:val="28"/>
          <w:szCs w:val="28"/>
        </w:rPr>
        <w:t>已建梯级7座，</w:t>
      </w:r>
      <w:r>
        <w:rPr>
          <w:rFonts w:hint="eastAsia" w:ascii="Times New Roman" w:hAnsi="Times New Roman" w:eastAsia="仿宋" w:cs="Times New Roman"/>
          <w:color w:val="auto"/>
          <w:kern w:val="0"/>
          <w:sz w:val="28"/>
          <w:szCs w:val="28"/>
          <w:lang w:eastAsia="zh-CN"/>
        </w:rPr>
        <w:t>木厂水</w:t>
      </w:r>
      <w:r>
        <w:rPr>
          <w:rFonts w:ascii="Times New Roman" w:hAnsi="Times New Roman" w:eastAsia="仿宋" w:cs="Times New Roman"/>
          <w:color w:val="auto"/>
          <w:kern w:val="0"/>
          <w:sz w:val="28"/>
          <w:szCs w:val="28"/>
        </w:rPr>
        <w:t xml:space="preserve">已建梯级5座。 </w:t>
      </w:r>
    </w:p>
    <w:p>
      <w:pPr>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梯级电站均对径流有调节作用，参照河流连通阻隔状况的计算方法，对于设置有鱼道且设置航道的，不影响部分鱼类迁徙的，河流连通阻隔赋分-25。有鱼道，且正常运行对径流有调节，下泄流量满足生态基流，无梯级电站的评估河段为100分，有梯级电站的评估河段为25分。</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各评价水功能区的河流连通阻隔分数如表5.1.2-2所示。干流以及一级支流评估河段连通阻隔赋分结果见表5.1.2-2所示。</w:t>
      </w:r>
    </w:p>
    <w:p>
      <w:pPr>
        <w:spacing w:line="560" w:lineRule="exact"/>
        <w:ind w:firstLine="560" w:firstLineChars="200"/>
        <w:rPr>
          <w:rFonts w:ascii="Times New Roman" w:hAnsi="Times New Roman" w:eastAsia="仿宋" w:cs="Times New Roman"/>
          <w:color w:val="auto"/>
          <w:kern w:val="0"/>
          <w:sz w:val="28"/>
          <w:szCs w:val="28"/>
        </w:rPr>
      </w:pPr>
    </w:p>
    <w:p>
      <w:pPr>
        <w:spacing w:line="560" w:lineRule="exact"/>
        <w:ind w:firstLine="560" w:firstLineChars="200"/>
        <w:rPr>
          <w:rFonts w:ascii="Times New Roman" w:hAnsi="Times New Roman" w:eastAsia="仿宋" w:cs="Times New Roman"/>
          <w:color w:val="auto"/>
          <w:kern w:val="0"/>
          <w:sz w:val="28"/>
          <w:szCs w:val="28"/>
        </w:rPr>
      </w:pPr>
    </w:p>
    <w:p>
      <w:pPr>
        <w:spacing w:line="560" w:lineRule="exact"/>
        <w:ind w:firstLine="560" w:firstLineChars="200"/>
        <w:rPr>
          <w:rFonts w:ascii="Times New Roman" w:hAnsi="Times New Roman" w:eastAsia="仿宋" w:cs="Times New Roman"/>
          <w:color w:val="auto"/>
          <w:kern w:val="0"/>
          <w:sz w:val="28"/>
          <w:szCs w:val="28"/>
        </w:rPr>
      </w:pPr>
    </w:p>
    <w:p>
      <w:pPr>
        <w:widowControl/>
        <w:jc w:val="left"/>
        <w:rPr>
          <w:rFonts w:ascii="Times New Roman" w:hAnsi="Times New Roman" w:eastAsia="宋体" w:cs="Times New Roman"/>
          <w:color w:val="auto"/>
        </w:rPr>
        <w:sectPr>
          <w:headerReference r:id="rId13" w:type="default"/>
          <w:pgSz w:w="11906" w:h="16838"/>
          <w:pgMar w:top="1361" w:right="1361" w:bottom="1474" w:left="1418" w:header="1021" w:footer="964" w:gutter="0"/>
          <w:cols w:space="425" w:num="1"/>
          <w:docGrid w:linePitch="312" w:charSpace="0"/>
        </w:sectPr>
      </w:pPr>
    </w:p>
    <w:p>
      <w:pPr>
        <w:ind w:firstLine="562" w:firstLineChars="200"/>
        <w:jc w:val="center"/>
        <w:rPr>
          <w:rFonts w:ascii="Times New Roman" w:hAnsi="Times New Roman" w:eastAsia="仿宋" w:cs="Times New Roman"/>
          <w:b/>
          <w:color w:val="auto"/>
        </w:rPr>
      </w:pPr>
      <w:r>
        <w:rPr>
          <w:rFonts w:ascii="Times New Roman" w:hAnsi="Times New Roman" w:eastAsia="仿宋" w:cs="Times New Roman"/>
          <w:b/>
          <w:color w:val="auto"/>
          <w:sz w:val="28"/>
          <w:szCs w:val="28"/>
        </w:rPr>
        <w:t xml:space="preserve">表5.1.2-2                 </w:t>
      </w:r>
      <w:r>
        <w:rPr>
          <w:rFonts w:hint="eastAsia" w:ascii="Times New Roman" w:hAnsi="Times New Roman" w:eastAsia="仿宋" w:cs="Times New Roman"/>
          <w:b/>
          <w:color w:val="auto"/>
          <w:sz w:val="28"/>
          <w:szCs w:val="28"/>
          <w:lang w:eastAsia="zh-CN"/>
        </w:rPr>
        <w:t>资江流域</w:t>
      </w:r>
      <w:r>
        <w:rPr>
          <w:rFonts w:ascii="Times New Roman" w:hAnsi="Times New Roman" w:eastAsia="仿宋" w:cs="Times New Roman"/>
          <w:b/>
          <w:color w:val="auto"/>
          <w:sz w:val="28"/>
          <w:szCs w:val="28"/>
        </w:rPr>
        <w:t>各评估河段连通阻隔分数表</w:t>
      </w:r>
    </w:p>
    <w:tbl>
      <w:tblPr>
        <w:tblStyle w:val="15"/>
        <w:tblW w:w="14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245"/>
        <w:gridCol w:w="1746"/>
        <w:gridCol w:w="3239"/>
        <w:gridCol w:w="2244"/>
        <w:gridCol w:w="1746"/>
        <w:gridCol w:w="2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5"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序号</w:t>
            </w:r>
          </w:p>
        </w:tc>
        <w:tc>
          <w:tcPr>
            <w:tcW w:w="2245"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评估河段</w:t>
            </w:r>
          </w:p>
        </w:tc>
        <w:tc>
          <w:tcPr>
            <w:tcW w:w="1746"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梯级电站</w:t>
            </w:r>
          </w:p>
        </w:tc>
        <w:tc>
          <w:tcPr>
            <w:tcW w:w="3239"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对鱼类阻隔作用</w:t>
            </w:r>
          </w:p>
        </w:tc>
        <w:tc>
          <w:tcPr>
            <w:tcW w:w="2244"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生态流量是否满足</w:t>
            </w:r>
          </w:p>
        </w:tc>
        <w:tc>
          <w:tcPr>
            <w:tcW w:w="1746"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闸坝阻隔赋分</w:t>
            </w:r>
          </w:p>
        </w:tc>
        <w:tc>
          <w:tcPr>
            <w:tcW w:w="2244"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连通阻隔状况赋分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资江保护段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无阻隔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资江枫木段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无阻隔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无阻隔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资江梅溪段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胡家田</w:t>
            </w:r>
            <w:r>
              <w:rPr>
                <w:rFonts w:ascii="Times New Roman" w:hAnsi="Times New Roman" w:eastAsia="仿宋" w:cs="Times New Roman"/>
                <w:color w:val="auto"/>
                <w:sz w:val="21"/>
                <w:szCs w:val="21"/>
              </w:rPr>
              <w:t>电站</w:t>
            </w: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无鱼道，部分鱼类受到阻隔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保留段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龙虎电站</w:t>
            </w: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无鱼道，部分鱼类受到阻隔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白竹洞河开发段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中央村</w:t>
            </w: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无阻隔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白竹洞河开发段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馒头塘</w:t>
            </w: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无阻隔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白竹洞河开发段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上木岩坝</w:t>
            </w: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无阻隔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13</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白竹洞河开发段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虎</w:t>
            </w:r>
            <w:r>
              <w:rPr>
                <w:rFonts w:hint="eastAsia" w:ascii="Times New Roman" w:hAnsi="Times New Roman" w:eastAsia="仿宋" w:cs="Times New Roman"/>
                <w:color w:val="auto"/>
                <w:sz w:val="21"/>
                <w:szCs w:val="21"/>
                <w:lang w:val="en-US" w:eastAsia="zh-CN"/>
              </w:rPr>
              <w:t>值</w:t>
            </w:r>
            <w:r>
              <w:rPr>
                <w:rFonts w:ascii="Times New Roman" w:hAnsi="Times New Roman" w:eastAsia="仿宋" w:cs="Times New Roman"/>
                <w:color w:val="auto"/>
                <w:sz w:val="21"/>
                <w:szCs w:val="21"/>
              </w:rPr>
              <w:t>电站</w:t>
            </w: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无鱼道，部分鱼类受到阻隔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白竹洞河开发段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松树林</w:t>
            </w: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无阻隔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15</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大湾河开发段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念村闸坝</w:t>
            </w: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无阻隔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大湾河开发段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中仆头电站</w:t>
            </w: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无鱼道，部分鱼类受到阻隔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大湾河开发段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城壅水坝</w:t>
            </w: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无阻隔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18</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瓜里河保留段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鳖岭村闸坝</w:t>
            </w: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无阻隔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19</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瓜里河保留段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白霞街闸坝</w:t>
            </w: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无阻隔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20</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瓜里河保留段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吉塘壅水坝</w:t>
            </w: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无阻隔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21</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瓜里河保留段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横山闸坝</w:t>
            </w: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无阻隔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22</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瓜里河开发段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陶沙村闸坝</w:t>
            </w: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无阻隔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23</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瓜里河开发段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裕路闸坝</w:t>
            </w: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无阻隔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24</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瓜里河开发段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森冲电站</w:t>
            </w: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无鱼道，部分鱼类受到阻隔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木厂水开发段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下滩电站</w:t>
            </w: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无鱼道，部分鱼类受到阻隔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26</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木厂水开发段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白花滩电站</w:t>
            </w: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无鱼道，部分鱼类受到阻隔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27</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木厂水开发段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僚头电站</w:t>
            </w: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无鱼道，部分鱼类受到阻隔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28</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木厂水开发段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沙子街坝</w:t>
            </w: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有鱼道，鱼类不受阻隔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29</w:t>
            </w:r>
          </w:p>
        </w:tc>
        <w:tc>
          <w:tcPr>
            <w:tcW w:w="22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木厂水开发段</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旺平电站</w:t>
            </w:r>
          </w:p>
        </w:tc>
        <w:tc>
          <w:tcPr>
            <w:tcW w:w="323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无鱼道，部分鱼类受到阻隔</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是</w:t>
            </w:r>
          </w:p>
        </w:tc>
        <w:tc>
          <w:tcPr>
            <w:tcW w:w="17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w:t>
            </w:r>
          </w:p>
        </w:tc>
        <w:tc>
          <w:tcPr>
            <w:tcW w:w="2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w:t>
            </w:r>
          </w:p>
        </w:tc>
      </w:tr>
    </w:tbl>
    <w:p>
      <w:pPr>
        <w:spacing w:line="560" w:lineRule="exact"/>
        <w:ind w:firstLine="560" w:firstLineChars="200"/>
        <w:rPr>
          <w:rFonts w:ascii="Times New Roman" w:hAnsi="Times New Roman" w:eastAsia="宋体" w:cs="Times New Roman"/>
          <w:color w:val="auto"/>
        </w:rPr>
      </w:pPr>
    </w:p>
    <w:p>
      <w:pPr>
        <w:spacing w:line="560" w:lineRule="exact"/>
        <w:ind w:firstLine="560" w:firstLineChars="200"/>
        <w:rPr>
          <w:rFonts w:ascii="Times New Roman" w:hAnsi="Times New Roman" w:eastAsia="宋体" w:cs="Times New Roman"/>
          <w:color w:val="auto"/>
        </w:rPr>
        <w:sectPr>
          <w:headerReference r:id="rId14" w:type="default"/>
          <w:pgSz w:w="16838" w:h="11906" w:orient="landscape"/>
          <w:pgMar w:top="1361" w:right="1361" w:bottom="1474" w:left="1418" w:header="1021" w:footer="964" w:gutter="0"/>
          <w:cols w:space="425" w:num="1"/>
          <w:docGrid w:linePitch="312" w:charSpace="0"/>
        </w:sectPr>
      </w:pPr>
    </w:p>
    <w:p>
      <w:pPr>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（3）湿地保留率评估结果</w:t>
      </w:r>
    </w:p>
    <w:p>
      <w:pPr>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根据调查与评估河段有水力联系的天然湿地</w:t>
      </w:r>
      <w:r>
        <w:rPr>
          <w:rFonts w:hint="eastAsia" w:ascii="Times New Roman" w:hAnsi="Times New Roman" w:eastAsia="仿宋" w:cs="Times New Roman"/>
          <w:color w:val="auto"/>
          <w:kern w:val="0"/>
          <w:sz w:val="28"/>
          <w:szCs w:val="28"/>
          <w:lang w:val="en-US" w:eastAsia="zh-CN"/>
        </w:rPr>
        <w:t>没有</w:t>
      </w:r>
      <w:r>
        <w:rPr>
          <w:rFonts w:ascii="Times New Roman" w:hAnsi="Times New Roman" w:eastAsia="仿宋" w:cs="Times New Roman"/>
          <w:color w:val="auto"/>
          <w:kern w:val="0"/>
          <w:sz w:val="28"/>
          <w:szCs w:val="28"/>
        </w:rPr>
        <w:t>。</w:t>
      </w:r>
    </w:p>
    <w:p>
      <w:pPr>
        <w:autoSpaceDE w:val="0"/>
        <w:autoSpaceDN w:val="0"/>
        <w:adjustRightInd w:val="0"/>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（4） 物理结构评估结果 </w:t>
      </w:r>
    </w:p>
    <w:p>
      <w:pPr>
        <w:autoSpaceDE w:val="0"/>
        <w:autoSpaceDN w:val="0"/>
        <w:adjustRightInd w:val="0"/>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根据上述评估结果，已求得</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 xml:space="preserve">及其一级支流的河岸带状况分数、河流联通阻隔分数、湿地保留率分数。按照物理结构准则层赋分计算公式： </w:t>
      </w:r>
    </w:p>
    <w:p>
      <w:pPr>
        <w:autoSpaceDE w:val="0"/>
        <w:autoSpaceDN w:val="0"/>
        <w:adjustRightInd w:val="0"/>
        <w:spacing w:line="560" w:lineRule="exac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PFr=RSr * RSw+RCr * RCw +NWLr*NWLw</w:t>
      </w:r>
    </w:p>
    <w:p>
      <w:pPr>
        <w:autoSpaceDE w:val="0"/>
        <w:autoSpaceDN w:val="0"/>
        <w:adjustRightInd w:val="0"/>
        <w:spacing w:line="560" w:lineRule="exact"/>
        <w:ind w:firstLine="560" w:firstLineChars="200"/>
        <w:jc w:val="left"/>
        <w:rPr>
          <w:rFonts w:ascii="Times New Roman" w:hAnsi="Times New Roman" w:eastAsia="宋体" w:cs="Times New Roman"/>
          <w:color w:val="auto"/>
        </w:rPr>
        <w:sectPr>
          <w:headerReference r:id="rId15" w:type="default"/>
          <w:pgSz w:w="11906" w:h="16838"/>
          <w:pgMar w:top="1361" w:right="1361" w:bottom="1474" w:left="1418" w:header="1021" w:footer="964" w:gutter="0"/>
          <w:cols w:space="425" w:num="1"/>
          <w:docGrid w:linePitch="312" w:charSpace="0"/>
        </w:sectPr>
      </w:pPr>
      <w:r>
        <w:rPr>
          <w:rFonts w:ascii="Times New Roman" w:hAnsi="Times New Roman" w:eastAsia="仿宋" w:cs="Times New Roman"/>
          <w:color w:val="auto"/>
          <w:kern w:val="0"/>
          <w:sz w:val="28"/>
          <w:szCs w:val="28"/>
        </w:rPr>
        <w:t>计算得出</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河流物理结构评估分值，如表5.1.2-4所示。</w:t>
      </w:r>
    </w:p>
    <w:p>
      <w:pPr>
        <w:spacing w:line="560" w:lineRule="exact"/>
        <w:ind w:firstLine="984" w:firstLineChars="350"/>
        <w:rPr>
          <w:rFonts w:ascii="Times New Roman" w:hAnsi="Times New Roman" w:eastAsia="仿宋" w:cs="Times New Roman"/>
          <w:b/>
          <w:color w:val="auto"/>
          <w:kern w:val="0"/>
          <w:sz w:val="28"/>
          <w:szCs w:val="28"/>
        </w:rPr>
      </w:pPr>
      <w:r>
        <w:rPr>
          <w:rFonts w:ascii="Times New Roman" w:hAnsi="Times New Roman" w:eastAsia="仿宋" w:cs="Times New Roman"/>
          <w:b/>
          <w:color w:val="auto"/>
          <w:kern w:val="0"/>
          <w:sz w:val="28"/>
          <w:szCs w:val="28"/>
        </w:rPr>
        <w:t xml:space="preserve">表5.1.2-4          </w:t>
      </w:r>
      <w:r>
        <w:rPr>
          <w:rFonts w:hint="eastAsia" w:ascii="Times New Roman" w:hAnsi="Times New Roman" w:eastAsia="仿宋" w:cs="Times New Roman"/>
          <w:b/>
          <w:color w:val="auto"/>
          <w:kern w:val="0"/>
          <w:sz w:val="28"/>
          <w:szCs w:val="28"/>
        </w:rPr>
        <w:t xml:space="preserve">              </w:t>
      </w:r>
      <w:r>
        <w:rPr>
          <w:rFonts w:ascii="Times New Roman" w:hAnsi="Times New Roman" w:eastAsia="仿宋" w:cs="Times New Roman"/>
          <w:b/>
          <w:color w:val="auto"/>
          <w:kern w:val="0"/>
          <w:sz w:val="28"/>
          <w:szCs w:val="28"/>
        </w:rPr>
        <w:t xml:space="preserve"> </w:t>
      </w:r>
      <w:r>
        <w:rPr>
          <w:rFonts w:hint="eastAsia" w:ascii="Times New Roman" w:hAnsi="Times New Roman" w:eastAsia="仿宋" w:cs="Times New Roman"/>
          <w:b/>
          <w:color w:val="auto"/>
          <w:kern w:val="0"/>
          <w:sz w:val="28"/>
          <w:szCs w:val="28"/>
          <w:lang w:eastAsia="zh-CN"/>
        </w:rPr>
        <w:t>资江流域</w:t>
      </w:r>
      <w:r>
        <w:rPr>
          <w:rFonts w:ascii="Times New Roman" w:hAnsi="Times New Roman" w:eastAsia="仿宋" w:cs="Times New Roman"/>
          <w:b/>
          <w:color w:val="auto"/>
          <w:kern w:val="0"/>
          <w:sz w:val="28"/>
          <w:szCs w:val="28"/>
        </w:rPr>
        <w:t>河流物理结构准则层评估结果</w:t>
      </w:r>
    </w:p>
    <w:tbl>
      <w:tblPr>
        <w:tblStyle w:val="15"/>
        <w:tblW w:w="14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092"/>
        <w:gridCol w:w="2025"/>
        <w:gridCol w:w="1265"/>
        <w:gridCol w:w="1249"/>
        <w:gridCol w:w="1353"/>
        <w:gridCol w:w="1310"/>
        <w:gridCol w:w="1363"/>
        <w:gridCol w:w="1373"/>
        <w:gridCol w:w="1447"/>
        <w:gridCol w:w="1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2" w:type="dxa"/>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序号</w:t>
            </w:r>
          </w:p>
        </w:tc>
        <w:tc>
          <w:tcPr>
            <w:tcW w:w="1092" w:type="dxa"/>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河流名称</w:t>
            </w:r>
          </w:p>
        </w:tc>
        <w:tc>
          <w:tcPr>
            <w:tcW w:w="2025" w:type="dxa"/>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评估河段</w:t>
            </w:r>
          </w:p>
        </w:tc>
        <w:tc>
          <w:tcPr>
            <w:tcW w:w="1265" w:type="dxa"/>
            <w:shd w:val="clear" w:color="auto" w:fill="auto"/>
            <w:vAlign w:val="center"/>
          </w:tcPr>
          <w:p>
            <w:pPr>
              <w:autoSpaceDE w:val="0"/>
              <w:autoSpaceDN w:val="0"/>
              <w:adjustRightInd w:val="0"/>
              <w:spacing w:line="360" w:lineRule="exact"/>
              <w:jc w:val="center"/>
              <w:rPr>
                <w:rFonts w:hint="eastAsia" w:ascii="Times New Roman" w:hAnsi="Times New Roman" w:eastAsia="仿宋" w:cs="Times New Roman"/>
                <w:color w:val="auto"/>
                <w:kern w:val="0"/>
                <w:sz w:val="21"/>
                <w:szCs w:val="21"/>
                <w:lang w:eastAsia="zh-CN"/>
              </w:rPr>
            </w:pPr>
            <w:r>
              <w:rPr>
                <w:rFonts w:ascii="Times New Roman" w:hAnsi="Times New Roman" w:eastAsia="仿宋" w:cs="Times New Roman"/>
                <w:color w:val="auto"/>
                <w:kern w:val="0"/>
                <w:sz w:val="21"/>
                <w:szCs w:val="21"/>
              </w:rPr>
              <w:t>河岸带状况分数</w:t>
            </w:r>
          </w:p>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（RSr)</w:t>
            </w:r>
          </w:p>
        </w:tc>
        <w:tc>
          <w:tcPr>
            <w:tcW w:w="1249" w:type="dxa"/>
            <w:shd w:val="clear" w:color="auto" w:fill="auto"/>
            <w:vAlign w:val="center"/>
          </w:tcPr>
          <w:p>
            <w:pPr>
              <w:autoSpaceDE w:val="0"/>
              <w:autoSpaceDN w:val="0"/>
              <w:adjustRightInd w:val="0"/>
              <w:spacing w:line="360" w:lineRule="exact"/>
              <w:jc w:val="center"/>
              <w:rPr>
                <w:rFonts w:hint="eastAsia" w:ascii="Times New Roman" w:hAnsi="Times New Roman" w:eastAsia="仿宋" w:cs="Times New Roman"/>
                <w:color w:val="auto"/>
                <w:kern w:val="0"/>
                <w:sz w:val="21"/>
                <w:szCs w:val="21"/>
                <w:lang w:eastAsia="zh-CN"/>
              </w:rPr>
            </w:pPr>
            <w:r>
              <w:rPr>
                <w:rFonts w:ascii="Times New Roman" w:hAnsi="Times New Roman" w:eastAsia="仿宋" w:cs="Times New Roman"/>
                <w:color w:val="auto"/>
                <w:kern w:val="0"/>
                <w:sz w:val="21"/>
                <w:szCs w:val="21"/>
              </w:rPr>
              <w:t>河岸带状况权重</w:t>
            </w:r>
          </w:p>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（RSw）</w:t>
            </w:r>
          </w:p>
        </w:tc>
        <w:tc>
          <w:tcPr>
            <w:tcW w:w="1353" w:type="dxa"/>
            <w:shd w:val="clear" w:color="auto" w:fill="auto"/>
            <w:vAlign w:val="center"/>
          </w:tcPr>
          <w:p>
            <w:pPr>
              <w:autoSpaceDE w:val="0"/>
              <w:autoSpaceDN w:val="0"/>
              <w:adjustRightInd w:val="0"/>
              <w:spacing w:line="360" w:lineRule="exact"/>
              <w:jc w:val="center"/>
              <w:rPr>
                <w:rFonts w:hint="eastAsia" w:ascii="Times New Roman" w:hAnsi="Times New Roman" w:eastAsia="仿宋" w:cs="Times New Roman"/>
                <w:color w:val="auto"/>
                <w:kern w:val="0"/>
                <w:sz w:val="21"/>
                <w:szCs w:val="21"/>
                <w:lang w:eastAsia="zh-CN"/>
              </w:rPr>
            </w:pPr>
            <w:r>
              <w:rPr>
                <w:rFonts w:ascii="Times New Roman" w:hAnsi="Times New Roman" w:eastAsia="仿宋" w:cs="Times New Roman"/>
                <w:color w:val="auto"/>
                <w:kern w:val="0"/>
                <w:sz w:val="21"/>
                <w:szCs w:val="21"/>
              </w:rPr>
              <w:t>河流连通阻隔分数</w:t>
            </w:r>
          </w:p>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（RCr)</w:t>
            </w:r>
          </w:p>
        </w:tc>
        <w:tc>
          <w:tcPr>
            <w:tcW w:w="1310" w:type="dxa"/>
            <w:shd w:val="clear" w:color="auto" w:fill="auto"/>
            <w:vAlign w:val="center"/>
          </w:tcPr>
          <w:p>
            <w:pPr>
              <w:autoSpaceDE w:val="0"/>
              <w:autoSpaceDN w:val="0"/>
              <w:adjustRightInd w:val="0"/>
              <w:spacing w:line="360" w:lineRule="exact"/>
              <w:jc w:val="center"/>
              <w:rPr>
                <w:rFonts w:hint="eastAsia" w:ascii="Times New Roman" w:hAnsi="Times New Roman" w:eastAsia="仿宋" w:cs="Times New Roman"/>
                <w:color w:val="auto"/>
                <w:kern w:val="0"/>
                <w:sz w:val="21"/>
                <w:szCs w:val="21"/>
                <w:lang w:eastAsia="zh-CN"/>
              </w:rPr>
            </w:pPr>
            <w:r>
              <w:rPr>
                <w:rFonts w:ascii="Times New Roman" w:hAnsi="Times New Roman" w:eastAsia="仿宋" w:cs="Times New Roman"/>
                <w:color w:val="auto"/>
                <w:kern w:val="0"/>
                <w:sz w:val="21"/>
                <w:szCs w:val="21"/>
              </w:rPr>
              <w:t>河流连通阻隔权重</w:t>
            </w:r>
          </w:p>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（RCw）</w:t>
            </w:r>
          </w:p>
        </w:tc>
        <w:tc>
          <w:tcPr>
            <w:tcW w:w="1363" w:type="dxa"/>
            <w:shd w:val="clear" w:color="auto" w:fill="auto"/>
            <w:vAlign w:val="center"/>
          </w:tcPr>
          <w:p>
            <w:pPr>
              <w:spacing w:line="360" w:lineRule="exact"/>
              <w:jc w:val="center"/>
              <w:rPr>
                <w:rFonts w:hint="eastAsia" w:ascii="Times New Roman" w:hAnsi="Times New Roman" w:eastAsia="仿宋" w:cs="Times New Roman"/>
                <w:color w:val="auto"/>
                <w:sz w:val="21"/>
                <w:szCs w:val="21"/>
                <w:lang w:eastAsia="zh-CN"/>
              </w:rPr>
            </w:pPr>
            <w:r>
              <w:rPr>
                <w:rFonts w:ascii="Times New Roman" w:hAnsi="Times New Roman" w:eastAsia="仿宋" w:cs="Times New Roman"/>
                <w:color w:val="auto"/>
                <w:sz w:val="21"/>
                <w:szCs w:val="21"/>
              </w:rPr>
              <w:t>天然湿地保留率赋分</w:t>
            </w:r>
          </w:p>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（NWLr)</w:t>
            </w:r>
          </w:p>
        </w:tc>
        <w:tc>
          <w:tcPr>
            <w:tcW w:w="1373" w:type="dxa"/>
            <w:shd w:val="clear" w:color="auto" w:fill="auto"/>
            <w:vAlign w:val="center"/>
          </w:tcPr>
          <w:p>
            <w:pPr>
              <w:spacing w:line="360" w:lineRule="exact"/>
              <w:jc w:val="center"/>
              <w:rPr>
                <w:rFonts w:hint="eastAsia" w:ascii="Times New Roman" w:hAnsi="Times New Roman" w:eastAsia="仿宋" w:cs="Times New Roman"/>
                <w:color w:val="auto"/>
                <w:sz w:val="21"/>
                <w:szCs w:val="21"/>
                <w:lang w:eastAsia="zh-CN"/>
              </w:rPr>
            </w:pPr>
            <w:r>
              <w:rPr>
                <w:rFonts w:ascii="Times New Roman" w:hAnsi="Times New Roman" w:eastAsia="仿宋" w:cs="Times New Roman"/>
                <w:color w:val="auto"/>
                <w:sz w:val="21"/>
                <w:szCs w:val="21"/>
              </w:rPr>
              <w:t>天然湿地保留率权重</w:t>
            </w:r>
          </w:p>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（NWLw）</w:t>
            </w:r>
          </w:p>
        </w:tc>
        <w:tc>
          <w:tcPr>
            <w:tcW w:w="1447" w:type="dxa"/>
            <w:shd w:val="clear" w:color="auto" w:fill="auto"/>
            <w:vAlign w:val="center"/>
          </w:tcPr>
          <w:p>
            <w:pPr>
              <w:autoSpaceDE w:val="0"/>
              <w:autoSpaceDN w:val="0"/>
              <w:adjustRightInd w:val="0"/>
              <w:spacing w:line="360" w:lineRule="exact"/>
              <w:jc w:val="center"/>
              <w:rPr>
                <w:rFonts w:hint="eastAsia" w:ascii="Times New Roman" w:hAnsi="Times New Roman" w:eastAsia="仿宋" w:cs="Times New Roman"/>
                <w:color w:val="auto"/>
                <w:kern w:val="0"/>
                <w:sz w:val="21"/>
                <w:szCs w:val="21"/>
                <w:lang w:eastAsia="zh-CN"/>
              </w:rPr>
            </w:pPr>
            <w:r>
              <w:rPr>
                <w:rFonts w:ascii="Times New Roman" w:hAnsi="Times New Roman" w:eastAsia="仿宋" w:cs="Times New Roman"/>
                <w:color w:val="auto"/>
                <w:kern w:val="0"/>
                <w:sz w:val="21"/>
                <w:szCs w:val="21"/>
              </w:rPr>
              <w:t>物理结构准则层赋分</w:t>
            </w:r>
          </w:p>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（PFr)</w:t>
            </w:r>
          </w:p>
        </w:tc>
        <w:tc>
          <w:tcPr>
            <w:tcW w:w="1606" w:type="dxa"/>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河流物理结构准则层赋分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92"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w:t>
            </w:r>
          </w:p>
        </w:tc>
        <w:tc>
          <w:tcPr>
            <w:tcW w:w="1092"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ascii="Times New Roman" w:hAnsi="Times New Roman" w:eastAsia="仿宋" w:cs="Times New Roman"/>
                <w:color w:val="auto"/>
                <w:sz w:val="21"/>
                <w:szCs w:val="21"/>
              </w:rPr>
              <w:t>干流</w:t>
            </w:r>
          </w:p>
        </w:tc>
        <w:tc>
          <w:tcPr>
            <w:tcW w:w="202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hint="eastAsia" w:ascii="Times New Roman" w:hAnsi="Times New Roman" w:eastAsia="仿宋" w:cs="Times New Roman"/>
                <w:color w:val="auto"/>
                <w:sz w:val="21"/>
                <w:szCs w:val="21"/>
                <w:lang w:val="en-US" w:eastAsia="zh-CN"/>
              </w:rPr>
              <w:t>源头</w:t>
            </w:r>
            <w:r>
              <w:rPr>
                <w:rFonts w:ascii="Times New Roman" w:hAnsi="Times New Roman" w:eastAsia="仿宋" w:cs="Times New Roman"/>
                <w:color w:val="auto"/>
                <w:sz w:val="21"/>
                <w:szCs w:val="21"/>
              </w:rPr>
              <w:t>段</w:t>
            </w:r>
          </w:p>
        </w:tc>
        <w:tc>
          <w:tcPr>
            <w:tcW w:w="126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58.0</w:t>
            </w:r>
          </w:p>
        </w:tc>
        <w:tc>
          <w:tcPr>
            <w:tcW w:w="1249"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0.7</w:t>
            </w:r>
          </w:p>
        </w:tc>
        <w:tc>
          <w:tcPr>
            <w:tcW w:w="135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100.0</w:t>
            </w:r>
          </w:p>
        </w:tc>
        <w:tc>
          <w:tcPr>
            <w:tcW w:w="131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0.3</w:t>
            </w:r>
          </w:p>
        </w:tc>
        <w:tc>
          <w:tcPr>
            <w:tcW w:w="136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w:t>
            </w:r>
          </w:p>
        </w:tc>
        <w:tc>
          <w:tcPr>
            <w:tcW w:w="137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w:t>
            </w:r>
          </w:p>
        </w:tc>
        <w:tc>
          <w:tcPr>
            <w:tcW w:w="1447"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70.6</w:t>
            </w:r>
          </w:p>
        </w:tc>
        <w:tc>
          <w:tcPr>
            <w:tcW w:w="1606"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92"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w:t>
            </w:r>
          </w:p>
        </w:tc>
        <w:tc>
          <w:tcPr>
            <w:tcW w:w="1092"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202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资江保护段</w:t>
            </w:r>
          </w:p>
        </w:tc>
        <w:tc>
          <w:tcPr>
            <w:tcW w:w="126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64.0</w:t>
            </w:r>
          </w:p>
        </w:tc>
        <w:tc>
          <w:tcPr>
            <w:tcW w:w="1249"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0.7</w:t>
            </w:r>
          </w:p>
        </w:tc>
        <w:tc>
          <w:tcPr>
            <w:tcW w:w="135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100.0</w:t>
            </w:r>
          </w:p>
        </w:tc>
        <w:tc>
          <w:tcPr>
            <w:tcW w:w="131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0.3</w:t>
            </w:r>
          </w:p>
        </w:tc>
        <w:tc>
          <w:tcPr>
            <w:tcW w:w="136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w:t>
            </w:r>
          </w:p>
        </w:tc>
        <w:tc>
          <w:tcPr>
            <w:tcW w:w="137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w:t>
            </w:r>
          </w:p>
        </w:tc>
        <w:tc>
          <w:tcPr>
            <w:tcW w:w="1447"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74.8</w:t>
            </w:r>
          </w:p>
        </w:tc>
        <w:tc>
          <w:tcPr>
            <w:tcW w:w="1606"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92"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w:t>
            </w:r>
          </w:p>
        </w:tc>
        <w:tc>
          <w:tcPr>
            <w:tcW w:w="1092"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202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资江枫木段</w:t>
            </w:r>
          </w:p>
        </w:tc>
        <w:tc>
          <w:tcPr>
            <w:tcW w:w="126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38.8</w:t>
            </w:r>
          </w:p>
        </w:tc>
        <w:tc>
          <w:tcPr>
            <w:tcW w:w="1249"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0.7</w:t>
            </w:r>
          </w:p>
        </w:tc>
        <w:tc>
          <w:tcPr>
            <w:tcW w:w="135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75.0</w:t>
            </w:r>
          </w:p>
        </w:tc>
        <w:tc>
          <w:tcPr>
            <w:tcW w:w="131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0.3</w:t>
            </w:r>
          </w:p>
        </w:tc>
        <w:tc>
          <w:tcPr>
            <w:tcW w:w="136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w:t>
            </w:r>
          </w:p>
        </w:tc>
        <w:tc>
          <w:tcPr>
            <w:tcW w:w="137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w:t>
            </w:r>
          </w:p>
        </w:tc>
        <w:tc>
          <w:tcPr>
            <w:tcW w:w="1447"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49.7</w:t>
            </w:r>
          </w:p>
        </w:tc>
        <w:tc>
          <w:tcPr>
            <w:tcW w:w="1606"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92"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w:t>
            </w:r>
          </w:p>
        </w:tc>
        <w:tc>
          <w:tcPr>
            <w:tcW w:w="1092"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202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126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49.9</w:t>
            </w:r>
          </w:p>
        </w:tc>
        <w:tc>
          <w:tcPr>
            <w:tcW w:w="1249"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0.5</w:t>
            </w:r>
          </w:p>
        </w:tc>
        <w:tc>
          <w:tcPr>
            <w:tcW w:w="135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100.0</w:t>
            </w:r>
          </w:p>
        </w:tc>
        <w:tc>
          <w:tcPr>
            <w:tcW w:w="131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0.25</w:t>
            </w:r>
          </w:p>
        </w:tc>
        <w:tc>
          <w:tcPr>
            <w:tcW w:w="1363" w:type="dxa"/>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373" w:type="dxa"/>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447"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67.9</w:t>
            </w:r>
          </w:p>
        </w:tc>
        <w:tc>
          <w:tcPr>
            <w:tcW w:w="1606"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92"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w:t>
            </w:r>
          </w:p>
        </w:tc>
        <w:tc>
          <w:tcPr>
            <w:tcW w:w="1092"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202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资江梅溪段</w:t>
            </w:r>
          </w:p>
        </w:tc>
        <w:tc>
          <w:tcPr>
            <w:tcW w:w="126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57.6</w:t>
            </w:r>
          </w:p>
        </w:tc>
        <w:tc>
          <w:tcPr>
            <w:tcW w:w="1249"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0.5</w:t>
            </w:r>
          </w:p>
        </w:tc>
        <w:tc>
          <w:tcPr>
            <w:tcW w:w="135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25.0</w:t>
            </w:r>
          </w:p>
        </w:tc>
        <w:tc>
          <w:tcPr>
            <w:tcW w:w="131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0.25</w:t>
            </w:r>
          </w:p>
        </w:tc>
        <w:tc>
          <w:tcPr>
            <w:tcW w:w="1363" w:type="dxa"/>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373" w:type="dxa"/>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1447"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51.6</w:t>
            </w:r>
          </w:p>
        </w:tc>
        <w:tc>
          <w:tcPr>
            <w:tcW w:w="1606"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92"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w:t>
            </w:r>
          </w:p>
        </w:tc>
        <w:tc>
          <w:tcPr>
            <w:tcW w:w="1092" w:type="dxa"/>
            <w:vMerge w:val="restart"/>
            <w:shd w:val="clear" w:color="auto" w:fill="auto"/>
            <w:vAlign w:val="center"/>
          </w:tcPr>
          <w:p>
            <w:pPr>
              <w:spacing w:line="36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白竹洞河</w:t>
            </w:r>
          </w:p>
        </w:tc>
        <w:tc>
          <w:tcPr>
            <w:tcW w:w="202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保护段</w:t>
            </w:r>
          </w:p>
        </w:tc>
        <w:tc>
          <w:tcPr>
            <w:tcW w:w="126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57.9</w:t>
            </w:r>
          </w:p>
        </w:tc>
        <w:tc>
          <w:tcPr>
            <w:tcW w:w="1249"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0.7</w:t>
            </w:r>
          </w:p>
        </w:tc>
        <w:tc>
          <w:tcPr>
            <w:tcW w:w="135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100.0</w:t>
            </w:r>
          </w:p>
        </w:tc>
        <w:tc>
          <w:tcPr>
            <w:tcW w:w="131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0.3</w:t>
            </w:r>
          </w:p>
        </w:tc>
        <w:tc>
          <w:tcPr>
            <w:tcW w:w="136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w:t>
            </w:r>
          </w:p>
        </w:tc>
        <w:tc>
          <w:tcPr>
            <w:tcW w:w="137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w:t>
            </w:r>
          </w:p>
        </w:tc>
        <w:tc>
          <w:tcPr>
            <w:tcW w:w="1447"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70.5</w:t>
            </w:r>
          </w:p>
        </w:tc>
        <w:tc>
          <w:tcPr>
            <w:tcW w:w="1606"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92"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w:t>
            </w:r>
          </w:p>
        </w:tc>
        <w:tc>
          <w:tcPr>
            <w:tcW w:w="1092"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202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保留段</w:t>
            </w:r>
          </w:p>
        </w:tc>
        <w:tc>
          <w:tcPr>
            <w:tcW w:w="126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50.8</w:t>
            </w:r>
          </w:p>
        </w:tc>
        <w:tc>
          <w:tcPr>
            <w:tcW w:w="1249"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0.7</w:t>
            </w:r>
          </w:p>
        </w:tc>
        <w:tc>
          <w:tcPr>
            <w:tcW w:w="135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25.0</w:t>
            </w:r>
          </w:p>
        </w:tc>
        <w:tc>
          <w:tcPr>
            <w:tcW w:w="131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0.3</w:t>
            </w:r>
          </w:p>
        </w:tc>
        <w:tc>
          <w:tcPr>
            <w:tcW w:w="136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w:t>
            </w:r>
          </w:p>
        </w:tc>
        <w:tc>
          <w:tcPr>
            <w:tcW w:w="137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w:t>
            </w:r>
          </w:p>
        </w:tc>
        <w:tc>
          <w:tcPr>
            <w:tcW w:w="1447"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43.1</w:t>
            </w:r>
          </w:p>
        </w:tc>
        <w:tc>
          <w:tcPr>
            <w:tcW w:w="1606"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92"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13</w:t>
            </w:r>
          </w:p>
        </w:tc>
        <w:tc>
          <w:tcPr>
            <w:tcW w:w="1092"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202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白竹洞河开发段</w:t>
            </w:r>
          </w:p>
        </w:tc>
        <w:tc>
          <w:tcPr>
            <w:tcW w:w="126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46.9</w:t>
            </w:r>
          </w:p>
        </w:tc>
        <w:tc>
          <w:tcPr>
            <w:tcW w:w="1249"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0.7</w:t>
            </w:r>
          </w:p>
        </w:tc>
        <w:tc>
          <w:tcPr>
            <w:tcW w:w="135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25.0</w:t>
            </w:r>
          </w:p>
        </w:tc>
        <w:tc>
          <w:tcPr>
            <w:tcW w:w="131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0.3</w:t>
            </w:r>
          </w:p>
        </w:tc>
        <w:tc>
          <w:tcPr>
            <w:tcW w:w="136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w:t>
            </w:r>
          </w:p>
        </w:tc>
        <w:tc>
          <w:tcPr>
            <w:tcW w:w="137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w:t>
            </w:r>
          </w:p>
        </w:tc>
        <w:tc>
          <w:tcPr>
            <w:tcW w:w="1447"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40.3</w:t>
            </w:r>
          </w:p>
        </w:tc>
        <w:tc>
          <w:tcPr>
            <w:tcW w:w="1606"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92"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w:t>
            </w:r>
          </w:p>
        </w:tc>
        <w:tc>
          <w:tcPr>
            <w:tcW w:w="1092" w:type="dxa"/>
            <w:vMerge w:val="restart"/>
            <w:shd w:val="clear" w:color="auto" w:fill="auto"/>
            <w:vAlign w:val="center"/>
          </w:tcPr>
          <w:p>
            <w:pPr>
              <w:spacing w:line="36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大湾河</w:t>
            </w:r>
          </w:p>
        </w:tc>
        <w:tc>
          <w:tcPr>
            <w:tcW w:w="202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w:t>
            </w:r>
            <w:r>
              <w:rPr>
                <w:rFonts w:ascii="Times New Roman" w:hAnsi="Times New Roman" w:eastAsia="仿宋" w:cs="Times New Roman"/>
                <w:color w:val="auto"/>
                <w:sz w:val="21"/>
                <w:szCs w:val="21"/>
              </w:rPr>
              <w:t>保护段</w:t>
            </w:r>
          </w:p>
        </w:tc>
        <w:tc>
          <w:tcPr>
            <w:tcW w:w="126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50.4</w:t>
            </w:r>
          </w:p>
        </w:tc>
        <w:tc>
          <w:tcPr>
            <w:tcW w:w="1249"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0.7</w:t>
            </w:r>
          </w:p>
        </w:tc>
        <w:tc>
          <w:tcPr>
            <w:tcW w:w="135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100.0</w:t>
            </w:r>
          </w:p>
        </w:tc>
        <w:tc>
          <w:tcPr>
            <w:tcW w:w="131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0.3</w:t>
            </w:r>
          </w:p>
        </w:tc>
        <w:tc>
          <w:tcPr>
            <w:tcW w:w="136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w:t>
            </w:r>
          </w:p>
        </w:tc>
        <w:tc>
          <w:tcPr>
            <w:tcW w:w="137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w:t>
            </w:r>
          </w:p>
        </w:tc>
        <w:tc>
          <w:tcPr>
            <w:tcW w:w="1447"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65.3</w:t>
            </w:r>
          </w:p>
        </w:tc>
        <w:tc>
          <w:tcPr>
            <w:tcW w:w="1606"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92"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15</w:t>
            </w:r>
          </w:p>
        </w:tc>
        <w:tc>
          <w:tcPr>
            <w:tcW w:w="1092"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202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大湾河开发段</w:t>
            </w:r>
          </w:p>
        </w:tc>
        <w:tc>
          <w:tcPr>
            <w:tcW w:w="126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48.1</w:t>
            </w:r>
          </w:p>
        </w:tc>
        <w:tc>
          <w:tcPr>
            <w:tcW w:w="1249"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0.5</w:t>
            </w:r>
          </w:p>
        </w:tc>
        <w:tc>
          <w:tcPr>
            <w:tcW w:w="135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25.0</w:t>
            </w:r>
          </w:p>
        </w:tc>
        <w:tc>
          <w:tcPr>
            <w:tcW w:w="131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0.25</w:t>
            </w:r>
          </w:p>
        </w:tc>
        <w:tc>
          <w:tcPr>
            <w:tcW w:w="136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36.0</w:t>
            </w:r>
          </w:p>
        </w:tc>
        <w:tc>
          <w:tcPr>
            <w:tcW w:w="137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0.25</w:t>
            </w:r>
          </w:p>
        </w:tc>
        <w:tc>
          <w:tcPr>
            <w:tcW w:w="1447"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39.3</w:t>
            </w:r>
          </w:p>
        </w:tc>
        <w:tc>
          <w:tcPr>
            <w:tcW w:w="1606"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92"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w:t>
            </w:r>
          </w:p>
        </w:tc>
        <w:tc>
          <w:tcPr>
            <w:tcW w:w="1092" w:type="dxa"/>
            <w:vMerge w:val="restart"/>
            <w:shd w:val="clear" w:color="auto" w:fill="auto"/>
            <w:vAlign w:val="center"/>
          </w:tcPr>
          <w:p>
            <w:pPr>
              <w:spacing w:line="36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瓜里河</w:t>
            </w:r>
          </w:p>
        </w:tc>
        <w:tc>
          <w:tcPr>
            <w:tcW w:w="202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w:t>
            </w:r>
            <w:r>
              <w:rPr>
                <w:rFonts w:ascii="Times New Roman" w:hAnsi="Times New Roman" w:eastAsia="仿宋" w:cs="Times New Roman"/>
                <w:color w:val="auto"/>
                <w:sz w:val="21"/>
                <w:szCs w:val="21"/>
              </w:rPr>
              <w:t>保护段</w:t>
            </w:r>
          </w:p>
        </w:tc>
        <w:tc>
          <w:tcPr>
            <w:tcW w:w="126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52.1</w:t>
            </w:r>
          </w:p>
        </w:tc>
        <w:tc>
          <w:tcPr>
            <w:tcW w:w="1249"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0.7</w:t>
            </w:r>
          </w:p>
        </w:tc>
        <w:tc>
          <w:tcPr>
            <w:tcW w:w="135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100.0</w:t>
            </w:r>
          </w:p>
        </w:tc>
        <w:tc>
          <w:tcPr>
            <w:tcW w:w="131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0.3</w:t>
            </w:r>
          </w:p>
        </w:tc>
        <w:tc>
          <w:tcPr>
            <w:tcW w:w="136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w:t>
            </w:r>
          </w:p>
        </w:tc>
        <w:tc>
          <w:tcPr>
            <w:tcW w:w="137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w:t>
            </w:r>
          </w:p>
        </w:tc>
        <w:tc>
          <w:tcPr>
            <w:tcW w:w="1447"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66.5</w:t>
            </w:r>
          </w:p>
        </w:tc>
        <w:tc>
          <w:tcPr>
            <w:tcW w:w="1606"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92"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w:t>
            </w:r>
          </w:p>
        </w:tc>
        <w:tc>
          <w:tcPr>
            <w:tcW w:w="1092"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202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瓜里河保留段</w:t>
            </w:r>
          </w:p>
        </w:tc>
        <w:tc>
          <w:tcPr>
            <w:tcW w:w="126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54.8</w:t>
            </w:r>
          </w:p>
        </w:tc>
        <w:tc>
          <w:tcPr>
            <w:tcW w:w="1249"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0.7</w:t>
            </w:r>
          </w:p>
        </w:tc>
        <w:tc>
          <w:tcPr>
            <w:tcW w:w="135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100.0</w:t>
            </w:r>
          </w:p>
        </w:tc>
        <w:tc>
          <w:tcPr>
            <w:tcW w:w="131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0.3</w:t>
            </w:r>
          </w:p>
        </w:tc>
        <w:tc>
          <w:tcPr>
            <w:tcW w:w="136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w:t>
            </w:r>
          </w:p>
        </w:tc>
        <w:tc>
          <w:tcPr>
            <w:tcW w:w="137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w:t>
            </w:r>
          </w:p>
        </w:tc>
        <w:tc>
          <w:tcPr>
            <w:tcW w:w="1447"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68.3</w:t>
            </w:r>
          </w:p>
        </w:tc>
        <w:tc>
          <w:tcPr>
            <w:tcW w:w="1606"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92"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18</w:t>
            </w:r>
          </w:p>
        </w:tc>
        <w:tc>
          <w:tcPr>
            <w:tcW w:w="1092"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202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瓜里河开发段</w:t>
            </w:r>
          </w:p>
        </w:tc>
        <w:tc>
          <w:tcPr>
            <w:tcW w:w="126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55.4</w:t>
            </w:r>
          </w:p>
        </w:tc>
        <w:tc>
          <w:tcPr>
            <w:tcW w:w="1249"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0.7</w:t>
            </w:r>
          </w:p>
        </w:tc>
        <w:tc>
          <w:tcPr>
            <w:tcW w:w="135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25.0</w:t>
            </w:r>
          </w:p>
        </w:tc>
        <w:tc>
          <w:tcPr>
            <w:tcW w:w="131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0.3</w:t>
            </w:r>
          </w:p>
        </w:tc>
        <w:tc>
          <w:tcPr>
            <w:tcW w:w="136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w:t>
            </w:r>
          </w:p>
        </w:tc>
        <w:tc>
          <w:tcPr>
            <w:tcW w:w="137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w:t>
            </w:r>
          </w:p>
        </w:tc>
        <w:tc>
          <w:tcPr>
            <w:tcW w:w="1447"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46.3</w:t>
            </w:r>
          </w:p>
        </w:tc>
        <w:tc>
          <w:tcPr>
            <w:tcW w:w="1606"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92"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19</w:t>
            </w:r>
          </w:p>
        </w:tc>
        <w:tc>
          <w:tcPr>
            <w:tcW w:w="1092" w:type="dxa"/>
            <w:vMerge w:val="restart"/>
            <w:shd w:val="clear" w:color="auto" w:fill="auto"/>
            <w:vAlign w:val="center"/>
          </w:tcPr>
          <w:p>
            <w:pPr>
              <w:spacing w:line="36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木厂水</w:t>
            </w:r>
          </w:p>
        </w:tc>
        <w:tc>
          <w:tcPr>
            <w:tcW w:w="202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木厂水保护段</w:t>
            </w:r>
          </w:p>
        </w:tc>
        <w:tc>
          <w:tcPr>
            <w:tcW w:w="126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47.4</w:t>
            </w:r>
          </w:p>
        </w:tc>
        <w:tc>
          <w:tcPr>
            <w:tcW w:w="1249"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0.7</w:t>
            </w:r>
          </w:p>
        </w:tc>
        <w:tc>
          <w:tcPr>
            <w:tcW w:w="135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100.0</w:t>
            </w:r>
          </w:p>
        </w:tc>
        <w:tc>
          <w:tcPr>
            <w:tcW w:w="131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0.3</w:t>
            </w:r>
          </w:p>
        </w:tc>
        <w:tc>
          <w:tcPr>
            <w:tcW w:w="136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w:t>
            </w:r>
          </w:p>
        </w:tc>
        <w:tc>
          <w:tcPr>
            <w:tcW w:w="137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w:t>
            </w:r>
          </w:p>
        </w:tc>
        <w:tc>
          <w:tcPr>
            <w:tcW w:w="1447"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63.1</w:t>
            </w:r>
          </w:p>
        </w:tc>
        <w:tc>
          <w:tcPr>
            <w:tcW w:w="1606" w:type="dxa"/>
            <w:vMerge w:val="restart"/>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92"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20</w:t>
            </w:r>
          </w:p>
        </w:tc>
        <w:tc>
          <w:tcPr>
            <w:tcW w:w="1092"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c>
          <w:tcPr>
            <w:tcW w:w="202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木厂水开发段</w:t>
            </w:r>
          </w:p>
        </w:tc>
        <w:tc>
          <w:tcPr>
            <w:tcW w:w="1265"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48.2</w:t>
            </w:r>
          </w:p>
        </w:tc>
        <w:tc>
          <w:tcPr>
            <w:tcW w:w="1249"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0.7</w:t>
            </w:r>
          </w:p>
        </w:tc>
        <w:tc>
          <w:tcPr>
            <w:tcW w:w="135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25.0</w:t>
            </w:r>
          </w:p>
        </w:tc>
        <w:tc>
          <w:tcPr>
            <w:tcW w:w="1310"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0.3</w:t>
            </w:r>
          </w:p>
        </w:tc>
        <w:tc>
          <w:tcPr>
            <w:tcW w:w="136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w:t>
            </w:r>
          </w:p>
        </w:tc>
        <w:tc>
          <w:tcPr>
            <w:tcW w:w="1373"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w:t>
            </w:r>
          </w:p>
        </w:tc>
        <w:tc>
          <w:tcPr>
            <w:tcW w:w="1447" w:type="dxa"/>
            <w:shd w:val="clear" w:color="auto" w:fill="auto"/>
            <w:vAlign w:val="center"/>
          </w:tcPr>
          <w:p>
            <w:pPr>
              <w:spacing w:line="36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41.3</w:t>
            </w:r>
          </w:p>
        </w:tc>
        <w:tc>
          <w:tcPr>
            <w:tcW w:w="1606" w:type="dxa"/>
            <w:vMerge w:val="continue"/>
            <w:shd w:val="clear" w:color="auto" w:fill="auto"/>
            <w:vAlign w:val="center"/>
          </w:tcPr>
          <w:p>
            <w:pPr>
              <w:spacing w:line="360" w:lineRule="exact"/>
              <w:jc w:val="center"/>
              <w:rPr>
                <w:rFonts w:ascii="Times New Roman" w:hAnsi="Times New Roman" w:eastAsia="仿宋" w:cs="Times New Roman"/>
                <w:color w:val="auto"/>
                <w:sz w:val="21"/>
                <w:szCs w:val="21"/>
              </w:rPr>
            </w:pPr>
          </w:p>
        </w:tc>
      </w:tr>
    </w:tbl>
    <w:p>
      <w:pPr>
        <w:autoSpaceDE w:val="0"/>
        <w:autoSpaceDN w:val="0"/>
        <w:adjustRightInd w:val="0"/>
        <w:spacing w:line="560" w:lineRule="exact"/>
        <w:jc w:val="left"/>
        <w:outlineLvl w:val="9"/>
        <w:rPr>
          <w:rFonts w:ascii="Times New Roman" w:hAnsi="Times New Roman" w:eastAsia="仿宋" w:cs="Times New Roman"/>
          <w:color w:val="auto"/>
          <w:kern w:val="0"/>
          <w:sz w:val="28"/>
          <w:szCs w:val="28"/>
        </w:rPr>
        <w:sectPr>
          <w:pgSz w:w="16838" w:h="11906" w:orient="landscape"/>
          <w:pgMar w:top="1361" w:right="1361" w:bottom="1474" w:left="1418" w:header="1021" w:footer="964" w:gutter="0"/>
          <w:cols w:space="425" w:num="1"/>
          <w:docGrid w:linePitch="312" w:charSpace="0"/>
        </w:sectPr>
      </w:pPr>
    </w:p>
    <w:p>
      <w:pPr>
        <w:autoSpaceDE w:val="0"/>
        <w:autoSpaceDN w:val="0"/>
        <w:adjustRightInd w:val="0"/>
        <w:spacing w:line="560" w:lineRule="exact"/>
        <w:jc w:val="left"/>
        <w:outlineLvl w:val="2"/>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5.1.3 水质评估 </w:t>
      </w:r>
    </w:p>
    <w:p>
      <w:pPr>
        <w:autoSpaceDE w:val="0"/>
        <w:autoSpaceDN w:val="0"/>
        <w:adjustRightInd w:val="0"/>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（1）水温变异状况（WTC）</w:t>
      </w:r>
    </w:p>
    <w:p>
      <w:pPr>
        <w:autoSpaceDE w:val="0"/>
        <w:autoSpaceDN w:val="0"/>
        <w:adjustRightInd w:val="0"/>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在评估河段各断面监测水温，评估年水温监测数据如表5.1.3-1所示。</w:t>
      </w:r>
    </w:p>
    <w:p>
      <w:pPr>
        <w:spacing w:line="560" w:lineRule="exact"/>
        <w:ind w:firstLine="562" w:firstLineChars="200"/>
        <w:rPr>
          <w:rFonts w:ascii="Times New Roman" w:hAnsi="Times New Roman" w:eastAsia="仿宋" w:cs="Times New Roman"/>
          <w:b/>
          <w:color w:val="auto"/>
        </w:rPr>
      </w:pPr>
      <w:r>
        <w:rPr>
          <w:rFonts w:ascii="Times New Roman" w:hAnsi="Times New Roman" w:eastAsia="仿宋" w:cs="Times New Roman"/>
          <w:b/>
          <w:color w:val="auto"/>
          <w:kern w:val="0"/>
          <w:sz w:val="28"/>
          <w:szCs w:val="28"/>
        </w:rPr>
        <w:t xml:space="preserve">表5.1.3-1   </w:t>
      </w:r>
      <w:r>
        <w:rPr>
          <w:rFonts w:hint="eastAsia" w:ascii="Times New Roman" w:hAnsi="Times New Roman" w:eastAsia="仿宋" w:cs="Times New Roman"/>
          <w:b/>
          <w:color w:val="auto"/>
          <w:kern w:val="0"/>
          <w:sz w:val="28"/>
          <w:szCs w:val="28"/>
          <w:lang w:eastAsia="zh-CN"/>
        </w:rPr>
        <w:t>资江流域</w:t>
      </w:r>
      <w:r>
        <w:rPr>
          <w:rFonts w:ascii="Times New Roman" w:hAnsi="Times New Roman" w:eastAsia="仿宋" w:cs="Times New Roman"/>
          <w:b/>
          <w:color w:val="auto"/>
          <w:kern w:val="0"/>
          <w:sz w:val="28"/>
          <w:szCs w:val="28"/>
        </w:rPr>
        <w:t>评估河段水温变异指标赋分结果表</w:t>
      </w:r>
    </w:p>
    <w:tbl>
      <w:tblPr>
        <w:tblStyle w:val="15"/>
        <w:tblW w:w="9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2260"/>
        <w:gridCol w:w="2103"/>
        <w:gridCol w:w="1412"/>
        <w:gridCol w:w="1265"/>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109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序号</w:t>
            </w:r>
          </w:p>
        </w:tc>
        <w:tc>
          <w:tcPr>
            <w:tcW w:w="226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评估河段</w:t>
            </w:r>
          </w:p>
        </w:tc>
        <w:tc>
          <w:tcPr>
            <w:tcW w:w="210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站点</w:t>
            </w:r>
          </w:p>
        </w:tc>
        <w:tc>
          <w:tcPr>
            <w:tcW w:w="141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年均气温</w:t>
            </w:r>
          </w:p>
        </w:tc>
        <w:tc>
          <w:tcPr>
            <w:tcW w:w="126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变异度</w:t>
            </w:r>
          </w:p>
        </w:tc>
        <w:tc>
          <w:tcPr>
            <w:tcW w:w="1181"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水温赋分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9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w:t>
            </w:r>
          </w:p>
        </w:tc>
        <w:tc>
          <w:tcPr>
            <w:tcW w:w="226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ascii="Times New Roman" w:hAnsi="Times New Roman" w:eastAsia="仿宋" w:cs="Times New Roman"/>
                <w:color w:val="auto"/>
                <w:sz w:val="21"/>
                <w:szCs w:val="21"/>
              </w:rPr>
              <w:t>保护段</w:t>
            </w:r>
          </w:p>
        </w:tc>
        <w:tc>
          <w:tcPr>
            <w:tcW w:w="210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菜木塘</w:t>
            </w:r>
          </w:p>
        </w:tc>
        <w:tc>
          <w:tcPr>
            <w:tcW w:w="141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17.2</w:t>
            </w:r>
          </w:p>
        </w:tc>
        <w:tc>
          <w:tcPr>
            <w:tcW w:w="126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w:t>
            </w:r>
          </w:p>
        </w:tc>
        <w:tc>
          <w:tcPr>
            <w:tcW w:w="1181"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jc w:val="center"/>
        </w:trPr>
        <w:tc>
          <w:tcPr>
            <w:tcW w:w="109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w:t>
            </w:r>
          </w:p>
        </w:tc>
        <w:tc>
          <w:tcPr>
            <w:tcW w:w="226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210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平峡口</w:t>
            </w:r>
          </w:p>
        </w:tc>
        <w:tc>
          <w:tcPr>
            <w:tcW w:w="141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20.8</w:t>
            </w:r>
          </w:p>
        </w:tc>
        <w:tc>
          <w:tcPr>
            <w:tcW w:w="126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w:t>
            </w:r>
          </w:p>
        </w:tc>
        <w:tc>
          <w:tcPr>
            <w:tcW w:w="1181"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9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w:t>
            </w:r>
          </w:p>
        </w:tc>
        <w:tc>
          <w:tcPr>
            <w:tcW w:w="226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资江梅溪段</w:t>
            </w:r>
          </w:p>
        </w:tc>
        <w:tc>
          <w:tcPr>
            <w:tcW w:w="210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中平村</w:t>
            </w:r>
          </w:p>
        </w:tc>
        <w:tc>
          <w:tcPr>
            <w:tcW w:w="141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21.8</w:t>
            </w:r>
          </w:p>
        </w:tc>
        <w:tc>
          <w:tcPr>
            <w:tcW w:w="126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w:t>
            </w:r>
          </w:p>
        </w:tc>
        <w:tc>
          <w:tcPr>
            <w:tcW w:w="1181"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9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w:t>
            </w:r>
          </w:p>
        </w:tc>
        <w:tc>
          <w:tcPr>
            <w:tcW w:w="226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保护段</w:t>
            </w:r>
          </w:p>
        </w:tc>
        <w:tc>
          <w:tcPr>
            <w:tcW w:w="210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恭城</w:t>
            </w:r>
          </w:p>
        </w:tc>
        <w:tc>
          <w:tcPr>
            <w:tcW w:w="141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20.2</w:t>
            </w:r>
          </w:p>
        </w:tc>
        <w:tc>
          <w:tcPr>
            <w:tcW w:w="126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1.7</w:t>
            </w:r>
          </w:p>
        </w:tc>
        <w:tc>
          <w:tcPr>
            <w:tcW w:w="118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9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w:t>
            </w:r>
          </w:p>
        </w:tc>
        <w:tc>
          <w:tcPr>
            <w:tcW w:w="226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w:t>
            </w:r>
            <w:r>
              <w:rPr>
                <w:rFonts w:ascii="Times New Roman" w:hAnsi="Times New Roman" w:eastAsia="仿宋" w:cs="Times New Roman"/>
                <w:color w:val="auto"/>
                <w:sz w:val="21"/>
                <w:szCs w:val="21"/>
              </w:rPr>
              <w:t>保护段</w:t>
            </w:r>
          </w:p>
        </w:tc>
        <w:tc>
          <w:tcPr>
            <w:tcW w:w="210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富罗</w:t>
            </w:r>
          </w:p>
        </w:tc>
        <w:tc>
          <w:tcPr>
            <w:tcW w:w="141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22.3</w:t>
            </w:r>
          </w:p>
        </w:tc>
        <w:tc>
          <w:tcPr>
            <w:tcW w:w="126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w:t>
            </w:r>
          </w:p>
        </w:tc>
        <w:tc>
          <w:tcPr>
            <w:tcW w:w="1181"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78.8</w:t>
            </w:r>
          </w:p>
        </w:tc>
      </w:tr>
    </w:tbl>
    <w:p>
      <w:pPr>
        <w:autoSpaceDE w:val="0"/>
        <w:autoSpaceDN w:val="0"/>
        <w:adjustRightInd w:val="0"/>
        <w:spacing w:line="560" w:lineRule="exact"/>
        <w:ind w:firstLine="560" w:firstLineChars="200"/>
        <w:rPr>
          <w:rFonts w:ascii="Times New Roman" w:hAnsi="Times New Roman" w:eastAsia="仿宋" w:cs="Times New Roman"/>
          <w:color w:val="auto"/>
          <w:kern w:val="0"/>
          <w:sz w:val="28"/>
          <w:szCs w:val="28"/>
        </w:rPr>
      </w:pPr>
    </w:p>
    <w:p>
      <w:pPr>
        <w:autoSpaceDE w:val="0"/>
        <w:autoSpaceDN w:val="0"/>
        <w:adjustRightInd w:val="0"/>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（2） DO水质状况赋分结果 </w:t>
      </w:r>
    </w:p>
    <w:p>
      <w:pPr>
        <w:autoSpaceDE w:val="0"/>
        <w:autoSpaceDN w:val="0"/>
        <w:adjustRightInd w:val="0"/>
        <w:spacing w:line="560" w:lineRule="exact"/>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选用各站点监测资料，按照</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 xml:space="preserve">丰水期（3-8月）和枯水期（9-2月）进行平均，分别评估丰水期和枯水期赋分，取其最低赋分作为水质项目的赋分。按照DO水质状况指标赋分标准，对河段进行DO水质状况赋分，并以平均值作为评价河段DO水质状况的分值。赋分结果如表5.1.3-2所示： </w:t>
      </w:r>
    </w:p>
    <w:p>
      <w:pPr>
        <w:spacing w:line="560" w:lineRule="exact"/>
        <w:jc w:val="center"/>
        <w:rPr>
          <w:rFonts w:ascii="Times New Roman" w:hAnsi="Times New Roman" w:eastAsia="仿宋" w:cs="Times New Roman"/>
          <w:b/>
          <w:color w:val="auto"/>
          <w:kern w:val="0"/>
          <w:sz w:val="28"/>
          <w:szCs w:val="28"/>
        </w:rPr>
      </w:pPr>
      <w:r>
        <w:rPr>
          <w:rFonts w:ascii="Times New Roman" w:hAnsi="Times New Roman" w:eastAsia="仿宋" w:cs="Times New Roman"/>
          <w:b/>
          <w:color w:val="auto"/>
          <w:kern w:val="0"/>
          <w:sz w:val="28"/>
          <w:szCs w:val="28"/>
        </w:rPr>
        <w:t xml:space="preserve">表5.1.3-2   </w:t>
      </w:r>
      <w:r>
        <w:rPr>
          <w:rFonts w:hint="eastAsia" w:ascii="Times New Roman" w:hAnsi="Times New Roman" w:eastAsia="仿宋" w:cs="Times New Roman"/>
          <w:b/>
          <w:color w:val="auto"/>
          <w:kern w:val="0"/>
          <w:sz w:val="28"/>
          <w:szCs w:val="28"/>
          <w:lang w:eastAsia="zh-CN"/>
        </w:rPr>
        <w:t>资江流域</w:t>
      </w:r>
      <w:r>
        <w:rPr>
          <w:rFonts w:ascii="Times New Roman" w:hAnsi="Times New Roman" w:eastAsia="仿宋" w:cs="Times New Roman"/>
          <w:b/>
          <w:color w:val="auto"/>
          <w:kern w:val="0"/>
          <w:sz w:val="28"/>
          <w:szCs w:val="28"/>
        </w:rPr>
        <w:t>评估河段水质指标DO赋分结果</w:t>
      </w:r>
    </w:p>
    <w:tbl>
      <w:tblPr>
        <w:tblStyle w:val="15"/>
        <w:tblpPr w:leftFromText="180" w:rightFromText="180" w:vertAnchor="text" w:horzAnchor="page" w:tblpX="1560" w:tblpY="537"/>
        <w:tblOverlap w:val="never"/>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896"/>
        <w:gridCol w:w="1476"/>
        <w:gridCol w:w="1266"/>
        <w:gridCol w:w="1266"/>
        <w:gridCol w:w="1056"/>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36"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序号</w:t>
            </w:r>
          </w:p>
        </w:tc>
        <w:tc>
          <w:tcPr>
            <w:tcW w:w="1896"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评估河段</w:t>
            </w:r>
          </w:p>
        </w:tc>
        <w:tc>
          <w:tcPr>
            <w:tcW w:w="1476"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站点</w:t>
            </w:r>
          </w:p>
        </w:tc>
        <w:tc>
          <w:tcPr>
            <w:tcW w:w="1266"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丰水期赋分</w:t>
            </w:r>
          </w:p>
        </w:tc>
        <w:tc>
          <w:tcPr>
            <w:tcW w:w="1266"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枯水期赋分</w:t>
            </w:r>
          </w:p>
        </w:tc>
        <w:tc>
          <w:tcPr>
            <w:tcW w:w="1056"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全年赋分</w:t>
            </w:r>
          </w:p>
        </w:tc>
        <w:tc>
          <w:tcPr>
            <w:tcW w:w="1476"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评估河段赋分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w:t>
            </w:r>
          </w:p>
        </w:tc>
        <w:tc>
          <w:tcPr>
            <w:tcW w:w="189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ascii="Times New Roman" w:hAnsi="Times New Roman" w:eastAsia="仿宋" w:cs="Times New Roman"/>
                <w:color w:val="auto"/>
                <w:sz w:val="21"/>
                <w:szCs w:val="21"/>
              </w:rPr>
              <w:t>保护段</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菜木塘</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5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w:t>
            </w:r>
          </w:p>
        </w:tc>
        <w:tc>
          <w:tcPr>
            <w:tcW w:w="189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资江保护段</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菜木塘</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5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w:t>
            </w:r>
          </w:p>
        </w:tc>
        <w:tc>
          <w:tcPr>
            <w:tcW w:w="189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资江枫木段</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菜木塘</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5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w:t>
            </w:r>
          </w:p>
        </w:tc>
        <w:tc>
          <w:tcPr>
            <w:tcW w:w="189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菜木塘</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5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w:t>
            </w:r>
          </w:p>
        </w:tc>
        <w:tc>
          <w:tcPr>
            <w:tcW w:w="189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平峡口</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5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w:t>
            </w:r>
          </w:p>
        </w:tc>
        <w:tc>
          <w:tcPr>
            <w:tcW w:w="189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资江梅溪段</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ascii="Times New Roman" w:hAnsi="Times New Roman" w:eastAsia="仿宋" w:cs="Times New Roman"/>
                <w:color w:val="auto"/>
                <w:sz w:val="21"/>
                <w:szCs w:val="21"/>
              </w:rPr>
              <w:t>船厂码头</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5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w:t>
            </w:r>
          </w:p>
        </w:tc>
        <w:tc>
          <w:tcPr>
            <w:tcW w:w="189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保护段</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大地</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5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w:t>
            </w:r>
          </w:p>
        </w:tc>
        <w:tc>
          <w:tcPr>
            <w:tcW w:w="189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保留段</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回龙洲</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99.7</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5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99.7</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13</w:t>
            </w:r>
          </w:p>
        </w:tc>
        <w:tc>
          <w:tcPr>
            <w:tcW w:w="189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白竹洞河开发段</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恭城</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97.4</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5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97.4</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w:t>
            </w:r>
          </w:p>
        </w:tc>
        <w:tc>
          <w:tcPr>
            <w:tcW w:w="189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w:t>
            </w:r>
            <w:r>
              <w:rPr>
                <w:rFonts w:ascii="Times New Roman" w:hAnsi="Times New Roman" w:eastAsia="仿宋" w:cs="Times New Roman"/>
                <w:color w:val="auto"/>
                <w:sz w:val="21"/>
                <w:szCs w:val="21"/>
              </w:rPr>
              <w:t>保护段</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恭城</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97.4</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5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97.4</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15</w:t>
            </w:r>
          </w:p>
        </w:tc>
        <w:tc>
          <w:tcPr>
            <w:tcW w:w="189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大湾河开发段</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恭城</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97.4</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5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97.4</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w:t>
            </w:r>
          </w:p>
        </w:tc>
        <w:tc>
          <w:tcPr>
            <w:tcW w:w="189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w:t>
            </w:r>
            <w:r>
              <w:rPr>
                <w:rFonts w:ascii="Times New Roman" w:hAnsi="Times New Roman" w:eastAsia="仿宋" w:cs="Times New Roman"/>
                <w:color w:val="auto"/>
                <w:sz w:val="21"/>
                <w:szCs w:val="21"/>
              </w:rPr>
              <w:t>保护段</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中平村</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5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w:t>
            </w:r>
          </w:p>
        </w:tc>
        <w:tc>
          <w:tcPr>
            <w:tcW w:w="189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瓜里河保留段</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中平村</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5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18</w:t>
            </w:r>
          </w:p>
        </w:tc>
        <w:tc>
          <w:tcPr>
            <w:tcW w:w="189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瓜里河开发段</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中平村</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5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19</w:t>
            </w:r>
          </w:p>
        </w:tc>
        <w:tc>
          <w:tcPr>
            <w:tcW w:w="189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木厂水保护段</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中平村</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5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20</w:t>
            </w:r>
          </w:p>
        </w:tc>
        <w:tc>
          <w:tcPr>
            <w:tcW w:w="189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木厂水开发段</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中平村</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26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5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47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bl>
    <w:p>
      <w:pPr>
        <w:autoSpaceDE w:val="0"/>
        <w:autoSpaceDN w:val="0"/>
        <w:adjustRightInd w:val="0"/>
        <w:spacing w:line="560" w:lineRule="exact"/>
        <w:ind w:firstLine="560" w:firstLineChars="200"/>
        <w:rPr>
          <w:rFonts w:ascii="Times New Roman" w:hAnsi="Times New Roman" w:eastAsia="宋体" w:cs="Times New Roman"/>
          <w:color w:val="auto"/>
        </w:rPr>
      </w:pPr>
    </w:p>
    <w:p>
      <w:pPr>
        <w:autoSpaceDE w:val="0"/>
        <w:autoSpaceDN w:val="0"/>
        <w:adjustRightInd w:val="0"/>
        <w:spacing w:line="560" w:lineRule="exact"/>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（3） 耗氧有机物（OCP）赋分结果 </w:t>
      </w:r>
    </w:p>
    <w:p>
      <w:pPr>
        <w:autoSpaceDE w:val="0"/>
        <w:autoSpaceDN w:val="0"/>
        <w:adjustRightInd w:val="0"/>
        <w:spacing w:line="560" w:lineRule="exact"/>
        <w:ind w:firstLine="560" w:firstLineChars="200"/>
        <w:jc w:val="left"/>
        <w:rPr>
          <w:rFonts w:ascii="Times New Roman" w:hAnsi="Times New Roman" w:eastAsia="宋体" w:cs="Times New Roman"/>
          <w:color w:val="auto"/>
          <w:kern w:val="0"/>
          <w:sz w:val="28"/>
          <w:szCs w:val="28"/>
        </w:rPr>
      </w:pP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丰水期、枯水期及全年平均耗氧有机物赋分结果</w:t>
      </w:r>
      <w:r>
        <w:rPr>
          <w:rFonts w:ascii="Times New Roman" w:hAnsi="Times New Roman" w:eastAsia="宋体" w:cs="Times New Roman"/>
          <w:color w:val="auto"/>
          <w:kern w:val="0"/>
          <w:sz w:val="28"/>
          <w:szCs w:val="28"/>
        </w:rPr>
        <w:t xml:space="preserve">如表5.1.3-3~表5.1.3-5所示。 </w:t>
      </w:r>
    </w:p>
    <w:p>
      <w:pPr>
        <w:autoSpaceDE w:val="0"/>
        <w:autoSpaceDN w:val="0"/>
        <w:adjustRightInd w:val="0"/>
        <w:spacing w:line="560" w:lineRule="exact"/>
        <w:ind w:firstLine="560" w:firstLineChars="200"/>
        <w:jc w:val="left"/>
        <w:rPr>
          <w:rFonts w:ascii="Times New Roman" w:hAnsi="Times New Roman" w:eastAsia="宋体" w:cs="Times New Roman"/>
          <w:color w:val="auto"/>
          <w:kern w:val="0"/>
          <w:sz w:val="28"/>
          <w:szCs w:val="28"/>
        </w:rPr>
      </w:pPr>
    </w:p>
    <w:p>
      <w:pPr>
        <w:rPr>
          <w:rFonts w:ascii="Times New Roman" w:hAnsi="Times New Roman" w:eastAsia="仿宋" w:cs="Times New Roman"/>
          <w:b/>
          <w:color w:val="auto"/>
          <w:kern w:val="0"/>
          <w:sz w:val="28"/>
          <w:szCs w:val="28"/>
        </w:rPr>
      </w:pPr>
      <w:r>
        <w:rPr>
          <w:rFonts w:ascii="Times New Roman" w:hAnsi="Times New Roman" w:eastAsia="仿宋" w:cs="Times New Roman"/>
          <w:b/>
          <w:color w:val="auto"/>
          <w:kern w:val="0"/>
          <w:sz w:val="28"/>
          <w:szCs w:val="28"/>
        </w:rPr>
        <w:br w:type="page"/>
      </w:r>
    </w:p>
    <w:p>
      <w:pPr>
        <w:spacing w:line="560" w:lineRule="exact"/>
        <w:jc w:val="center"/>
        <w:rPr>
          <w:rFonts w:ascii="Times New Roman" w:hAnsi="Times New Roman" w:eastAsia="仿宋" w:cs="Times New Roman"/>
          <w:b/>
          <w:color w:val="auto"/>
          <w:kern w:val="0"/>
          <w:sz w:val="28"/>
          <w:szCs w:val="28"/>
        </w:rPr>
      </w:pPr>
      <w:r>
        <w:rPr>
          <w:rFonts w:ascii="Times New Roman" w:hAnsi="Times New Roman" w:eastAsia="仿宋" w:cs="Times New Roman"/>
          <w:b/>
          <w:color w:val="auto"/>
          <w:kern w:val="0"/>
          <w:sz w:val="28"/>
          <w:szCs w:val="28"/>
        </w:rPr>
        <w:t>表5.1.3-3   评估河段水质指标高锰酸钾指数（CODMN）赋分结果</w:t>
      </w:r>
    </w:p>
    <w:tbl>
      <w:tblPr>
        <w:tblStyle w:val="15"/>
        <w:tblW w:w="9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2023"/>
        <w:gridCol w:w="1669"/>
        <w:gridCol w:w="1497"/>
        <w:gridCol w:w="1699"/>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11"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序号</w:t>
            </w:r>
          </w:p>
        </w:tc>
        <w:tc>
          <w:tcPr>
            <w:tcW w:w="2023"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评估河段</w:t>
            </w:r>
          </w:p>
        </w:tc>
        <w:tc>
          <w:tcPr>
            <w:tcW w:w="1669"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站点</w:t>
            </w:r>
          </w:p>
        </w:tc>
        <w:tc>
          <w:tcPr>
            <w:tcW w:w="1497"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丰水期赋分</w:t>
            </w:r>
          </w:p>
        </w:tc>
        <w:tc>
          <w:tcPr>
            <w:tcW w:w="1699"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枯水期赋分</w:t>
            </w:r>
          </w:p>
        </w:tc>
        <w:tc>
          <w:tcPr>
            <w:tcW w:w="1374"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COD</w:t>
            </w:r>
            <w:r>
              <w:rPr>
                <w:rFonts w:ascii="Times New Roman" w:hAnsi="Times New Roman" w:eastAsia="仿宋" w:cs="Times New Roman"/>
                <w:color w:val="auto"/>
                <w:kern w:val="0"/>
                <w:sz w:val="21"/>
                <w:szCs w:val="21"/>
                <w:vertAlign w:val="subscript"/>
              </w:rPr>
              <w:t>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w:t>
            </w:r>
          </w:p>
        </w:tc>
        <w:tc>
          <w:tcPr>
            <w:tcW w:w="202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ascii="Times New Roman" w:hAnsi="Times New Roman" w:eastAsia="仿宋" w:cs="Times New Roman"/>
                <w:color w:val="auto"/>
                <w:sz w:val="21"/>
                <w:szCs w:val="21"/>
              </w:rPr>
              <w:t>保护段</w:t>
            </w:r>
          </w:p>
        </w:tc>
        <w:tc>
          <w:tcPr>
            <w:tcW w:w="166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菜木塘</w:t>
            </w:r>
          </w:p>
        </w:tc>
        <w:tc>
          <w:tcPr>
            <w:tcW w:w="14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6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7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w:t>
            </w:r>
          </w:p>
        </w:tc>
        <w:tc>
          <w:tcPr>
            <w:tcW w:w="202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166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平峡口</w:t>
            </w:r>
          </w:p>
        </w:tc>
        <w:tc>
          <w:tcPr>
            <w:tcW w:w="14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6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7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w:t>
            </w:r>
          </w:p>
        </w:tc>
        <w:tc>
          <w:tcPr>
            <w:tcW w:w="202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w:t>
            </w:r>
            <w:r>
              <w:rPr>
                <w:rFonts w:ascii="Times New Roman" w:hAnsi="Times New Roman" w:eastAsia="仿宋" w:cs="Times New Roman"/>
                <w:color w:val="auto"/>
                <w:sz w:val="21"/>
                <w:szCs w:val="21"/>
              </w:rPr>
              <w:t>保护段</w:t>
            </w:r>
          </w:p>
        </w:tc>
        <w:tc>
          <w:tcPr>
            <w:tcW w:w="166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中平村</w:t>
            </w:r>
          </w:p>
        </w:tc>
        <w:tc>
          <w:tcPr>
            <w:tcW w:w="14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6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7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w:t>
            </w:r>
          </w:p>
        </w:tc>
        <w:tc>
          <w:tcPr>
            <w:tcW w:w="202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保护段</w:t>
            </w:r>
          </w:p>
        </w:tc>
        <w:tc>
          <w:tcPr>
            <w:tcW w:w="166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大地</w:t>
            </w:r>
          </w:p>
        </w:tc>
        <w:tc>
          <w:tcPr>
            <w:tcW w:w="14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6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7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w:t>
            </w:r>
          </w:p>
        </w:tc>
        <w:tc>
          <w:tcPr>
            <w:tcW w:w="202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保留段</w:t>
            </w:r>
          </w:p>
        </w:tc>
        <w:tc>
          <w:tcPr>
            <w:tcW w:w="166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回龙洲</w:t>
            </w:r>
          </w:p>
        </w:tc>
        <w:tc>
          <w:tcPr>
            <w:tcW w:w="14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6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7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w:t>
            </w:r>
          </w:p>
        </w:tc>
        <w:tc>
          <w:tcPr>
            <w:tcW w:w="202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白竹洞河开发段</w:t>
            </w:r>
          </w:p>
        </w:tc>
        <w:tc>
          <w:tcPr>
            <w:tcW w:w="166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恭城</w:t>
            </w:r>
          </w:p>
        </w:tc>
        <w:tc>
          <w:tcPr>
            <w:tcW w:w="14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6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7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w:t>
            </w:r>
          </w:p>
        </w:tc>
        <w:tc>
          <w:tcPr>
            <w:tcW w:w="202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w:t>
            </w:r>
          </w:p>
        </w:tc>
        <w:tc>
          <w:tcPr>
            <w:tcW w:w="166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口</w:t>
            </w:r>
          </w:p>
        </w:tc>
        <w:tc>
          <w:tcPr>
            <w:tcW w:w="14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6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7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bl>
    <w:p>
      <w:pPr>
        <w:spacing w:line="560" w:lineRule="exact"/>
        <w:jc w:val="center"/>
        <w:rPr>
          <w:rFonts w:ascii="Times New Roman" w:hAnsi="Times New Roman" w:eastAsia="仿宋" w:cs="Times New Roman"/>
          <w:b/>
          <w:color w:val="auto"/>
          <w:kern w:val="0"/>
          <w:sz w:val="28"/>
          <w:szCs w:val="28"/>
        </w:rPr>
      </w:pPr>
      <w:r>
        <w:rPr>
          <w:rFonts w:ascii="Times New Roman" w:hAnsi="Times New Roman" w:eastAsia="仿宋" w:cs="Times New Roman"/>
          <w:b/>
          <w:color w:val="auto"/>
          <w:kern w:val="0"/>
          <w:sz w:val="28"/>
          <w:szCs w:val="28"/>
        </w:rPr>
        <w:t>表5.1.3-4   评估河段水质指标五日生化需氧量指数（BOD5）结果</w:t>
      </w:r>
    </w:p>
    <w:tbl>
      <w:tblPr>
        <w:tblStyle w:val="15"/>
        <w:tblW w:w="9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2023"/>
        <w:gridCol w:w="1669"/>
        <w:gridCol w:w="1497"/>
        <w:gridCol w:w="1699"/>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011"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序号</w:t>
            </w:r>
          </w:p>
        </w:tc>
        <w:tc>
          <w:tcPr>
            <w:tcW w:w="2023"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评估河段</w:t>
            </w:r>
          </w:p>
        </w:tc>
        <w:tc>
          <w:tcPr>
            <w:tcW w:w="1669"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站点</w:t>
            </w:r>
          </w:p>
        </w:tc>
        <w:tc>
          <w:tcPr>
            <w:tcW w:w="1497"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丰水期赋分</w:t>
            </w:r>
          </w:p>
        </w:tc>
        <w:tc>
          <w:tcPr>
            <w:tcW w:w="1699"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枯水期赋分</w:t>
            </w:r>
          </w:p>
        </w:tc>
        <w:tc>
          <w:tcPr>
            <w:tcW w:w="1374"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BOD</w:t>
            </w:r>
            <w:r>
              <w:rPr>
                <w:rFonts w:ascii="Times New Roman" w:hAnsi="Times New Roman" w:eastAsia="仿宋" w:cs="Times New Roman"/>
                <w:color w:val="auto"/>
                <w:kern w:val="0"/>
                <w:sz w:val="21"/>
                <w:szCs w:val="21"/>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0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w:t>
            </w:r>
          </w:p>
        </w:tc>
        <w:tc>
          <w:tcPr>
            <w:tcW w:w="202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ascii="Times New Roman" w:hAnsi="Times New Roman" w:eastAsia="仿宋" w:cs="Times New Roman"/>
                <w:color w:val="auto"/>
                <w:sz w:val="21"/>
                <w:szCs w:val="21"/>
              </w:rPr>
              <w:t>保护段</w:t>
            </w:r>
          </w:p>
        </w:tc>
        <w:tc>
          <w:tcPr>
            <w:tcW w:w="166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菜木塘</w:t>
            </w:r>
          </w:p>
        </w:tc>
        <w:tc>
          <w:tcPr>
            <w:tcW w:w="14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6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7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0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w:t>
            </w:r>
          </w:p>
        </w:tc>
        <w:tc>
          <w:tcPr>
            <w:tcW w:w="202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166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平峡口</w:t>
            </w:r>
          </w:p>
        </w:tc>
        <w:tc>
          <w:tcPr>
            <w:tcW w:w="14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6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7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0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w:t>
            </w:r>
          </w:p>
        </w:tc>
        <w:tc>
          <w:tcPr>
            <w:tcW w:w="202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资江梅溪段</w:t>
            </w:r>
          </w:p>
        </w:tc>
        <w:tc>
          <w:tcPr>
            <w:tcW w:w="166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ascii="Times New Roman" w:hAnsi="Times New Roman" w:eastAsia="仿宋" w:cs="Times New Roman"/>
                <w:color w:val="auto"/>
                <w:sz w:val="21"/>
                <w:szCs w:val="21"/>
              </w:rPr>
              <w:t>船厂码头</w:t>
            </w:r>
          </w:p>
        </w:tc>
        <w:tc>
          <w:tcPr>
            <w:tcW w:w="14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6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7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0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w:t>
            </w:r>
          </w:p>
        </w:tc>
        <w:tc>
          <w:tcPr>
            <w:tcW w:w="202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保护段</w:t>
            </w:r>
          </w:p>
        </w:tc>
        <w:tc>
          <w:tcPr>
            <w:tcW w:w="166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大地</w:t>
            </w:r>
          </w:p>
        </w:tc>
        <w:tc>
          <w:tcPr>
            <w:tcW w:w="14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6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7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0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w:t>
            </w:r>
          </w:p>
        </w:tc>
        <w:tc>
          <w:tcPr>
            <w:tcW w:w="202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保留段</w:t>
            </w:r>
          </w:p>
        </w:tc>
        <w:tc>
          <w:tcPr>
            <w:tcW w:w="166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回龙洲</w:t>
            </w:r>
          </w:p>
        </w:tc>
        <w:tc>
          <w:tcPr>
            <w:tcW w:w="14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6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7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0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w:t>
            </w:r>
          </w:p>
        </w:tc>
        <w:tc>
          <w:tcPr>
            <w:tcW w:w="202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白竹洞河开发段</w:t>
            </w:r>
          </w:p>
        </w:tc>
        <w:tc>
          <w:tcPr>
            <w:tcW w:w="166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恭城</w:t>
            </w:r>
          </w:p>
        </w:tc>
        <w:tc>
          <w:tcPr>
            <w:tcW w:w="14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6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7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0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w:t>
            </w:r>
          </w:p>
        </w:tc>
        <w:tc>
          <w:tcPr>
            <w:tcW w:w="202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w:t>
            </w:r>
          </w:p>
        </w:tc>
        <w:tc>
          <w:tcPr>
            <w:tcW w:w="166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口</w:t>
            </w:r>
          </w:p>
        </w:tc>
        <w:tc>
          <w:tcPr>
            <w:tcW w:w="14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6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7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bl>
    <w:p>
      <w:pPr>
        <w:spacing w:line="560" w:lineRule="exact"/>
        <w:ind w:firstLine="562" w:firstLineChars="200"/>
        <w:rPr>
          <w:rFonts w:ascii="Times New Roman" w:hAnsi="Times New Roman" w:eastAsia="仿宋" w:cs="Times New Roman"/>
          <w:b/>
          <w:color w:val="auto"/>
        </w:rPr>
      </w:pPr>
      <w:r>
        <w:rPr>
          <w:rFonts w:ascii="Times New Roman" w:hAnsi="Times New Roman" w:eastAsia="仿宋" w:cs="Times New Roman"/>
          <w:b/>
          <w:color w:val="auto"/>
          <w:sz w:val="28"/>
          <w:szCs w:val="28"/>
        </w:rPr>
        <w:t>表5.1.3-5       评估河段水质指标氨氮（NH</w:t>
      </w:r>
      <w:r>
        <w:rPr>
          <w:rFonts w:ascii="Times New Roman" w:hAnsi="Times New Roman" w:eastAsia="仿宋" w:cs="Times New Roman"/>
          <w:b/>
          <w:color w:val="auto"/>
          <w:sz w:val="18"/>
          <w:szCs w:val="18"/>
        </w:rPr>
        <w:t>3</w:t>
      </w:r>
      <w:r>
        <w:rPr>
          <w:rFonts w:ascii="Times New Roman" w:hAnsi="Times New Roman" w:eastAsia="仿宋" w:cs="Times New Roman"/>
          <w:b/>
          <w:color w:val="auto"/>
          <w:sz w:val="28"/>
          <w:szCs w:val="28"/>
        </w:rPr>
        <w:t>-N）赋分结果</w:t>
      </w:r>
    </w:p>
    <w:tbl>
      <w:tblPr>
        <w:tblStyle w:val="15"/>
        <w:tblW w:w="9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2023"/>
        <w:gridCol w:w="1669"/>
        <w:gridCol w:w="1497"/>
        <w:gridCol w:w="1699"/>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011"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序号</w:t>
            </w:r>
          </w:p>
        </w:tc>
        <w:tc>
          <w:tcPr>
            <w:tcW w:w="2023"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评估河段</w:t>
            </w:r>
          </w:p>
        </w:tc>
        <w:tc>
          <w:tcPr>
            <w:tcW w:w="1669"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站点</w:t>
            </w:r>
          </w:p>
        </w:tc>
        <w:tc>
          <w:tcPr>
            <w:tcW w:w="1497"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丰水期赋分</w:t>
            </w:r>
          </w:p>
        </w:tc>
        <w:tc>
          <w:tcPr>
            <w:tcW w:w="1699"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枯水期赋分</w:t>
            </w:r>
          </w:p>
        </w:tc>
        <w:tc>
          <w:tcPr>
            <w:tcW w:w="1374"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sz w:val="21"/>
                <w:szCs w:val="21"/>
              </w:rPr>
              <w:t>NH3-N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0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w:t>
            </w:r>
          </w:p>
        </w:tc>
        <w:tc>
          <w:tcPr>
            <w:tcW w:w="202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ascii="Times New Roman" w:hAnsi="Times New Roman" w:eastAsia="仿宋" w:cs="Times New Roman"/>
                <w:color w:val="auto"/>
                <w:sz w:val="21"/>
                <w:szCs w:val="21"/>
              </w:rPr>
              <w:t>保护段</w:t>
            </w:r>
          </w:p>
        </w:tc>
        <w:tc>
          <w:tcPr>
            <w:tcW w:w="166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菜木塘</w:t>
            </w:r>
          </w:p>
        </w:tc>
        <w:tc>
          <w:tcPr>
            <w:tcW w:w="14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6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7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0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w:t>
            </w:r>
          </w:p>
        </w:tc>
        <w:tc>
          <w:tcPr>
            <w:tcW w:w="202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166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平峡口</w:t>
            </w:r>
          </w:p>
        </w:tc>
        <w:tc>
          <w:tcPr>
            <w:tcW w:w="14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6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7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0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w:t>
            </w:r>
          </w:p>
        </w:tc>
        <w:tc>
          <w:tcPr>
            <w:tcW w:w="202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资江梅溪段</w:t>
            </w:r>
          </w:p>
        </w:tc>
        <w:tc>
          <w:tcPr>
            <w:tcW w:w="166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ascii="Times New Roman" w:hAnsi="Times New Roman" w:eastAsia="仿宋" w:cs="Times New Roman"/>
                <w:color w:val="auto"/>
                <w:sz w:val="21"/>
                <w:szCs w:val="21"/>
              </w:rPr>
              <w:t>船厂码头</w:t>
            </w:r>
          </w:p>
        </w:tc>
        <w:tc>
          <w:tcPr>
            <w:tcW w:w="14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6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7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0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w:t>
            </w:r>
          </w:p>
        </w:tc>
        <w:tc>
          <w:tcPr>
            <w:tcW w:w="202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保护段</w:t>
            </w:r>
          </w:p>
        </w:tc>
        <w:tc>
          <w:tcPr>
            <w:tcW w:w="166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大地</w:t>
            </w:r>
          </w:p>
        </w:tc>
        <w:tc>
          <w:tcPr>
            <w:tcW w:w="14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6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7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0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w:t>
            </w:r>
          </w:p>
        </w:tc>
        <w:tc>
          <w:tcPr>
            <w:tcW w:w="202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保留段</w:t>
            </w:r>
          </w:p>
        </w:tc>
        <w:tc>
          <w:tcPr>
            <w:tcW w:w="166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回龙洲</w:t>
            </w:r>
          </w:p>
        </w:tc>
        <w:tc>
          <w:tcPr>
            <w:tcW w:w="14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6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7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0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w:t>
            </w:r>
          </w:p>
        </w:tc>
        <w:tc>
          <w:tcPr>
            <w:tcW w:w="202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白竹洞河开发段</w:t>
            </w:r>
          </w:p>
        </w:tc>
        <w:tc>
          <w:tcPr>
            <w:tcW w:w="166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恭城</w:t>
            </w:r>
          </w:p>
        </w:tc>
        <w:tc>
          <w:tcPr>
            <w:tcW w:w="14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92.7</w:t>
            </w:r>
          </w:p>
        </w:tc>
        <w:tc>
          <w:tcPr>
            <w:tcW w:w="16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7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0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w:t>
            </w:r>
          </w:p>
        </w:tc>
        <w:tc>
          <w:tcPr>
            <w:tcW w:w="202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w:t>
            </w:r>
          </w:p>
        </w:tc>
        <w:tc>
          <w:tcPr>
            <w:tcW w:w="166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口</w:t>
            </w:r>
          </w:p>
        </w:tc>
        <w:tc>
          <w:tcPr>
            <w:tcW w:w="14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6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99.8</w:t>
            </w:r>
          </w:p>
        </w:tc>
        <w:tc>
          <w:tcPr>
            <w:tcW w:w="137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bl>
    <w:p>
      <w:pPr>
        <w:spacing w:line="560" w:lineRule="exact"/>
        <w:ind w:firstLine="560" w:firstLineChars="200"/>
        <w:rPr>
          <w:rFonts w:ascii="Times New Roman" w:hAnsi="Times New Roman" w:eastAsia="仿宋" w:cs="Times New Roman"/>
          <w:color w:val="auto"/>
          <w:kern w:val="0"/>
          <w:sz w:val="28"/>
          <w:szCs w:val="28"/>
        </w:rPr>
      </w:pPr>
    </w:p>
    <w:p>
      <w:pPr>
        <w:spacing w:line="560" w:lineRule="exact"/>
        <w:ind w:firstLine="560" w:firstLineChars="200"/>
        <w:rPr>
          <w:rFonts w:ascii="Times New Roman" w:hAnsi="Times New Roman" w:eastAsia="宋体" w:cs="Times New Roman"/>
          <w:color w:val="auto"/>
          <w:sz w:val="28"/>
          <w:szCs w:val="28"/>
        </w:rPr>
      </w:pPr>
      <w:r>
        <w:rPr>
          <w:rFonts w:ascii="Times New Roman" w:hAnsi="Times New Roman" w:eastAsia="仿宋" w:cs="Times New Roman"/>
          <w:color w:val="auto"/>
          <w:kern w:val="0"/>
          <w:sz w:val="28"/>
          <w:szCs w:val="28"/>
        </w:rPr>
        <w:t>根据3.6节计算方法，取高锰酸钾指数、五日生化需氧量、氨氮三个水质项目赋分的平均值作为耗氧有机污染状况赋分（OCPr）</w:t>
      </w:r>
      <w:r>
        <w:rPr>
          <w:rFonts w:ascii="Times New Roman" w:hAnsi="Times New Roman" w:eastAsia="宋体" w:cs="Times New Roman"/>
          <w:color w:val="auto"/>
          <w:sz w:val="28"/>
          <w:szCs w:val="28"/>
        </w:rPr>
        <w:t>，得到结果见表5.1.3-6。</w:t>
      </w:r>
    </w:p>
    <w:p>
      <w:pPr>
        <w:pStyle w:val="2"/>
      </w:pPr>
    </w:p>
    <w:p>
      <w:pPr>
        <w:spacing w:line="560" w:lineRule="exact"/>
        <w:ind w:firstLine="562" w:firstLineChars="200"/>
        <w:rPr>
          <w:rFonts w:ascii="Times New Roman" w:hAnsi="Times New Roman" w:eastAsia="仿宋" w:cs="Times New Roman"/>
          <w:b/>
          <w:color w:val="auto"/>
          <w:kern w:val="0"/>
          <w:sz w:val="28"/>
          <w:szCs w:val="28"/>
        </w:rPr>
      </w:pPr>
      <w:r>
        <w:rPr>
          <w:rFonts w:ascii="Times New Roman" w:hAnsi="Times New Roman" w:eastAsia="仿宋" w:cs="Times New Roman"/>
          <w:b/>
          <w:color w:val="auto"/>
          <w:kern w:val="0"/>
          <w:sz w:val="28"/>
          <w:szCs w:val="28"/>
        </w:rPr>
        <w:t>表5.1.3-6     评估河段水质指标耗氧有机物OCP赋分结果表</w:t>
      </w:r>
    </w:p>
    <w:tbl>
      <w:tblPr>
        <w:tblStyle w:val="15"/>
        <w:tblW w:w="9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2818"/>
        <w:gridCol w:w="951"/>
        <w:gridCol w:w="944"/>
        <w:gridCol w:w="1026"/>
        <w:gridCol w:w="2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序号</w:t>
            </w:r>
          </w:p>
        </w:tc>
        <w:tc>
          <w:tcPr>
            <w:tcW w:w="2818"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评估河段</w:t>
            </w:r>
          </w:p>
        </w:tc>
        <w:tc>
          <w:tcPr>
            <w:tcW w:w="951"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COD</w:t>
            </w:r>
            <w:r>
              <w:rPr>
                <w:rFonts w:ascii="Times New Roman" w:hAnsi="Times New Roman" w:eastAsia="仿宋" w:cs="Times New Roman"/>
                <w:color w:val="auto"/>
                <w:kern w:val="0"/>
                <w:sz w:val="21"/>
                <w:szCs w:val="21"/>
                <w:vertAlign w:val="subscript"/>
              </w:rPr>
              <w:t>MN</w:t>
            </w:r>
          </w:p>
        </w:tc>
        <w:tc>
          <w:tcPr>
            <w:tcW w:w="944"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BODr</w:t>
            </w:r>
          </w:p>
        </w:tc>
        <w:tc>
          <w:tcPr>
            <w:tcW w:w="1026"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NH</w:t>
            </w:r>
            <w:r>
              <w:rPr>
                <w:rFonts w:ascii="Times New Roman" w:hAnsi="Times New Roman" w:eastAsia="仿宋" w:cs="Times New Roman"/>
                <w:color w:val="auto"/>
                <w:kern w:val="0"/>
                <w:sz w:val="21"/>
                <w:szCs w:val="21"/>
                <w:vertAlign w:val="subscript"/>
              </w:rPr>
              <w:t>3</w:t>
            </w:r>
            <w:r>
              <w:rPr>
                <w:rFonts w:ascii="Times New Roman" w:hAnsi="Times New Roman" w:eastAsia="仿宋" w:cs="Times New Roman"/>
                <w:color w:val="auto"/>
                <w:kern w:val="0"/>
                <w:sz w:val="21"/>
                <w:szCs w:val="21"/>
              </w:rPr>
              <w:t>-N</w:t>
            </w:r>
          </w:p>
        </w:tc>
        <w:tc>
          <w:tcPr>
            <w:tcW w:w="2661"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评估河段OCP赋分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w:t>
            </w:r>
          </w:p>
        </w:tc>
        <w:tc>
          <w:tcPr>
            <w:tcW w:w="281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ascii="Times New Roman" w:hAnsi="Times New Roman" w:eastAsia="仿宋" w:cs="Times New Roman"/>
                <w:color w:val="auto"/>
                <w:sz w:val="21"/>
                <w:szCs w:val="21"/>
              </w:rPr>
              <w:t>保护段</w:t>
            </w:r>
          </w:p>
        </w:tc>
        <w:tc>
          <w:tcPr>
            <w:tcW w:w="95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9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2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266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w:t>
            </w:r>
          </w:p>
        </w:tc>
        <w:tc>
          <w:tcPr>
            <w:tcW w:w="281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资江枫木段</w:t>
            </w:r>
          </w:p>
        </w:tc>
        <w:tc>
          <w:tcPr>
            <w:tcW w:w="95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9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2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266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w:t>
            </w:r>
          </w:p>
        </w:tc>
        <w:tc>
          <w:tcPr>
            <w:tcW w:w="281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95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9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2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266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w:t>
            </w:r>
          </w:p>
        </w:tc>
        <w:tc>
          <w:tcPr>
            <w:tcW w:w="281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资江梅溪段</w:t>
            </w:r>
          </w:p>
        </w:tc>
        <w:tc>
          <w:tcPr>
            <w:tcW w:w="95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94.2</w:t>
            </w:r>
          </w:p>
        </w:tc>
        <w:tc>
          <w:tcPr>
            <w:tcW w:w="9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2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266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w:t>
            </w:r>
          </w:p>
        </w:tc>
        <w:tc>
          <w:tcPr>
            <w:tcW w:w="281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保护段</w:t>
            </w:r>
          </w:p>
        </w:tc>
        <w:tc>
          <w:tcPr>
            <w:tcW w:w="95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9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2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266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w:t>
            </w:r>
          </w:p>
        </w:tc>
        <w:tc>
          <w:tcPr>
            <w:tcW w:w="281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保留段</w:t>
            </w:r>
          </w:p>
        </w:tc>
        <w:tc>
          <w:tcPr>
            <w:tcW w:w="95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9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2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266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13</w:t>
            </w:r>
          </w:p>
        </w:tc>
        <w:tc>
          <w:tcPr>
            <w:tcW w:w="281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白竹洞河开发段</w:t>
            </w:r>
          </w:p>
        </w:tc>
        <w:tc>
          <w:tcPr>
            <w:tcW w:w="95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9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2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92.7</w:t>
            </w:r>
          </w:p>
        </w:tc>
        <w:tc>
          <w:tcPr>
            <w:tcW w:w="266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w:t>
            </w:r>
          </w:p>
        </w:tc>
        <w:tc>
          <w:tcPr>
            <w:tcW w:w="281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w:t>
            </w:r>
            <w:r>
              <w:rPr>
                <w:rFonts w:ascii="Times New Roman" w:hAnsi="Times New Roman" w:eastAsia="仿宋" w:cs="Times New Roman"/>
                <w:color w:val="auto"/>
                <w:sz w:val="21"/>
                <w:szCs w:val="21"/>
              </w:rPr>
              <w:t>保护段</w:t>
            </w:r>
          </w:p>
        </w:tc>
        <w:tc>
          <w:tcPr>
            <w:tcW w:w="95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9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2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92.7</w:t>
            </w:r>
          </w:p>
        </w:tc>
        <w:tc>
          <w:tcPr>
            <w:tcW w:w="266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15</w:t>
            </w:r>
          </w:p>
        </w:tc>
        <w:tc>
          <w:tcPr>
            <w:tcW w:w="281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大湾河开发段</w:t>
            </w:r>
          </w:p>
        </w:tc>
        <w:tc>
          <w:tcPr>
            <w:tcW w:w="95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9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2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92.7</w:t>
            </w:r>
          </w:p>
        </w:tc>
        <w:tc>
          <w:tcPr>
            <w:tcW w:w="266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w:t>
            </w:r>
          </w:p>
        </w:tc>
        <w:tc>
          <w:tcPr>
            <w:tcW w:w="281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w:t>
            </w:r>
            <w:r>
              <w:rPr>
                <w:rFonts w:ascii="Times New Roman" w:hAnsi="Times New Roman" w:eastAsia="仿宋" w:cs="Times New Roman"/>
                <w:color w:val="auto"/>
                <w:sz w:val="21"/>
                <w:szCs w:val="21"/>
              </w:rPr>
              <w:t>保护段</w:t>
            </w:r>
          </w:p>
        </w:tc>
        <w:tc>
          <w:tcPr>
            <w:tcW w:w="95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9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2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266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w:t>
            </w:r>
          </w:p>
        </w:tc>
        <w:tc>
          <w:tcPr>
            <w:tcW w:w="281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瓜里河保留段</w:t>
            </w:r>
          </w:p>
        </w:tc>
        <w:tc>
          <w:tcPr>
            <w:tcW w:w="95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9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2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266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18</w:t>
            </w:r>
          </w:p>
        </w:tc>
        <w:tc>
          <w:tcPr>
            <w:tcW w:w="281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瓜里河开发段</w:t>
            </w:r>
          </w:p>
        </w:tc>
        <w:tc>
          <w:tcPr>
            <w:tcW w:w="95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9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2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266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19</w:t>
            </w:r>
          </w:p>
        </w:tc>
        <w:tc>
          <w:tcPr>
            <w:tcW w:w="281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木厂水保护段</w:t>
            </w:r>
          </w:p>
        </w:tc>
        <w:tc>
          <w:tcPr>
            <w:tcW w:w="95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9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2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266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20</w:t>
            </w:r>
          </w:p>
        </w:tc>
        <w:tc>
          <w:tcPr>
            <w:tcW w:w="281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木厂水开发段</w:t>
            </w:r>
          </w:p>
        </w:tc>
        <w:tc>
          <w:tcPr>
            <w:tcW w:w="95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9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02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266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bl>
    <w:p>
      <w:pPr>
        <w:autoSpaceDE w:val="0"/>
        <w:autoSpaceDN w:val="0"/>
        <w:adjustRightInd w:val="0"/>
        <w:ind w:firstLine="560" w:firstLineChars="200"/>
        <w:jc w:val="left"/>
        <w:rPr>
          <w:rFonts w:ascii="Times New Roman" w:hAnsi="Times New Roman" w:eastAsia="仿宋" w:cs="Times New Roman"/>
          <w:color w:val="auto"/>
          <w:kern w:val="0"/>
          <w:sz w:val="28"/>
          <w:szCs w:val="28"/>
        </w:rPr>
      </w:pPr>
    </w:p>
    <w:p>
      <w:pPr>
        <w:autoSpaceDE w:val="0"/>
        <w:autoSpaceDN w:val="0"/>
        <w:adjustRightInd w:val="0"/>
        <w:spacing w:line="560" w:lineRule="exact"/>
        <w:ind w:firstLine="420" w:firstLineChars="15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（4） 重金属赋分结果 </w:t>
      </w:r>
    </w:p>
    <w:p>
      <w:pPr>
        <w:autoSpaceDE w:val="0"/>
        <w:autoSpaceDN w:val="0"/>
        <w:adjustRightInd w:val="0"/>
        <w:spacing w:line="560" w:lineRule="exact"/>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按照3.6.3节的重金属污染物指标赋分标准，取汞、镉、镉、铬、铅及砷5项水质项目赋分的最低赋分作为重金属污染状况赋分（HMPr）。</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各评估河段全年的重金属污染状况赋分结果如表5.1.3-7所示。</w:t>
      </w:r>
    </w:p>
    <w:p>
      <w:pPr>
        <w:autoSpaceDE w:val="0"/>
        <w:autoSpaceDN w:val="0"/>
        <w:adjustRightInd w:val="0"/>
        <w:spacing w:line="560" w:lineRule="exact"/>
        <w:ind w:firstLine="560" w:firstLineChars="200"/>
        <w:jc w:val="left"/>
        <w:rPr>
          <w:rFonts w:ascii="Times New Roman" w:hAnsi="Times New Roman" w:eastAsia="仿宋" w:cs="Times New Roman"/>
          <w:color w:val="auto"/>
          <w:kern w:val="0"/>
          <w:sz w:val="28"/>
          <w:szCs w:val="28"/>
        </w:rPr>
      </w:pPr>
    </w:p>
    <w:p>
      <w:pPr>
        <w:spacing w:line="560" w:lineRule="exact"/>
        <w:ind w:firstLine="562" w:firstLineChars="200"/>
        <w:rPr>
          <w:rFonts w:ascii="Times New Roman" w:hAnsi="Times New Roman" w:eastAsia="仿宋" w:cs="Times New Roman"/>
          <w:b/>
          <w:color w:val="auto"/>
          <w:kern w:val="0"/>
          <w:sz w:val="28"/>
          <w:szCs w:val="28"/>
        </w:rPr>
      </w:pPr>
      <w:r>
        <w:rPr>
          <w:rFonts w:ascii="Times New Roman" w:hAnsi="Times New Roman" w:eastAsia="仿宋" w:cs="Times New Roman"/>
          <w:b/>
          <w:color w:val="auto"/>
          <w:kern w:val="0"/>
          <w:sz w:val="28"/>
          <w:szCs w:val="28"/>
        </w:rPr>
        <w:t>表5.1.3-7     评估河段水质指标重金属污染状况赋分结果表</w:t>
      </w:r>
    </w:p>
    <w:tbl>
      <w:tblPr>
        <w:tblStyle w:val="15"/>
        <w:tblW w:w="9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2702"/>
        <w:gridCol w:w="757"/>
        <w:gridCol w:w="757"/>
        <w:gridCol w:w="757"/>
        <w:gridCol w:w="1205"/>
        <w:gridCol w:w="757"/>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序号</w:t>
            </w:r>
          </w:p>
        </w:tc>
        <w:tc>
          <w:tcPr>
            <w:tcW w:w="2702"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评估河段</w:t>
            </w:r>
          </w:p>
        </w:tc>
        <w:tc>
          <w:tcPr>
            <w:tcW w:w="757"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砷</w:t>
            </w:r>
          </w:p>
        </w:tc>
        <w:tc>
          <w:tcPr>
            <w:tcW w:w="757"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汞</w:t>
            </w:r>
          </w:p>
        </w:tc>
        <w:tc>
          <w:tcPr>
            <w:tcW w:w="757"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镉</w:t>
            </w:r>
          </w:p>
        </w:tc>
        <w:tc>
          <w:tcPr>
            <w:tcW w:w="1205"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六价铬</w:t>
            </w:r>
          </w:p>
        </w:tc>
        <w:tc>
          <w:tcPr>
            <w:tcW w:w="757"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铅</w:t>
            </w:r>
          </w:p>
        </w:tc>
        <w:tc>
          <w:tcPr>
            <w:tcW w:w="1502"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全年HMPr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w:t>
            </w:r>
          </w:p>
        </w:tc>
        <w:tc>
          <w:tcPr>
            <w:tcW w:w="27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ascii="Times New Roman" w:hAnsi="Times New Roman" w:eastAsia="仿宋" w:cs="Times New Roman"/>
                <w:color w:val="auto"/>
                <w:sz w:val="21"/>
                <w:szCs w:val="21"/>
              </w:rPr>
              <w:t>保护段</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20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c>
          <w:tcPr>
            <w:tcW w:w="15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w:t>
            </w:r>
          </w:p>
        </w:tc>
        <w:tc>
          <w:tcPr>
            <w:tcW w:w="27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资江枫木段</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20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c>
          <w:tcPr>
            <w:tcW w:w="15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w:t>
            </w:r>
          </w:p>
        </w:tc>
        <w:tc>
          <w:tcPr>
            <w:tcW w:w="27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20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c>
          <w:tcPr>
            <w:tcW w:w="15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w:t>
            </w:r>
          </w:p>
        </w:tc>
        <w:tc>
          <w:tcPr>
            <w:tcW w:w="27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资江梅溪段</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120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5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w:t>
            </w:r>
          </w:p>
        </w:tc>
        <w:tc>
          <w:tcPr>
            <w:tcW w:w="27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保护段</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20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c>
          <w:tcPr>
            <w:tcW w:w="15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w:t>
            </w:r>
          </w:p>
        </w:tc>
        <w:tc>
          <w:tcPr>
            <w:tcW w:w="27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保留段</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20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c>
          <w:tcPr>
            <w:tcW w:w="15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13</w:t>
            </w:r>
          </w:p>
        </w:tc>
        <w:tc>
          <w:tcPr>
            <w:tcW w:w="27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白竹洞河开发段</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20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c>
          <w:tcPr>
            <w:tcW w:w="15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w:t>
            </w:r>
          </w:p>
        </w:tc>
        <w:tc>
          <w:tcPr>
            <w:tcW w:w="27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w:t>
            </w:r>
            <w:r>
              <w:rPr>
                <w:rFonts w:ascii="Times New Roman" w:hAnsi="Times New Roman" w:eastAsia="仿宋" w:cs="Times New Roman"/>
                <w:color w:val="auto"/>
                <w:sz w:val="21"/>
                <w:szCs w:val="21"/>
              </w:rPr>
              <w:t>保护段</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20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c>
          <w:tcPr>
            <w:tcW w:w="15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15</w:t>
            </w:r>
          </w:p>
        </w:tc>
        <w:tc>
          <w:tcPr>
            <w:tcW w:w="27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大湾河开发段</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20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c>
          <w:tcPr>
            <w:tcW w:w="15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w:t>
            </w:r>
          </w:p>
        </w:tc>
        <w:tc>
          <w:tcPr>
            <w:tcW w:w="27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w:t>
            </w:r>
            <w:r>
              <w:rPr>
                <w:rFonts w:ascii="Times New Roman" w:hAnsi="Times New Roman" w:eastAsia="仿宋" w:cs="Times New Roman"/>
                <w:color w:val="auto"/>
                <w:sz w:val="21"/>
                <w:szCs w:val="21"/>
              </w:rPr>
              <w:t>保护段</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120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5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w:t>
            </w:r>
          </w:p>
        </w:tc>
        <w:tc>
          <w:tcPr>
            <w:tcW w:w="27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瓜里河保留段</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120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5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18</w:t>
            </w:r>
          </w:p>
        </w:tc>
        <w:tc>
          <w:tcPr>
            <w:tcW w:w="27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瓜里河开发段</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120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5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19</w:t>
            </w:r>
          </w:p>
        </w:tc>
        <w:tc>
          <w:tcPr>
            <w:tcW w:w="27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木厂水保护段</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120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5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20</w:t>
            </w:r>
          </w:p>
        </w:tc>
        <w:tc>
          <w:tcPr>
            <w:tcW w:w="27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木厂水开发段</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120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75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5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r>
    </w:tbl>
    <w:p>
      <w:pPr>
        <w:autoSpaceDE w:val="0"/>
        <w:autoSpaceDN w:val="0"/>
        <w:adjustRightInd w:val="0"/>
        <w:spacing w:line="560" w:lineRule="exact"/>
        <w:ind w:firstLine="560" w:firstLineChars="200"/>
        <w:jc w:val="left"/>
        <w:rPr>
          <w:rFonts w:ascii="Times New Roman" w:hAnsi="Times New Roman" w:eastAsia="仿宋" w:cs="Times New Roman"/>
          <w:color w:val="auto"/>
          <w:kern w:val="0"/>
          <w:sz w:val="28"/>
          <w:szCs w:val="28"/>
        </w:rPr>
      </w:pPr>
    </w:p>
    <w:p>
      <w:pPr>
        <w:autoSpaceDE w:val="0"/>
        <w:autoSpaceDN w:val="0"/>
        <w:adjustRightInd w:val="0"/>
        <w:spacing w:line="560" w:lineRule="exact"/>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（5）水质准则层评估结果 </w:t>
      </w:r>
    </w:p>
    <w:p>
      <w:pPr>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以水质状况指标之间的评估采用最差值法，即取各类指标赋分值的最差值作为该水功能区水质状况的评估分值。</w:t>
      </w:r>
    </w:p>
    <w:p>
      <w:pPr>
        <w:spacing w:line="560" w:lineRule="exact"/>
        <w:jc w:val="center"/>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WQr=Min(DOr,OCPr,HMPr)</w:t>
      </w:r>
    </w:p>
    <w:p>
      <w:pPr>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根据水温、DO水质状况、耗氧有机状况、重金属污染状况的评估结果，按上式计算各评估河段水质准则层得分，然后按照河流长度权重法计算河流水质准则层赋分，评估结果如表5.1.3-8所示。</w:t>
      </w:r>
    </w:p>
    <w:p>
      <w:pPr>
        <w:spacing w:line="560" w:lineRule="exact"/>
        <w:ind w:firstLine="562" w:firstLineChars="200"/>
        <w:rPr>
          <w:rFonts w:ascii="Times New Roman" w:hAnsi="Times New Roman" w:eastAsia="仿宋" w:cs="Times New Roman"/>
          <w:b/>
          <w:color w:val="auto"/>
          <w:kern w:val="0"/>
          <w:sz w:val="28"/>
          <w:szCs w:val="28"/>
        </w:rPr>
      </w:pPr>
      <w:r>
        <w:rPr>
          <w:rFonts w:ascii="Times New Roman" w:hAnsi="Times New Roman" w:eastAsia="仿宋" w:cs="Times New Roman"/>
          <w:b/>
          <w:color w:val="auto"/>
          <w:kern w:val="0"/>
          <w:sz w:val="28"/>
          <w:szCs w:val="28"/>
        </w:rPr>
        <w:t xml:space="preserve">表5.1.3-8      </w:t>
      </w:r>
      <w:r>
        <w:rPr>
          <w:rFonts w:hint="eastAsia" w:ascii="Times New Roman" w:hAnsi="Times New Roman" w:eastAsia="仿宋" w:cs="Times New Roman"/>
          <w:b/>
          <w:color w:val="auto"/>
          <w:kern w:val="0"/>
          <w:sz w:val="28"/>
          <w:szCs w:val="28"/>
        </w:rPr>
        <w:t xml:space="preserve">      </w:t>
      </w:r>
      <w:r>
        <w:rPr>
          <w:rFonts w:ascii="Times New Roman" w:hAnsi="Times New Roman" w:eastAsia="仿宋" w:cs="Times New Roman"/>
          <w:b/>
          <w:color w:val="auto"/>
          <w:kern w:val="0"/>
          <w:sz w:val="28"/>
          <w:szCs w:val="28"/>
        </w:rPr>
        <w:t xml:space="preserve"> </w:t>
      </w:r>
      <w:r>
        <w:rPr>
          <w:rFonts w:hint="eastAsia" w:ascii="Times New Roman" w:hAnsi="Times New Roman" w:eastAsia="仿宋" w:cs="Times New Roman"/>
          <w:b/>
          <w:color w:val="auto"/>
          <w:kern w:val="0"/>
          <w:sz w:val="28"/>
          <w:szCs w:val="28"/>
        </w:rPr>
        <w:t xml:space="preserve">  </w:t>
      </w:r>
      <w:r>
        <w:rPr>
          <w:rFonts w:ascii="Times New Roman" w:hAnsi="Times New Roman" w:eastAsia="仿宋" w:cs="Times New Roman"/>
          <w:b/>
          <w:color w:val="auto"/>
          <w:kern w:val="0"/>
          <w:sz w:val="28"/>
          <w:szCs w:val="28"/>
        </w:rPr>
        <w:t xml:space="preserve"> 水质准则层评估结果</w:t>
      </w:r>
    </w:p>
    <w:tbl>
      <w:tblPr>
        <w:tblStyle w:val="15"/>
        <w:tblW w:w="9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1911"/>
        <w:gridCol w:w="901"/>
        <w:gridCol w:w="1068"/>
        <w:gridCol w:w="1146"/>
        <w:gridCol w:w="1154"/>
        <w:gridCol w:w="1399"/>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序号</w:t>
            </w:r>
          </w:p>
        </w:tc>
        <w:tc>
          <w:tcPr>
            <w:tcW w:w="1911"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评估河段</w:t>
            </w:r>
          </w:p>
        </w:tc>
        <w:tc>
          <w:tcPr>
            <w:tcW w:w="901" w:type="dxa"/>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水温</w:t>
            </w:r>
          </w:p>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WTr</w:t>
            </w:r>
          </w:p>
        </w:tc>
        <w:tc>
          <w:tcPr>
            <w:tcW w:w="1068"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溶解氧状况DOr</w:t>
            </w:r>
          </w:p>
        </w:tc>
        <w:tc>
          <w:tcPr>
            <w:tcW w:w="1146"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耗氧有机状况OCPr</w:t>
            </w:r>
          </w:p>
        </w:tc>
        <w:tc>
          <w:tcPr>
            <w:tcW w:w="1154"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重金属状况HMPr</w:t>
            </w:r>
          </w:p>
        </w:tc>
        <w:tc>
          <w:tcPr>
            <w:tcW w:w="1399"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河段水质准则层赋分WQr</w:t>
            </w:r>
          </w:p>
        </w:tc>
        <w:tc>
          <w:tcPr>
            <w:tcW w:w="1242"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河流水质准则层</w:t>
            </w:r>
          </w:p>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w:t>
            </w:r>
          </w:p>
        </w:tc>
        <w:tc>
          <w:tcPr>
            <w:tcW w:w="19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ascii="Times New Roman" w:hAnsi="Times New Roman" w:eastAsia="仿宋" w:cs="Times New Roman"/>
                <w:color w:val="auto"/>
                <w:sz w:val="21"/>
                <w:szCs w:val="21"/>
              </w:rPr>
              <w:t>保护段</w:t>
            </w:r>
          </w:p>
        </w:tc>
        <w:tc>
          <w:tcPr>
            <w:tcW w:w="90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78.8</w:t>
            </w:r>
          </w:p>
        </w:tc>
        <w:tc>
          <w:tcPr>
            <w:tcW w:w="106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5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c>
          <w:tcPr>
            <w:tcW w:w="13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78.8</w:t>
            </w:r>
          </w:p>
        </w:tc>
        <w:tc>
          <w:tcPr>
            <w:tcW w:w="1242"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w:t>
            </w:r>
          </w:p>
        </w:tc>
        <w:tc>
          <w:tcPr>
            <w:tcW w:w="19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资江保护段</w:t>
            </w:r>
          </w:p>
        </w:tc>
        <w:tc>
          <w:tcPr>
            <w:tcW w:w="90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78.8</w:t>
            </w:r>
          </w:p>
        </w:tc>
        <w:tc>
          <w:tcPr>
            <w:tcW w:w="106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5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c>
          <w:tcPr>
            <w:tcW w:w="13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78.8</w:t>
            </w:r>
          </w:p>
        </w:tc>
        <w:tc>
          <w:tcPr>
            <w:tcW w:w="1242"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w:t>
            </w:r>
          </w:p>
        </w:tc>
        <w:tc>
          <w:tcPr>
            <w:tcW w:w="19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资江枫木段</w:t>
            </w:r>
          </w:p>
        </w:tc>
        <w:tc>
          <w:tcPr>
            <w:tcW w:w="90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78.8</w:t>
            </w:r>
          </w:p>
        </w:tc>
        <w:tc>
          <w:tcPr>
            <w:tcW w:w="106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5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c>
          <w:tcPr>
            <w:tcW w:w="13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78.8</w:t>
            </w:r>
          </w:p>
        </w:tc>
        <w:tc>
          <w:tcPr>
            <w:tcW w:w="1242"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w:t>
            </w:r>
          </w:p>
        </w:tc>
        <w:tc>
          <w:tcPr>
            <w:tcW w:w="19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90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78.8</w:t>
            </w:r>
          </w:p>
        </w:tc>
        <w:tc>
          <w:tcPr>
            <w:tcW w:w="106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5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c>
          <w:tcPr>
            <w:tcW w:w="13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78.8</w:t>
            </w:r>
          </w:p>
        </w:tc>
        <w:tc>
          <w:tcPr>
            <w:tcW w:w="1242"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w:t>
            </w:r>
          </w:p>
        </w:tc>
        <w:tc>
          <w:tcPr>
            <w:tcW w:w="19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90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78.8</w:t>
            </w:r>
          </w:p>
        </w:tc>
        <w:tc>
          <w:tcPr>
            <w:tcW w:w="106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5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13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1242"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w:t>
            </w:r>
          </w:p>
        </w:tc>
        <w:tc>
          <w:tcPr>
            <w:tcW w:w="19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资江梅溪</w:t>
            </w:r>
            <w:r>
              <w:rPr>
                <w:rFonts w:ascii="Times New Roman" w:hAnsi="Times New Roman" w:eastAsia="仿宋" w:cs="Times New Roman"/>
                <w:color w:val="auto"/>
                <w:sz w:val="21"/>
                <w:szCs w:val="21"/>
              </w:rPr>
              <w:t>开发段</w:t>
            </w:r>
          </w:p>
        </w:tc>
        <w:tc>
          <w:tcPr>
            <w:tcW w:w="90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78.8</w:t>
            </w:r>
          </w:p>
        </w:tc>
        <w:tc>
          <w:tcPr>
            <w:tcW w:w="106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5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13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1242"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w:t>
            </w:r>
          </w:p>
        </w:tc>
        <w:tc>
          <w:tcPr>
            <w:tcW w:w="19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保护段</w:t>
            </w:r>
          </w:p>
        </w:tc>
        <w:tc>
          <w:tcPr>
            <w:tcW w:w="90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64.9</w:t>
            </w:r>
          </w:p>
        </w:tc>
        <w:tc>
          <w:tcPr>
            <w:tcW w:w="106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5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c>
          <w:tcPr>
            <w:tcW w:w="13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64.9</w:t>
            </w:r>
          </w:p>
        </w:tc>
        <w:tc>
          <w:tcPr>
            <w:tcW w:w="1242"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w:t>
            </w:r>
          </w:p>
        </w:tc>
        <w:tc>
          <w:tcPr>
            <w:tcW w:w="19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保留段</w:t>
            </w:r>
          </w:p>
        </w:tc>
        <w:tc>
          <w:tcPr>
            <w:tcW w:w="90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64.9</w:t>
            </w:r>
          </w:p>
        </w:tc>
        <w:tc>
          <w:tcPr>
            <w:tcW w:w="106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99.7</w:t>
            </w:r>
          </w:p>
        </w:tc>
        <w:tc>
          <w:tcPr>
            <w:tcW w:w="11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5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c>
          <w:tcPr>
            <w:tcW w:w="13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64.9</w:t>
            </w:r>
          </w:p>
        </w:tc>
        <w:tc>
          <w:tcPr>
            <w:tcW w:w="1242"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13</w:t>
            </w:r>
          </w:p>
        </w:tc>
        <w:tc>
          <w:tcPr>
            <w:tcW w:w="19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白竹洞河开发段</w:t>
            </w:r>
          </w:p>
        </w:tc>
        <w:tc>
          <w:tcPr>
            <w:tcW w:w="90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64.9</w:t>
            </w:r>
          </w:p>
        </w:tc>
        <w:tc>
          <w:tcPr>
            <w:tcW w:w="106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97.4</w:t>
            </w:r>
          </w:p>
        </w:tc>
        <w:tc>
          <w:tcPr>
            <w:tcW w:w="11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97.6</w:t>
            </w:r>
          </w:p>
        </w:tc>
        <w:tc>
          <w:tcPr>
            <w:tcW w:w="115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c>
          <w:tcPr>
            <w:tcW w:w="13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64.9</w:t>
            </w:r>
          </w:p>
        </w:tc>
        <w:tc>
          <w:tcPr>
            <w:tcW w:w="1242"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w:t>
            </w:r>
          </w:p>
        </w:tc>
        <w:tc>
          <w:tcPr>
            <w:tcW w:w="19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w:t>
            </w:r>
            <w:r>
              <w:rPr>
                <w:rFonts w:ascii="Times New Roman" w:hAnsi="Times New Roman" w:eastAsia="仿宋" w:cs="Times New Roman"/>
                <w:color w:val="auto"/>
                <w:sz w:val="21"/>
                <w:szCs w:val="21"/>
              </w:rPr>
              <w:t>保护段</w:t>
            </w:r>
          </w:p>
        </w:tc>
        <w:tc>
          <w:tcPr>
            <w:tcW w:w="90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64.9</w:t>
            </w:r>
          </w:p>
        </w:tc>
        <w:tc>
          <w:tcPr>
            <w:tcW w:w="106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97.4</w:t>
            </w:r>
          </w:p>
        </w:tc>
        <w:tc>
          <w:tcPr>
            <w:tcW w:w="11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97.6</w:t>
            </w:r>
          </w:p>
        </w:tc>
        <w:tc>
          <w:tcPr>
            <w:tcW w:w="115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c>
          <w:tcPr>
            <w:tcW w:w="13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64.9</w:t>
            </w:r>
          </w:p>
        </w:tc>
        <w:tc>
          <w:tcPr>
            <w:tcW w:w="1242"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15</w:t>
            </w:r>
          </w:p>
        </w:tc>
        <w:tc>
          <w:tcPr>
            <w:tcW w:w="19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大湾河开发段</w:t>
            </w:r>
          </w:p>
        </w:tc>
        <w:tc>
          <w:tcPr>
            <w:tcW w:w="90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64.9</w:t>
            </w:r>
          </w:p>
        </w:tc>
        <w:tc>
          <w:tcPr>
            <w:tcW w:w="106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97.4</w:t>
            </w:r>
          </w:p>
        </w:tc>
        <w:tc>
          <w:tcPr>
            <w:tcW w:w="11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97.6</w:t>
            </w:r>
          </w:p>
        </w:tc>
        <w:tc>
          <w:tcPr>
            <w:tcW w:w="115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w:t>
            </w:r>
          </w:p>
        </w:tc>
        <w:tc>
          <w:tcPr>
            <w:tcW w:w="13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64.9</w:t>
            </w:r>
          </w:p>
        </w:tc>
        <w:tc>
          <w:tcPr>
            <w:tcW w:w="1242"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w:t>
            </w:r>
          </w:p>
        </w:tc>
        <w:tc>
          <w:tcPr>
            <w:tcW w:w="19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w:t>
            </w:r>
            <w:r>
              <w:rPr>
                <w:rFonts w:ascii="Times New Roman" w:hAnsi="Times New Roman" w:eastAsia="仿宋" w:cs="Times New Roman"/>
                <w:color w:val="auto"/>
                <w:sz w:val="21"/>
                <w:szCs w:val="21"/>
              </w:rPr>
              <w:t>保护段</w:t>
            </w:r>
          </w:p>
        </w:tc>
        <w:tc>
          <w:tcPr>
            <w:tcW w:w="90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78.8</w:t>
            </w:r>
          </w:p>
        </w:tc>
        <w:tc>
          <w:tcPr>
            <w:tcW w:w="106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5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13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1242"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w:t>
            </w:r>
            <w:r>
              <w:rPr>
                <w:rFonts w:hint="eastAsia" w:ascii="Times New Roman" w:hAnsi="Times New Roman" w:eastAsia="仿宋" w:cs="Times New Roman"/>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w:t>
            </w:r>
          </w:p>
        </w:tc>
        <w:tc>
          <w:tcPr>
            <w:tcW w:w="19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瓜里河保留段</w:t>
            </w:r>
          </w:p>
        </w:tc>
        <w:tc>
          <w:tcPr>
            <w:tcW w:w="90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78.8</w:t>
            </w:r>
          </w:p>
        </w:tc>
        <w:tc>
          <w:tcPr>
            <w:tcW w:w="106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5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13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1242"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18</w:t>
            </w:r>
          </w:p>
        </w:tc>
        <w:tc>
          <w:tcPr>
            <w:tcW w:w="19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瓜里河开发段</w:t>
            </w:r>
          </w:p>
        </w:tc>
        <w:tc>
          <w:tcPr>
            <w:tcW w:w="90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78.8</w:t>
            </w:r>
          </w:p>
        </w:tc>
        <w:tc>
          <w:tcPr>
            <w:tcW w:w="106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5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13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1242"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19</w:t>
            </w:r>
          </w:p>
        </w:tc>
        <w:tc>
          <w:tcPr>
            <w:tcW w:w="19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木厂水保护段</w:t>
            </w:r>
          </w:p>
        </w:tc>
        <w:tc>
          <w:tcPr>
            <w:tcW w:w="90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78.8</w:t>
            </w:r>
          </w:p>
        </w:tc>
        <w:tc>
          <w:tcPr>
            <w:tcW w:w="106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5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13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1242"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20</w:t>
            </w:r>
          </w:p>
        </w:tc>
        <w:tc>
          <w:tcPr>
            <w:tcW w:w="1911"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木厂水开发段</w:t>
            </w:r>
          </w:p>
        </w:tc>
        <w:tc>
          <w:tcPr>
            <w:tcW w:w="90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78.8</w:t>
            </w:r>
          </w:p>
        </w:tc>
        <w:tc>
          <w:tcPr>
            <w:tcW w:w="106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4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15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139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1242"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r>
    </w:tbl>
    <w:p>
      <w:pPr>
        <w:spacing w:line="560" w:lineRule="exact"/>
        <w:ind w:firstLine="560" w:firstLineChars="200"/>
        <w:rPr>
          <w:rFonts w:ascii="Times New Roman" w:hAnsi="Times New Roman" w:eastAsia="仿宋" w:cs="Times New Roman"/>
          <w:color w:val="auto"/>
          <w:sz w:val="28"/>
          <w:szCs w:val="28"/>
        </w:rPr>
      </w:pPr>
    </w:p>
    <w:p>
      <w:pPr>
        <w:spacing w:line="560" w:lineRule="exact"/>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根据水质准则层评估结果，</w:t>
      </w:r>
      <w:r>
        <w:rPr>
          <w:rFonts w:hint="eastAsia" w:ascii="Times New Roman" w:hAnsi="Times New Roman" w:eastAsia="仿宋" w:cs="Times New Roman"/>
          <w:color w:val="auto"/>
          <w:sz w:val="28"/>
          <w:szCs w:val="28"/>
          <w:lang w:eastAsia="zh-CN"/>
        </w:rPr>
        <w:t>资江</w:t>
      </w:r>
      <w:r>
        <w:rPr>
          <w:rFonts w:ascii="Times New Roman" w:hAnsi="Times New Roman" w:eastAsia="仿宋" w:cs="Times New Roman"/>
          <w:color w:val="auto"/>
          <w:sz w:val="28"/>
          <w:szCs w:val="28"/>
        </w:rPr>
        <w:t>、</w:t>
      </w:r>
      <w:r>
        <w:rPr>
          <w:rFonts w:hint="eastAsia" w:ascii="Times New Roman" w:hAnsi="Times New Roman" w:eastAsia="仿宋" w:cs="Times New Roman"/>
          <w:color w:val="auto"/>
          <w:sz w:val="28"/>
          <w:szCs w:val="28"/>
          <w:lang w:eastAsia="zh-CN"/>
        </w:rPr>
        <w:t>白竹洞河</w:t>
      </w:r>
      <w:r>
        <w:rPr>
          <w:rFonts w:ascii="Times New Roman" w:hAnsi="Times New Roman" w:eastAsia="仿宋" w:cs="Times New Roman"/>
          <w:color w:val="auto"/>
          <w:sz w:val="28"/>
          <w:szCs w:val="28"/>
        </w:rPr>
        <w:t>、</w:t>
      </w:r>
      <w:r>
        <w:rPr>
          <w:rFonts w:hint="eastAsia" w:ascii="Times New Roman" w:hAnsi="Times New Roman" w:eastAsia="仿宋" w:cs="Times New Roman"/>
          <w:color w:val="auto"/>
          <w:sz w:val="28"/>
          <w:szCs w:val="28"/>
          <w:lang w:eastAsia="zh-CN"/>
        </w:rPr>
        <w:t>大湾河</w:t>
      </w:r>
      <w:r>
        <w:rPr>
          <w:rFonts w:ascii="Times New Roman" w:hAnsi="Times New Roman" w:eastAsia="仿宋" w:cs="Times New Roman"/>
          <w:color w:val="auto"/>
          <w:sz w:val="28"/>
          <w:szCs w:val="28"/>
        </w:rPr>
        <w:t>、</w:t>
      </w:r>
      <w:r>
        <w:rPr>
          <w:rFonts w:hint="eastAsia" w:ascii="Times New Roman" w:hAnsi="Times New Roman" w:eastAsia="仿宋" w:cs="Times New Roman"/>
          <w:color w:val="auto"/>
          <w:sz w:val="28"/>
          <w:szCs w:val="28"/>
          <w:lang w:eastAsia="zh-CN"/>
        </w:rPr>
        <w:t>瓜里河</w:t>
      </w:r>
      <w:r>
        <w:rPr>
          <w:rFonts w:ascii="Times New Roman" w:hAnsi="Times New Roman" w:eastAsia="仿宋" w:cs="Times New Roman"/>
          <w:color w:val="auto"/>
          <w:sz w:val="28"/>
          <w:szCs w:val="28"/>
        </w:rPr>
        <w:t>、</w:t>
      </w:r>
      <w:r>
        <w:rPr>
          <w:rFonts w:hint="eastAsia" w:ascii="Times New Roman" w:hAnsi="Times New Roman" w:eastAsia="仿宋" w:cs="Times New Roman"/>
          <w:color w:val="auto"/>
          <w:sz w:val="28"/>
          <w:szCs w:val="28"/>
          <w:lang w:eastAsia="zh-CN"/>
        </w:rPr>
        <w:t>木厂水</w:t>
      </w:r>
      <w:r>
        <w:rPr>
          <w:rFonts w:ascii="Times New Roman" w:hAnsi="Times New Roman" w:eastAsia="仿宋" w:cs="Times New Roman"/>
          <w:color w:val="auto"/>
          <w:sz w:val="28"/>
          <w:szCs w:val="28"/>
        </w:rPr>
        <w:t>5条河流水质赋分都不高，均小于80分，查计算过程，主要是水温变异度较高所致。</w:t>
      </w:r>
    </w:p>
    <w:p>
      <w:pPr>
        <w:autoSpaceDE w:val="0"/>
        <w:autoSpaceDN w:val="0"/>
        <w:adjustRightInd w:val="0"/>
        <w:spacing w:line="560" w:lineRule="exact"/>
        <w:jc w:val="left"/>
        <w:outlineLvl w:val="2"/>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5.1.4 生物评估 </w:t>
      </w:r>
    </w:p>
    <w:p>
      <w:pPr>
        <w:autoSpaceDE w:val="0"/>
        <w:autoSpaceDN w:val="0"/>
        <w:adjustRightInd w:val="0"/>
        <w:spacing w:line="560" w:lineRule="exact"/>
        <w:ind w:firstLine="560" w:firstLineChars="200"/>
        <w:jc w:val="lef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（1） 附生硅藻（ED） </w:t>
      </w:r>
    </w:p>
    <w:p>
      <w:pPr>
        <w:spacing w:line="560" w:lineRule="exact"/>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lang w:eastAsia="zh-CN"/>
        </w:rPr>
        <w:t>资江流域</w:t>
      </w:r>
      <w:r>
        <w:rPr>
          <w:rFonts w:ascii="Times New Roman" w:hAnsi="Times New Roman" w:eastAsia="仿宋" w:cs="Times New Roman"/>
          <w:color w:val="auto"/>
          <w:sz w:val="28"/>
          <w:szCs w:val="28"/>
        </w:rPr>
        <w:t>设置样点具体情况如表5.1.4-1所示：</w:t>
      </w:r>
    </w:p>
    <w:p>
      <w:pPr>
        <w:spacing w:line="560" w:lineRule="exact"/>
        <w:ind w:firstLine="562" w:firstLineChars="200"/>
        <w:rPr>
          <w:rFonts w:ascii="Times New Roman" w:hAnsi="Times New Roman" w:eastAsia="仿宋" w:cs="Times New Roman"/>
          <w:b/>
          <w:color w:val="auto"/>
          <w:sz w:val="28"/>
          <w:szCs w:val="28"/>
        </w:rPr>
      </w:pPr>
      <w:r>
        <w:rPr>
          <w:rFonts w:ascii="Times New Roman" w:hAnsi="Times New Roman" w:eastAsia="仿宋" w:cs="Times New Roman"/>
          <w:b/>
          <w:color w:val="auto"/>
          <w:sz w:val="28"/>
          <w:szCs w:val="28"/>
        </w:rPr>
        <w:t xml:space="preserve">表5.1.4-1     </w:t>
      </w:r>
      <w:r>
        <w:rPr>
          <w:rFonts w:hint="eastAsia" w:ascii="Times New Roman" w:hAnsi="Times New Roman" w:eastAsia="仿宋" w:cs="Times New Roman"/>
          <w:b/>
          <w:color w:val="auto"/>
          <w:sz w:val="28"/>
          <w:szCs w:val="28"/>
        </w:rPr>
        <w:t xml:space="preserve">      </w:t>
      </w:r>
      <w:r>
        <w:rPr>
          <w:rFonts w:ascii="Times New Roman" w:hAnsi="Times New Roman" w:eastAsia="仿宋" w:cs="Times New Roman"/>
          <w:b/>
          <w:color w:val="auto"/>
          <w:sz w:val="28"/>
          <w:szCs w:val="28"/>
        </w:rPr>
        <w:t xml:space="preserve"> </w:t>
      </w:r>
      <w:r>
        <w:rPr>
          <w:rFonts w:hint="eastAsia" w:ascii="Times New Roman" w:hAnsi="Times New Roman" w:eastAsia="仿宋" w:cs="Times New Roman"/>
          <w:b/>
          <w:color w:val="auto"/>
          <w:sz w:val="28"/>
          <w:szCs w:val="28"/>
          <w:lang w:eastAsia="zh-CN"/>
        </w:rPr>
        <w:t>资江流域</w:t>
      </w:r>
      <w:r>
        <w:rPr>
          <w:rFonts w:ascii="Times New Roman" w:hAnsi="Times New Roman" w:eastAsia="仿宋" w:cs="Times New Roman"/>
          <w:b/>
          <w:color w:val="auto"/>
          <w:sz w:val="28"/>
          <w:szCs w:val="28"/>
        </w:rPr>
        <w:t>附生硅藻样点基本信息</w:t>
      </w:r>
    </w:p>
    <w:tbl>
      <w:tblPr>
        <w:tblStyle w:val="15"/>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1900"/>
        <w:gridCol w:w="1750"/>
        <w:gridCol w:w="3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9"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站点</w:t>
            </w:r>
          </w:p>
        </w:tc>
        <w:tc>
          <w:tcPr>
            <w:tcW w:w="190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经度（E）</w:t>
            </w:r>
          </w:p>
        </w:tc>
        <w:tc>
          <w:tcPr>
            <w:tcW w:w="175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纬度（N）</w:t>
            </w:r>
          </w:p>
        </w:tc>
        <w:tc>
          <w:tcPr>
            <w:tcW w:w="3711"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9"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毛冲口</w:t>
            </w:r>
          </w:p>
        </w:tc>
        <w:tc>
          <w:tcPr>
            <w:tcW w:w="190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110°28′52″</w:t>
            </w:r>
          </w:p>
        </w:tc>
        <w:tc>
          <w:tcPr>
            <w:tcW w:w="175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25°45′11″</w:t>
            </w:r>
          </w:p>
        </w:tc>
        <w:tc>
          <w:tcPr>
            <w:tcW w:w="371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ascii="Times New Roman" w:hAnsi="Times New Roman" w:eastAsia="仿宋" w:cs="Times New Roman"/>
                <w:color w:val="auto"/>
                <w:sz w:val="21"/>
                <w:szCs w:val="21"/>
              </w:rPr>
              <w:t>保护段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9"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相公山</w:t>
            </w:r>
          </w:p>
        </w:tc>
        <w:tc>
          <w:tcPr>
            <w:tcW w:w="190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110°28′16″</w:t>
            </w:r>
          </w:p>
        </w:tc>
        <w:tc>
          <w:tcPr>
            <w:tcW w:w="175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24°56′53″</w:t>
            </w:r>
          </w:p>
        </w:tc>
        <w:tc>
          <w:tcPr>
            <w:tcW w:w="371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r>
              <w:rPr>
                <w:rFonts w:ascii="Times New Roman" w:hAnsi="Times New Roman" w:eastAsia="仿宋" w:cs="Times New Roman"/>
                <w:color w:val="auto"/>
                <w:sz w:val="21"/>
                <w:szCs w:val="21"/>
              </w:rPr>
              <w:t>上游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9"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黑山脚</w:t>
            </w:r>
          </w:p>
        </w:tc>
        <w:tc>
          <w:tcPr>
            <w:tcW w:w="190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110°38′30″</w:t>
            </w:r>
          </w:p>
        </w:tc>
        <w:tc>
          <w:tcPr>
            <w:tcW w:w="175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24°38′31″</w:t>
            </w:r>
          </w:p>
        </w:tc>
        <w:tc>
          <w:tcPr>
            <w:tcW w:w="371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资江梅溪</w:t>
            </w:r>
            <w:r>
              <w:rPr>
                <w:rFonts w:ascii="Times New Roman" w:hAnsi="Times New Roman" w:eastAsia="仿宋" w:cs="Times New Roman"/>
                <w:color w:val="auto"/>
                <w:sz w:val="21"/>
                <w:szCs w:val="21"/>
              </w:rPr>
              <w:t>开发段下游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9"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小栗田</w:t>
            </w:r>
          </w:p>
        </w:tc>
        <w:tc>
          <w:tcPr>
            <w:tcW w:w="190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111°05′16″</w:t>
            </w:r>
          </w:p>
        </w:tc>
        <w:tc>
          <w:tcPr>
            <w:tcW w:w="175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24°48′33″</w:t>
            </w:r>
          </w:p>
        </w:tc>
        <w:tc>
          <w:tcPr>
            <w:tcW w:w="371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保护段上游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9"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婆冲口</w:t>
            </w:r>
          </w:p>
        </w:tc>
        <w:tc>
          <w:tcPr>
            <w:tcW w:w="190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111°05′12″</w:t>
            </w:r>
          </w:p>
        </w:tc>
        <w:tc>
          <w:tcPr>
            <w:tcW w:w="175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24°50′29″</w:t>
            </w:r>
          </w:p>
        </w:tc>
        <w:tc>
          <w:tcPr>
            <w:tcW w:w="371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保护段下游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9"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龙虎村</w:t>
            </w:r>
          </w:p>
        </w:tc>
        <w:tc>
          <w:tcPr>
            <w:tcW w:w="190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110°57′13″</w:t>
            </w:r>
          </w:p>
        </w:tc>
        <w:tc>
          <w:tcPr>
            <w:tcW w:w="175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25°04′44″</w:t>
            </w:r>
          </w:p>
        </w:tc>
        <w:tc>
          <w:tcPr>
            <w:tcW w:w="371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保留段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9"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泗安村</w:t>
            </w:r>
          </w:p>
        </w:tc>
        <w:tc>
          <w:tcPr>
            <w:tcW w:w="190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110°51′53″</w:t>
            </w:r>
          </w:p>
        </w:tc>
        <w:tc>
          <w:tcPr>
            <w:tcW w:w="175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24°58′33″</w:t>
            </w:r>
          </w:p>
        </w:tc>
        <w:tc>
          <w:tcPr>
            <w:tcW w:w="371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白竹洞河开发段</w:t>
            </w:r>
            <w:r>
              <w:rPr>
                <w:rFonts w:ascii="Times New Roman" w:hAnsi="Times New Roman" w:eastAsia="仿宋" w:cs="Times New Roman"/>
                <w:color w:val="auto"/>
                <w:sz w:val="21"/>
                <w:szCs w:val="21"/>
              </w:rPr>
              <w:t>上游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9"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茶江桥</w:t>
            </w:r>
          </w:p>
        </w:tc>
        <w:tc>
          <w:tcPr>
            <w:tcW w:w="190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110°40′20″</w:t>
            </w:r>
          </w:p>
        </w:tc>
        <w:tc>
          <w:tcPr>
            <w:tcW w:w="175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24°36′45″</w:t>
            </w:r>
          </w:p>
        </w:tc>
        <w:tc>
          <w:tcPr>
            <w:tcW w:w="371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白竹洞河开发段</w:t>
            </w:r>
            <w:r>
              <w:rPr>
                <w:rFonts w:ascii="Times New Roman" w:hAnsi="Times New Roman" w:eastAsia="仿宋" w:cs="Times New Roman"/>
                <w:color w:val="auto"/>
                <w:sz w:val="21"/>
                <w:szCs w:val="21"/>
              </w:rPr>
              <w:t>下游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9"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定卜</w:t>
            </w:r>
          </w:p>
        </w:tc>
        <w:tc>
          <w:tcPr>
            <w:tcW w:w="1900" w:type="dxa"/>
            <w:vAlign w:val="bottom"/>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110°15'46.9"</w:t>
            </w:r>
          </w:p>
        </w:tc>
        <w:tc>
          <w:tcPr>
            <w:tcW w:w="1750" w:type="dxa"/>
            <w:vAlign w:val="bottom"/>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24°07'48.8"</w:t>
            </w:r>
          </w:p>
        </w:tc>
        <w:tc>
          <w:tcPr>
            <w:tcW w:w="371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w:t>
            </w:r>
            <w:r>
              <w:rPr>
                <w:rFonts w:ascii="Times New Roman" w:hAnsi="Times New Roman" w:eastAsia="仿宋" w:cs="Times New Roman"/>
                <w:color w:val="auto"/>
                <w:sz w:val="21"/>
                <w:szCs w:val="21"/>
              </w:rPr>
              <w:t>保护段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9"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丰鱼井</w:t>
            </w:r>
          </w:p>
        </w:tc>
        <w:tc>
          <w:tcPr>
            <w:tcW w:w="190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110°14′49″</w:t>
            </w:r>
          </w:p>
        </w:tc>
        <w:tc>
          <w:tcPr>
            <w:tcW w:w="175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24°24′41″</w:t>
            </w:r>
          </w:p>
        </w:tc>
        <w:tc>
          <w:tcPr>
            <w:tcW w:w="371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大湾河开发段</w:t>
            </w:r>
            <w:r>
              <w:rPr>
                <w:rFonts w:ascii="Times New Roman" w:hAnsi="Times New Roman" w:eastAsia="仿宋" w:cs="Times New Roman"/>
                <w:color w:val="auto"/>
                <w:sz w:val="21"/>
                <w:szCs w:val="21"/>
              </w:rPr>
              <w:t>上游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9"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荷包洲</w:t>
            </w:r>
          </w:p>
        </w:tc>
        <w:tc>
          <w:tcPr>
            <w:tcW w:w="190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110°32′43″</w:t>
            </w:r>
          </w:p>
        </w:tc>
        <w:tc>
          <w:tcPr>
            <w:tcW w:w="175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24°34′40″</w:t>
            </w:r>
          </w:p>
        </w:tc>
        <w:tc>
          <w:tcPr>
            <w:tcW w:w="371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大湾河开发段</w:t>
            </w:r>
            <w:r>
              <w:rPr>
                <w:rFonts w:ascii="Times New Roman" w:hAnsi="Times New Roman" w:eastAsia="仿宋" w:cs="Times New Roman"/>
                <w:color w:val="auto"/>
                <w:sz w:val="21"/>
                <w:szCs w:val="21"/>
              </w:rPr>
              <w:t>下游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9"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四方石</w:t>
            </w:r>
          </w:p>
        </w:tc>
        <w:tc>
          <w:tcPr>
            <w:tcW w:w="190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111°07′17″</w:t>
            </w:r>
          </w:p>
        </w:tc>
        <w:tc>
          <w:tcPr>
            <w:tcW w:w="175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24°44′28″</w:t>
            </w:r>
          </w:p>
        </w:tc>
        <w:tc>
          <w:tcPr>
            <w:tcW w:w="371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w:t>
            </w:r>
            <w:r>
              <w:rPr>
                <w:rFonts w:ascii="Times New Roman" w:hAnsi="Times New Roman" w:eastAsia="仿宋" w:cs="Times New Roman"/>
                <w:color w:val="auto"/>
                <w:sz w:val="21"/>
                <w:szCs w:val="21"/>
              </w:rPr>
              <w:t>保护段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9"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十二车</w:t>
            </w:r>
          </w:p>
        </w:tc>
        <w:tc>
          <w:tcPr>
            <w:tcW w:w="190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111°08′38″</w:t>
            </w:r>
          </w:p>
        </w:tc>
        <w:tc>
          <w:tcPr>
            <w:tcW w:w="175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24°28′06″</w:t>
            </w:r>
          </w:p>
        </w:tc>
        <w:tc>
          <w:tcPr>
            <w:tcW w:w="371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瓜里河保留段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9"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石狗村</w:t>
            </w:r>
          </w:p>
        </w:tc>
        <w:tc>
          <w:tcPr>
            <w:tcW w:w="190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110°56′05″</w:t>
            </w:r>
          </w:p>
        </w:tc>
        <w:tc>
          <w:tcPr>
            <w:tcW w:w="175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24°15′05″</w:t>
            </w:r>
          </w:p>
        </w:tc>
        <w:tc>
          <w:tcPr>
            <w:tcW w:w="371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瓜里河开发段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9"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龙湾</w:t>
            </w:r>
          </w:p>
        </w:tc>
        <w:tc>
          <w:tcPr>
            <w:tcW w:w="190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111°16′13″</w:t>
            </w:r>
          </w:p>
        </w:tc>
        <w:tc>
          <w:tcPr>
            <w:tcW w:w="175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24°11′00″</w:t>
            </w:r>
          </w:p>
        </w:tc>
        <w:tc>
          <w:tcPr>
            <w:tcW w:w="371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木厂水开发段</w:t>
            </w:r>
            <w:r>
              <w:rPr>
                <w:rFonts w:ascii="Times New Roman" w:hAnsi="Times New Roman" w:eastAsia="仿宋" w:cs="Times New Roman"/>
                <w:color w:val="auto"/>
                <w:sz w:val="21"/>
                <w:szCs w:val="21"/>
              </w:rPr>
              <w:t>上游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9"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三合村</w:t>
            </w:r>
          </w:p>
        </w:tc>
        <w:tc>
          <w:tcPr>
            <w:tcW w:w="190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111°05′22″</w:t>
            </w:r>
          </w:p>
        </w:tc>
        <w:tc>
          <w:tcPr>
            <w:tcW w:w="1750" w:type="dxa"/>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23°55′46″</w:t>
            </w:r>
          </w:p>
        </w:tc>
        <w:tc>
          <w:tcPr>
            <w:tcW w:w="3711" w:type="dxa"/>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木厂水开发段</w:t>
            </w:r>
            <w:r>
              <w:rPr>
                <w:rFonts w:ascii="Times New Roman" w:hAnsi="Times New Roman" w:eastAsia="仿宋" w:cs="Times New Roman"/>
                <w:color w:val="auto"/>
                <w:sz w:val="21"/>
                <w:szCs w:val="21"/>
              </w:rPr>
              <w:t>下游</w:t>
            </w:r>
          </w:p>
        </w:tc>
      </w:tr>
    </w:tbl>
    <w:p>
      <w:pPr>
        <w:spacing w:line="360" w:lineRule="auto"/>
        <w:ind w:firstLine="560" w:firstLineChars="200"/>
        <w:rPr>
          <w:rFonts w:ascii="Times New Roman" w:hAnsi="Times New Roman" w:eastAsia="仿宋" w:cs="Times New Roman"/>
          <w:color w:val="auto"/>
          <w:sz w:val="28"/>
          <w:szCs w:val="28"/>
        </w:rPr>
      </w:pP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本次调查，在</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干流共检测出底栖硅藻18属60种，其中，桥弯藻种类最多，共有12种；其次为异极藻有9种；曲壳藻和脆杆藻各6种；菱形藻和舟形藻各5种；针杆藻和羽纹藻各3种；直链藻2种；双眉藻、窗纹藻、卵形藻、等片藻、双菱藻、平丝藻、布纹藻、微肋藻、平板藻各1种。</w:t>
      </w:r>
    </w:p>
    <w:p>
      <w:pPr>
        <w:autoSpaceDE w:val="0"/>
        <w:autoSpaceDN w:val="0"/>
        <w:adjustRightInd w:val="0"/>
        <w:spacing w:line="360" w:lineRule="auto"/>
        <w:ind w:firstLine="840" w:firstLineChars="3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1）附生硅藻指数计算及评价方法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硅藻指数IPS特定污染敏感指数、IBD硅藻生物指数均通过软件Omniaia6.0算出。 </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利用计算出的硅藻指数值进行生态质量评价，与IPS和IBD硅藻指数对应的5级生态质量见下表。</w:t>
      </w:r>
    </w:p>
    <w:p>
      <w:pPr>
        <w:spacing w:line="360" w:lineRule="auto"/>
        <w:ind w:firstLine="560" w:firstLineChars="200"/>
        <w:rPr>
          <w:rFonts w:ascii="Times New Roman" w:hAnsi="Times New Roman" w:eastAsia="仿宋" w:cs="Times New Roman"/>
          <w:color w:val="auto"/>
          <w:sz w:val="28"/>
          <w:szCs w:val="28"/>
        </w:rPr>
      </w:pPr>
    </w:p>
    <w:p>
      <w:pPr>
        <w:spacing w:line="360" w:lineRule="auto"/>
        <w:ind w:firstLine="562" w:firstLineChars="200"/>
        <w:rPr>
          <w:rFonts w:ascii="Times New Roman" w:hAnsi="Times New Roman" w:eastAsia="仿宋" w:cs="Times New Roman"/>
          <w:b/>
          <w:color w:val="auto"/>
          <w:sz w:val="28"/>
          <w:szCs w:val="28"/>
        </w:rPr>
      </w:pPr>
      <w:r>
        <w:rPr>
          <w:rFonts w:ascii="Times New Roman" w:hAnsi="Times New Roman" w:eastAsia="仿宋" w:cs="Times New Roman"/>
          <w:b/>
          <w:color w:val="auto"/>
          <w:sz w:val="28"/>
          <w:szCs w:val="28"/>
        </w:rPr>
        <w:t>表5.1.4-2             底栖硅藻IPS和IBD评价等级表</w:t>
      </w:r>
    </w:p>
    <w:tbl>
      <w:tblPr>
        <w:tblStyle w:val="15"/>
        <w:tblW w:w="9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1"/>
        <w:gridCol w:w="4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1"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3"/>
                <w:szCs w:val="23"/>
              </w:rPr>
            </w:pPr>
            <w:r>
              <w:rPr>
                <w:rFonts w:ascii="Times New Roman" w:hAnsi="Times New Roman" w:eastAsia="仿宋" w:cs="Times New Roman"/>
                <w:color w:val="auto"/>
                <w:kern w:val="0"/>
                <w:sz w:val="23"/>
                <w:szCs w:val="23"/>
              </w:rPr>
              <w:t>硅藻指数</w:t>
            </w:r>
          </w:p>
        </w:tc>
        <w:tc>
          <w:tcPr>
            <w:tcW w:w="4672"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3"/>
                <w:szCs w:val="23"/>
              </w:rPr>
            </w:pPr>
            <w:r>
              <w:rPr>
                <w:rFonts w:ascii="Times New Roman" w:hAnsi="Times New Roman" w:eastAsia="仿宋" w:cs="Times New Roman"/>
                <w:color w:val="auto"/>
                <w:kern w:val="0"/>
                <w:sz w:val="23"/>
                <w:szCs w:val="23"/>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1"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3"/>
                <w:szCs w:val="23"/>
              </w:rPr>
            </w:pPr>
            <w:r>
              <w:rPr>
                <w:rFonts w:ascii="Times New Roman" w:hAnsi="Times New Roman" w:eastAsia="仿宋" w:cs="Times New Roman"/>
                <w:color w:val="auto"/>
                <w:kern w:val="0"/>
                <w:sz w:val="23"/>
                <w:szCs w:val="23"/>
              </w:rPr>
              <w:t>IPS-IBD≥17</w:t>
            </w:r>
          </w:p>
        </w:tc>
        <w:tc>
          <w:tcPr>
            <w:tcW w:w="4672"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3"/>
                <w:szCs w:val="23"/>
              </w:rPr>
            </w:pPr>
            <w:r>
              <w:rPr>
                <w:rFonts w:ascii="Times New Roman" w:hAnsi="Times New Roman" w:eastAsia="仿宋" w:cs="Times New Roman"/>
                <w:color w:val="auto"/>
                <w:kern w:val="0"/>
                <w:sz w:val="23"/>
                <w:szCs w:val="23"/>
              </w:rPr>
              <w:t>很好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1"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3"/>
                <w:szCs w:val="23"/>
              </w:rPr>
            </w:pPr>
            <w:r>
              <w:rPr>
                <w:rFonts w:ascii="Times New Roman" w:hAnsi="Times New Roman" w:eastAsia="仿宋" w:cs="Times New Roman"/>
                <w:color w:val="auto"/>
                <w:kern w:val="0"/>
                <w:sz w:val="23"/>
                <w:szCs w:val="23"/>
              </w:rPr>
              <w:t>17&gt;IPS-IBD≥13</w:t>
            </w:r>
          </w:p>
        </w:tc>
        <w:tc>
          <w:tcPr>
            <w:tcW w:w="4672"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3"/>
                <w:szCs w:val="23"/>
              </w:rPr>
            </w:pPr>
            <w:r>
              <w:rPr>
                <w:rFonts w:ascii="Times New Roman" w:hAnsi="Times New Roman" w:eastAsia="仿宋" w:cs="Times New Roman"/>
                <w:color w:val="auto"/>
                <w:kern w:val="0"/>
                <w:sz w:val="23"/>
                <w:szCs w:val="23"/>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1"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3"/>
                <w:szCs w:val="23"/>
              </w:rPr>
            </w:pPr>
            <w:r>
              <w:rPr>
                <w:rFonts w:ascii="Times New Roman" w:hAnsi="Times New Roman" w:eastAsia="仿宋" w:cs="Times New Roman"/>
                <w:color w:val="auto"/>
                <w:kern w:val="0"/>
                <w:sz w:val="23"/>
                <w:szCs w:val="23"/>
              </w:rPr>
              <w:t>13&gt;IPS-IBD≥9</w:t>
            </w:r>
          </w:p>
        </w:tc>
        <w:tc>
          <w:tcPr>
            <w:tcW w:w="4672"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3"/>
                <w:szCs w:val="23"/>
              </w:rPr>
            </w:pPr>
            <w:r>
              <w:rPr>
                <w:rFonts w:ascii="Times New Roman" w:hAnsi="Times New Roman" w:eastAsia="仿宋" w:cs="Times New Roman"/>
                <w:color w:val="auto"/>
                <w:kern w:val="0"/>
                <w:sz w:val="23"/>
                <w:szCs w:val="23"/>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1"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3"/>
                <w:szCs w:val="23"/>
              </w:rPr>
            </w:pPr>
            <w:r>
              <w:rPr>
                <w:rFonts w:ascii="Times New Roman" w:hAnsi="Times New Roman" w:eastAsia="仿宋" w:cs="Times New Roman"/>
                <w:color w:val="auto"/>
                <w:kern w:val="0"/>
                <w:sz w:val="23"/>
                <w:szCs w:val="23"/>
              </w:rPr>
              <w:t>9&gt;IPS-IBD≥5</w:t>
            </w:r>
          </w:p>
        </w:tc>
        <w:tc>
          <w:tcPr>
            <w:tcW w:w="4672"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3"/>
                <w:szCs w:val="23"/>
              </w:rPr>
            </w:pPr>
            <w:r>
              <w:rPr>
                <w:rFonts w:ascii="Times New Roman" w:hAnsi="Times New Roman" w:eastAsia="仿宋" w:cs="Times New Roman"/>
                <w:color w:val="auto"/>
                <w:kern w:val="0"/>
                <w:sz w:val="23"/>
                <w:szCs w:val="23"/>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1"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3"/>
                <w:szCs w:val="23"/>
              </w:rPr>
            </w:pPr>
            <w:r>
              <w:rPr>
                <w:rFonts w:ascii="Times New Roman" w:hAnsi="Times New Roman" w:eastAsia="仿宋" w:cs="Times New Roman"/>
                <w:color w:val="auto"/>
                <w:kern w:val="0"/>
                <w:sz w:val="23"/>
                <w:szCs w:val="23"/>
              </w:rPr>
              <w:t>IPS-IBD＜5</w:t>
            </w:r>
          </w:p>
        </w:tc>
        <w:tc>
          <w:tcPr>
            <w:tcW w:w="4672"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3"/>
                <w:szCs w:val="23"/>
              </w:rPr>
            </w:pPr>
            <w:r>
              <w:rPr>
                <w:rFonts w:ascii="Times New Roman" w:hAnsi="Times New Roman" w:eastAsia="仿宋" w:cs="Times New Roman"/>
                <w:color w:val="auto"/>
                <w:kern w:val="0"/>
                <w:sz w:val="23"/>
                <w:szCs w:val="23"/>
              </w:rPr>
              <w:t>很差</w:t>
            </w:r>
          </w:p>
        </w:tc>
      </w:tr>
    </w:tbl>
    <w:p>
      <w:pPr>
        <w:spacing w:line="360" w:lineRule="auto"/>
        <w:ind w:firstLine="560" w:firstLineChars="200"/>
        <w:rPr>
          <w:rFonts w:ascii="Times New Roman" w:hAnsi="Times New Roman" w:eastAsia="仿宋" w:cs="Times New Roman"/>
          <w:color w:val="auto"/>
          <w:sz w:val="28"/>
          <w:szCs w:val="28"/>
        </w:rPr>
      </w:pPr>
    </w:p>
    <w:p>
      <w:pPr>
        <w:autoSpaceDE w:val="0"/>
        <w:autoSpaceDN w:val="0"/>
        <w:adjustRightInd w:val="0"/>
        <w:spacing w:line="360" w:lineRule="auto"/>
        <w:ind w:firstLine="840" w:firstLineChars="3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2）附生硅藻指数赋分 </w:t>
      </w:r>
    </w:p>
    <w:p>
      <w:pPr>
        <w:spacing w:line="360" w:lineRule="auto"/>
        <w:ind w:firstLine="560" w:firstLineChars="200"/>
        <w:rPr>
          <w:rFonts w:ascii="Times New Roman" w:hAnsi="Times New Roman" w:cs="Times New Roman"/>
          <w:color w:val="auto"/>
          <w:kern w:val="0"/>
          <w:sz w:val="28"/>
          <w:szCs w:val="28"/>
        </w:rPr>
      </w:pPr>
      <w:r>
        <w:rPr>
          <w:rFonts w:ascii="Times New Roman" w:hAnsi="Times New Roman" w:eastAsia="仿宋" w:cs="Times New Roman"/>
          <w:color w:val="auto"/>
          <w:kern w:val="0"/>
          <w:sz w:val="28"/>
          <w:szCs w:val="28"/>
        </w:rPr>
        <w:t>本次调查</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底栖硅藻指数各站位存在差异。其中四方石站IPS与IBD均为最高，分别为19.2和18.9，其次为定卜、毛冲口，均位于上游，硅藻指数指数上游&gt;中游&gt;下游，与香浓多样性指数趋势一致。</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按照3.6.4节，评估河段附生硅藻指标赋分计算公式如下： </w:t>
      </w:r>
    </w:p>
    <w:p>
      <w:pPr>
        <w:autoSpaceDE w:val="0"/>
        <w:autoSpaceDN w:val="0"/>
        <w:adjustRightInd w:val="0"/>
        <w:spacing w:line="360" w:lineRule="auto"/>
        <w:ind w:firstLine="560" w:firstLineChars="200"/>
        <w:jc w:val="center"/>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ED=min（IPS,IBD）</w:t>
      </w:r>
    </w:p>
    <w:p>
      <w:pPr>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计算得到评估结果如表5.1.4-3。</w:t>
      </w:r>
    </w:p>
    <w:p>
      <w:pPr>
        <w:spacing w:line="560" w:lineRule="exact"/>
        <w:ind w:firstLine="562" w:firstLineChars="200"/>
        <w:rPr>
          <w:rFonts w:ascii="Times New Roman" w:hAnsi="Times New Roman" w:eastAsia="仿宋" w:cs="Times New Roman"/>
          <w:b/>
          <w:color w:val="auto"/>
          <w:kern w:val="0"/>
          <w:sz w:val="28"/>
          <w:szCs w:val="28"/>
        </w:rPr>
        <w:sectPr>
          <w:headerReference r:id="rId16" w:type="default"/>
          <w:pgSz w:w="11906" w:h="16838"/>
          <w:pgMar w:top="1361" w:right="1361" w:bottom="1474" w:left="1418" w:header="1021" w:footer="964" w:gutter="0"/>
          <w:cols w:space="425" w:num="1"/>
          <w:docGrid w:linePitch="312" w:charSpace="0"/>
        </w:sectPr>
      </w:pPr>
    </w:p>
    <w:p>
      <w:pPr>
        <w:spacing w:line="560" w:lineRule="exact"/>
        <w:ind w:firstLine="562" w:firstLineChars="200"/>
        <w:rPr>
          <w:rFonts w:ascii="Times New Roman" w:hAnsi="Times New Roman" w:eastAsia="仿宋" w:cs="Times New Roman"/>
          <w:b/>
          <w:color w:val="auto"/>
          <w:kern w:val="0"/>
          <w:sz w:val="28"/>
          <w:szCs w:val="28"/>
        </w:rPr>
      </w:pPr>
      <w:r>
        <w:rPr>
          <w:rFonts w:ascii="Times New Roman" w:hAnsi="Times New Roman" w:eastAsia="仿宋" w:cs="Times New Roman"/>
          <w:b/>
          <w:color w:val="auto"/>
          <w:kern w:val="0"/>
          <w:sz w:val="28"/>
          <w:szCs w:val="28"/>
        </w:rPr>
        <w:t xml:space="preserve">表5.1.4-3   </w:t>
      </w:r>
      <w:r>
        <w:rPr>
          <w:rFonts w:hint="eastAsia" w:ascii="Times New Roman" w:hAnsi="Times New Roman" w:eastAsia="仿宋" w:cs="Times New Roman"/>
          <w:b/>
          <w:color w:val="auto"/>
          <w:kern w:val="0"/>
          <w:sz w:val="28"/>
          <w:szCs w:val="28"/>
        </w:rPr>
        <w:t xml:space="preserve">   </w:t>
      </w:r>
      <w:r>
        <w:rPr>
          <w:rFonts w:hint="eastAsia" w:ascii="Times New Roman" w:hAnsi="Times New Roman" w:eastAsia="仿宋" w:cs="Times New Roman"/>
          <w:b/>
          <w:color w:val="auto"/>
          <w:kern w:val="0"/>
          <w:sz w:val="28"/>
          <w:szCs w:val="28"/>
          <w:lang w:eastAsia="zh-CN"/>
        </w:rPr>
        <w:t>资江流域</w:t>
      </w:r>
      <w:r>
        <w:rPr>
          <w:rFonts w:ascii="Times New Roman" w:hAnsi="Times New Roman" w:eastAsia="仿宋" w:cs="Times New Roman"/>
          <w:b/>
          <w:color w:val="auto"/>
          <w:kern w:val="0"/>
          <w:sz w:val="28"/>
          <w:szCs w:val="28"/>
        </w:rPr>
        <w:t>各评估河段附生硅藻指标评估赋分表</w:t>
      </w:r>
    </w:p>
    <w:tbl>
      <w:tblPr>
        <w:tblStyle w:val="15"/>
        <w:tblW w:w="81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977"/>
        <w:gridCol w:w="895"/>
        <w:gridCol w:w="755"/>
        <w:gridCol w:w="895"/>
        <w:gridCol w:w="895"/>
        <w:gridCol w:w="895"/>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vMerge w:val="restart"/>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评估河段</w:t>
            </w:r>
          </w:p>
        </w:tc>
        <w:tc>
          <w:tcPr>
            <w:tcW w:w="1872" w:type="dxa"/>
            <w:gridSpan w:val="2"/>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spacing w:val="-10"/>
                <w:kern w:val="0"/>
                <w:sz w:val="21"/>
                <w:szCs w:val="21"/>
              </w:rPr>
            </w:pPr>
            <w:r>
              <w:rPr>
                <w:rFonts w:ascii="Times New Roman" w:hAnsi="Times New Roman" w:eastAsia="仿宋" w:cs="Times New Roman"/>
                <w:color w:val="auto"/>
                <w:spacing w:val="-10"/>
                <w:kern w:val="0"/>
                <w:sz w:val="21"/>
                <w:szCs w:val="21"/>
              </w:rPr>
              <w:t>特定污染敏感指数</w:t>
            </w:r>
          </w:p>
        </w:tc>
        <w:tc>
          <w:tcPr>
            <w:tcW w:w="1650" w:type="dxa"/>
            <w:gridSpan w:val="2"/>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硅藻生物指数</w:t>
            </w:r>
          </w:p>
        </w:tc>
        <w:tc>
          <w:tcPr>
            <w:tcW w:w="895" w:type="dxa"/>
            <w:vMerge w:val="restart"/>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监测点附生硅藻指数ED</w:t>
            </w:r>
          </w:p>
        </w:tc>
        <w:tc>
          <w:tcPr>
            <w:tcW w:w="895" w:type="dxa"/>
            <w:vMerge w:val="restart"/>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综合水质生态等级</w:t>
            </w:r>
          </w:p>
        </w:tc>
        <w:tc>
          <w:tcPr>
            <w:tcW w:w="888" w:type="dxa"/>
            <w:vMerge w:val="restart"/>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河段附生硅藻指数赋分EDr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vMerge w:val="continue"/>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p>
        </w:tc>
        <w:tc>
          <w:tcPr>
            <w:tcW w:w="977"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IPS</w:t>
            </w:r>
          </w:p>
        </w:tc>
        <w:tc>
          <w:tcPr>
            <w:tcW w:w="895"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水质生态等级</w:t>
            </w:r>
          </w:p>
        </w:tc>
        <w:tc>
          <w:tcPr>
            <w:tcW w:w="755"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IBD</w:t>
            </w:r>
          </w:p>
        </w:tc>
        <w:tc>
          <w:tcPr>
            <w:tcW w:w="895"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水质生态等级</w:t>
            </w:r>
          </w:p>
        </w:tc>
        <w:tc>
          <w:tcPr>
            <w:tcW w:w="895" w:type="dxa"/>
            <w:vMerge w:val="continue"/>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p>
        </w:tc>
        <w:tc>
          <w:tcPr>
            <w:tcW w:w="895" w:type="dxa"/>
            <w:vMerge w:val="continue"/>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p>
        </w:tc>
        <w:tc>
          <w:tcPr>
            <w:tcW w:w="888" w:type="dxa"/>
            <w:vMerge w:val="continue"/>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ascii="Times New Roman" w:hAnsi="Times New Roman" w:eastAsia="仿宋" w:cs="Times New Roman"/>
                <w:color w:val="auto"/>
                <w:sz w:val="21"/>
                <w:szCs w:val="21"/>
              </w:rPr>
              <w:t>保护段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19.2</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18.9</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18.9</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资江保护段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17.4</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17.2</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17.2</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资江枫木段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17.3</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16.8</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16.8</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13.2</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12.7</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中等</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12.7</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中等</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15.5</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15.2</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15.2</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17.4</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17.7</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17.4</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16.3</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16.3</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16.3</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14.5</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14.7</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14.5</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资江梅溪</w:t>
            </w:r>
            <w:r>
              <w:rPr>
                <w:rFonts w:ascii="Times New Roman" w:hAnsi="Times New Roman" w:eastAsia="仿宋" w:cs="Times New Roman"/>
                <w:color w:val="auto"/>
                <w:sz w:val="21"/>
                <w:szCs w:val="21"/>
              </w:rPr>
              <w:t>开发段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15.3</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14.8</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14.8</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资江梅溪</w:t>
            </w:r>
            <w:r>
              <w:rPr>
                <w:rFonts w:ascii="Times New Roman" w:hAnsi="Times New Roman" w:eastAsia="仿宋" w:cs="Times New Roman"/>
                <w:color w:val="auto"/>
                <w:sz w:val="21"/>
                <w:szCs w:val="21"/>
              </w:rPr>
              <w:t>开发段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13.6</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12.5</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中等</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12.5</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中等</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10.8</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中等</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11.2</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中等</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10.8</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中等</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资江梅溪段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12.8</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中等</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12.6</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中等</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12.6</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中等</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保护段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17.5</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17.7</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17.5</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保护段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18.9</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18.2</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18.2</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保留段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17.3</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17.6</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17.3</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白竹洞河开发段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17.2</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17.4</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17.2</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w:t>
            </w:r>
            <w:r>
              <w:rPr>
                <w:rFonts w:ascii="Times New Roman" w:hAnsi="Times New Roman" w:eastAsia="仿宋" w:cs="Times New Roman"/>
                <w:color w:val="auto"/>
                <w:sz w:val="21"/>
                <w:szCs w:val="21"/>
              </w:rPr>
              <w:t>保护段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19.4</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18.9</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18.9</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大湾河开发段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17.2</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16.5</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16.5</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大湾河开发段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15.4</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14.7</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14.7</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w:t>
            </w:r>
            <w:r>
              <w:rPr>
                <w:rFonts w:ascii="Times New Roman" w:hAnsi="Times New Roman" w:eastAsia="仿宋" w:cs="Times New Roman"/>
                <w:color w:val="auto"/>
                <w:sz w:val="21"/>
                <w:szCs w:val="21"/>
              </w:rPr>
              <w:t>保护段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19.4</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19.2</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19.2</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瓜里河保留段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15.8</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16.3</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15.8</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瓜里河开发段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10.7</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中等</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11.5</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中等</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10.7</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中等</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木厂水保护段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18.2</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17.8</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17.8</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很好</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木厂水开发段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16.3</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16.2</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16.2</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木厂水开发段</w:t>
            </w:r>
          </w:p>
        </w:tc>
        <w:tc>
          <w:tcPr>
            <w:tcW w:w="97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12.4</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中等</w:t>
            </w:r>
          </w:p>
        </w:tc>
        <w:tc>
          <w:tcPr>
            <w:tcW w:w="75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13.5</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好</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12.4</w:t>
            </w:r>
          </w:p>
        </w:tc>
        <w:tc>
          <w:tcPr>
            <w:tcW w:w="89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中等</w:t>
            </w:r>
          </w:p>
        </w:tc>
        <w:tc>
          <w:tcPr>
            <w:tcW w:w="8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71.2</w:t>
            </w:r>
          </w:p>
        </w:tc>
      </w:tr>
    </w:tbl>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p>
    <w:p>
      <w:pPr>
        <w:widowControl/>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IBD和IPS指数值及水质评价结果显示，IPS、IBD二项硅藻指数评价整体一致，且两项指数在各个样点的指数值都比较接近。从综合水质等级上来看，</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干流综合水质等级介于“很好”和“差”之间，水质从上游往下游逐渐为变差的趋势，其中在保护段和兴安段综合水质“很好”，在灵川段和桂林段上游综合水质为“好”，在桂林段下游综合水质变差为“中等”，这可能与该段旅游开发有关，</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进入阳朔段上游后综合水质等级变好，为“很好”，这可能与该河段受人为影响较少，河流的自身净化有关，但进入阳朔段下游至</w:t>
      </w:r>
      <w:r>
        <w:rPr>
          <w:rFonts w:hint="eastAsia" w:ascii="Times New Roman" w:hAnsi="Times New Roman" w:eastAsia="仿宋" w:cs="Times New Roman"/>
          <w:color w:val="auto"/>
          <w:kern w:val="0"/>
          <w:sz w:val="28"/>
          <w:szCs w:val="28"/>
          <w:lang w:eastAsia="zh-CN"/>
        </w:rPr>
        <w:t>梅溪</w:t>
      </w:r>
      <w:r>
        <w:rPr>
          <w:rFonts w:ascii="Times New Roman" w:hAnsi="Times New Roman" w:eastAsia="仿宋" w:cs="Times New Roman"/>
          <w:color w:val="auto"/>
          <w:kern w:val="0"/>
          <w:sz w:val="28"/>
          <w:szCs w:val="28"/>
        </w:rPr>
        <w:t>开发段上游水质综合等级变差为“好”，</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进入</w:t>
      </w:r>
      <w:r>
        <w:rPr>
          <w:rFonts w:hint="eastAsia" w:ascii="Times New Roman" w:hAnsi="Times New Roman" w:eastAsia="仿宋" w:cs="Times New Roman"/>
          <w:color w:val="auto"/>
          <w:kern w:val="0"/>
          <w:sz w:val="28"/>
          <w:szCs w:val="28"/>
          <w:lang w:eastAsia="zh-CN"/>
        </w:rPr>
        <w:t>资江梅溪</w:t>
      </w:r>
      <w:r>
        <w:rPr>
          <w:rFonts w:ascii="Times New Roman" w:hAnsi="Times New Roman" w:eastAsia="仿宋" w:cs="Times New Roman"/>
          <w:color w:val="auto"/>
          <w:kern w:val="0"/>
          <w:sz w:val="28"/>
          <w:szCs w:val="28"/>
        </w:rPr>
        <w:t>开发段下游后随着沿河两岸城镇生活污水的排入、河道养殖及河道挖沙活动的加剧，河流水质综合等级变差为中等，</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进入苍梧保留段水质更差，水质综合等级为差。</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各支流中，</w:t>
      </w:r>
      <w:r>
        <w:rPr>
          <w:rFonts w:hint="eastAsia" w:ascii="Times New Roman" w:hAnsi="Times New Roman" w:eastAsia="仿宋" w:cs="Times New Roman"/>
          <w:color w:val="auto"/>
          <w:kern w:val="0"/>
          <w:sz w:val="28"/>
          <w:szCs w:val="28"/>
          <w:lang w:eastAsia="zh-CN"/>
        </w:rPr>
        <w:t>白竹洞河</w:t>
      </w:r>
      <w:r>
        <w:rPr>
          <w:rFonts w:ascii="Times New Roman" w:hAnsi="Times New Roman" w:eastAsia="仿宋" w:cs="Times New Roman"/>
          <w:color w:val="auto"/>
          <w:kern w:val="0"/>
          <w:sz w:val="28"/>
          <w:szCs w:val="28"/>
        </w:rPr>
        <w:t>水质较好，各评估河段除了恭城</w:t>
      </w:r>
      <w:r>
        <w:rPr>
          <w:rFonts w:hint="eastAsia" w:ascii="Times New Roman" w:hAnsi="Times New Roman" w:eastAsia="仿宋" w:cs="Times New Roman"/>
          <w:color w:val="auto"/>
          <w:kern w:val="0"/>
          <w:sz w:val="28"/>
          <w:szCs w:val="28"/>
          <w:lang w:eastAsia="zh-CN"/>
        </w:rPr>
        <w:t>梅溪</w:t>
      </w:r>
      <w:r>
        <w:rPr>
          <w:rFonts w:ascii="Times New Roman" w:hAnsi="Times New Roman" w:eastAsia="仿宋" w:cs="Times New Roman"/>
          <w:color w:val="auto"/>
          <w:kern w:val="0"/>
          <w:sz w:val="28"/>
          <w:szCs w:val="28"/>
        </w:rPr>
        <w:t>开发段下游水质综合等级为“好”外，其他各河段均为“很好”；</w:t>
      </w:r>
      <w:r>
        <w:rPr>
          <w:rFonts w:hint="eastAsia" w:ascii="Times New Roman" w:hAnsi="Times New Roman" w:eastAsia="仿宋" w:cs="Times New Roman"/>
          <w:color w:val="auto"/>
          <w:kern w:val="0"/>
          <w:sz w:val="28"/>
          <w:szCs w:val="28"/>
          <w:lang w:eastAsia="zh-CN"/>
        </w:rPr>
        <w:t>大湾河</w:t>
      </w:r>
      <w:r>
        <w:rPr>
          <w:rFonts w:ascii="Times New Roman" w:hAnsi="Times New Roman" w:eastAsia="仿宋" w:cs="Times New Roman"/>
          <w:color w:val="auto"/>
          <w:kern w:val="0"/>
          <w:sz w:val="28"/>
          <w:szCs w:val="28"/>
        </w:rPr>
        <w:t>除了在保护段水质综合等级为“很好”外，其他河段均为“好”；</w:t>
      </w:r>
      <w:r>
        <w:rPr>
          <w:rFonts w:hint="eastAsia" w:ascii="Times New Roman" w:hAnsi="Times New Roman" w:eastAsia="仿宋" w:cs="Times New Roman"/>
          <w:color w:val="auto"/>
          <w:kern w:val="0"/>
          <w:sz w:val="28"/>
          <w:szCs w:val="28"/>
          <w:lang w:eastAsia="zh-CN"/>
        </w:rPr>
        <w:t>瓜里河</w:t>
      </w:r>
      <w:r>
        <w:rPr>
          <w:rFonts w:ascii="Times New Roman" w:hAnsi="Times New Roman" w:eastAsia="仿宋" w:cs="Times New Roman"/>
          <w:color w:val="auto"/>
          <w:kern w:val="0"/>
          <w:sz w:val="28"/>
          <w:szCs w:val="28"/>
        </w:rPr>
        <w:t>在保护段水质综合等级为“很好”，随后河流受河道挖沙，城镇污染排放等人类影响加剧，在钟山保留段水质综合等级为“好”，在昭平保留段为“中等”；</w:t>
      </w:r>
      <w:r>
        <w:rPr>
          <w:rFonts w:hint="eastAsia" w:ascii="Times New Roman" w:hAnsi="Times New Roman" w:eastAsia="仿宋" w:cs="Times New Roman"/>
          <w:color w:val="auto"/>
          <w:kern w:val="0"/>
          <w:sz w:val="28"/>
          <w:szCs w:val="28"/>
          <w:lang w:eastAsia="zh-CN"/>
        </w:rPr>
        <w:t>木厂水</w:t>
      </w:r>
      <w:r>
        <w:rPr>
          <w:rFonts w:ascii="Times New Roman" w:hAnsi="Times New Roman" w:eastAsia="仿宋" w:cs="Times New Roman"/>
          <w:color w:val="auto"/>
          <w:kern w:val="0"/>
          <w:sz w:val="28"/>
          <w:szCs w:val="28"/>
        </w:rPr>
        <w:t>水质综合等级结果与</w:t>
      </w:r>
      <w:r>
        <w:rPr>
          <w:rFonts w:hint="eastAsia" w:ascii="Times New Roman" w:hAnsi="Times New Roman" w:eastAsia="仿宋" w:cs="Times New Roman"/>
          <w:color w:val="auto"/>
          <w:kern w:val="0"/>
          <w:sz w:val="28"/>
          <w:szCs w:val="28"/>
          <w:lang w:eastAsia="zh-CN"/>
        </w:rPr>
        <w:t>瓜里河</w:t>
      </w:r>
      <w:r>
        <w:rPr>
          <w:rFonts w:ascii="Times New Roman" w:hAnsi="Times New Roman" w:eastAsia="仿宋" w:cs="Times New Roman"/>
          <w:color w:val="auto"/>
          <w:kern w:val="0"/>
          <w:sz w:val="28"/>
          <w:szCs w:val="28"/>
        </w:rPr>
        <w:t>类似，各河段水质综合等级依次降低。</w:t>
      </w:r>
    </w:p>
    <w:p>
      <w:pPr>
        <w:autoSpaceDE w:val="0"/>
        <w:autoSpaceDN w:val="0"/>
        <w:adjustRightInd w:val="0"/>
        <w:spacing w:line="560" w:lineRule="exact"/>
        <w:ind w:firstLine="420" w:firstLineChars="15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（2） 底栖动物（ZB） </w:t>
      </w:r>
    </w:p>
    <w:p>
      <w:pPr>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根据在</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建立的B-IBI指数的计算方法和健康分级等级</w:t>
      </w:r>
      <w:r>
        <w:rPr>
          <w:rFonts w:ascii="Times New Roman" w:hAnsi="Times New Roman" w:eastAsia="宋体" w:cs="Times New Roman"/>
          <w:color w:val="auto"/>
          <w:kern w:val="0"/>
          <w:sz w:val="28"/>
          <w:szCs w:val="28"/>
        </w:rPr>
        <w:t>，</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的健康状况见表5.1.4-4所示。</w:t>
      </w:r>
    </w:p>
    <w:p>
      <w:pPr>
        <w:spacing w:line="560" w:lineRule="exact"/>
        <w:ind w:firstLine="562" w:firstLineChars="200"/>
        <w:rPr>
          <w:rFonts w:ascii="Times New Roman" w:hAnsi="Times New Roman" w:eastAsia="仿宋" w:cs="Times New Roman"/>
          <w:b/>
          <w:color w:val="auto"/>
          <w:sz w:val="28"/>
          <w:szCs w:val="28"/>
        </w:rPr>
        <w:sectPr>
          <w:pgSz w:w="11906" w:h="16838"/>
          <w:pgMar w:top="1361" w:right="1361" w:bottom="1474" w:left="1418" w:header="1021" w:footer="964" w:gutter="0"/>
          <w:cols w:space="425" w:num="1"/>
          <w:docGrid w:linePitch="312" w:charSpace="0"/>
        </w:sectPr>
      </w:pPr>
    </w:p>
    <w:p>
      <w:pPr>
        <w:spacing w:line="560" w:lineRule="exact"/>
        <w:ind w:firstLine="562" w:firstLineChars="200"/>
        <w:rPr>
          <w:rFonts w:ascii="Times New Roman" w:hAnsi="Times New Roman" w:eastAsia="仿宋" w:cs="Times New Roman"/>
          <w:b/>
          <w:color w:val="auto"/>
          <w:sz w:val="28"/>
          <w:szCs w:val="28"/>
        </w:rPr>
      </w:pPr>
      <w:r>
        <w:rPr>
          <w:rFonts w:ascii="Times New Roman" w:hAnsi="Times New Roman" w:eastAsia="仿宋" w:cs="Times New Roman"/>
          <w:b/>
          <w:color w:val="auto"/>
          <w:sz w:val="28"/>
          <w:szCs w:val="28"/>
        </w:rPr>
        <w:t xml:space="preserve">表5.1.4-4  </w:t>
      </w:r>
      <w:r>
        <w:rPr>
          <w:rFonts w:hint="eastAsia" w:ascii="Times New Roman" w:hAnsi="Times New Roman" w:eastAsia="仿宋" w:cs="Times New Roman"/>
          <w:b/>
          <w:color w:val="auto"/>
          <w:sz w:val="28"/>
          <w:szCs w:val="28"/>
        </w:rPr>
        <w:t xml:space="preserve">     </w:t>
      </w:r>
      <w:r>
        <w:rPr>
          <w:rFonts w:ascii="Times New Roman" w:hAnsi="Times New Roman" w:eastAsia="仿宋" w:cs="Times New Roman"/>
          <w:b/>
          <w:color w:val="auto"/>
          <w:sz w:val="28"/>
          <w:szCs w:val="28"/>
        </w:rPr>
        <w:t xml:space="preserve"> </w:t>
      </w:r>
      <w:r>
        <w:rPr>
          <w:rFonts w:hint="eastAsia" w:ascii="Times New Roman" w:hAnsi="Times New Roman" w:eastAsia="仿宋" w:cs="Times New Roman"/>
          <w:b/>
          <w:color w:val="auto"/>
          <w:sz w:val="28"/>
          <w:szCs w:val="28"/>
          <w:lang w:eastAsia="zh-CN"/>
        </w:rPr>
        <w:t>资江流域</w:t>
      </w:r>
      <w:r>
        <w:rPr>
          <w:rFonts w:ascii="Times New Roman" w:hAnsi="Times New Roman" w:eastAsia="仿宋" w:cs="Times New Roman"/>
          <w:b/>
          <w:color w:val="auto"/>
          <w:sz w:val="28"/>
          <w:szCs w:val="28"/>
        </w:rPr>
        <w:t>各评估河段底栖动物评估赋分表</w:t>
      </w:r>
    </w:p>
    <w:tbl>
      <w:tblPr>
        <w:tblStyle w:val="15"/>
        <w:tblW w:w="90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205"/>
        <w:gridCol w:w="1950"/>
        <w:gridCol w:w="2864"/>
        <w:gridCol w:w="992"/>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序号</w:t>
            </w:r>
          </w:p>
        </w:tc>
        <w:tc>
          <w:tcPr>
            <w:tcW w:w="120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河流名称</w:t>
            </w:r>
          </w:p>
        </w:tc>
        <w:tc>
          <w:tcPr>
            <w:tcW w:w="19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评估河段</w:t>
            </w:r>
          </w:p>
        </w:tc>
        <w:tc>
          <w:tcPr>
            <w:tcW w:w="286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站点</w:t>
            </w:r>
          </w:p>
        </w:tc>
        <w:tc>
          <w:tcPr>
            <w:tcW w:w="99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BIBI</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w:t>
            </w:r>
          </w:p>
        </w:tc>
        <w:tc>
          <w:tcPr>
            <w:tcW w:w="1205" w:type="dxa"/>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资江</w:t>
            </w:r>
          </w:p>
        </w:tc>
        <w:tc>
          <w:tcPr>
            <w:tcW w:w="19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ascii="Times New Roman" w:hAnsi="Times New Roman" w:eastAsia="仿宋" w:cs="Times New Roman"/>
                <w:color w:val="auto"/>
                <w:sz w:val="21"/>
                <w:szCs w:val="21"/>
              </w:rPr>
              <w:t>保护段</w:t>
            </w:r>
          </w:p>
        </w:tc>
        <w:tc>
          <w:tcPr>
            <w:tcW w:w="286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毛冲口</w:t>
            </w:r>
          </w:p>
        </w:tc>
        <w:tc>
          <w:tcPr>
            <w:tcW w:w="99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2.6</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w:t>
            </w:r>
          </w:p>
        </w:tc>
        <w:tc>
          <w:tcPr>
            <w:tcW w:w="1205" w:type="dxa"/>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资江</w:t>
            </w:r>
          </w:p>
        </w:tc>
        <w:tc>
          <w:tcPr>
            <w:tcW w:w="19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资江保护段</w:t>
            </w:r>
          </w:p>
        </w:tc>
        <w:tc>
          <w:tcPr>
            <w:tcW w:w="286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大江桥</w:t>
            </w:r>
          </w:p>
        </w:tc>
        <w:tc>
          <w:tcPr>
            <w:tcW w:w="99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2.87</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w:t>
            </w:r>
          </w:p>
        </w:tc>
        <w:tc>
          <w:tcPr>
            <w:tcW w:w="1205" w:type="dxa"/>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资江</w:t>
            </w:r>
          </w:p>
        </w:tc>
        <w:tc>
          <w:tcPr>
            <w:tcW w:w="19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资江枫木段</w:t>
            </w:r>
          </w:p>
        </w:tc>
        <w:tc>
          <w:tcPr>
            <w:tcW w:w="286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三街</w:t>
            </w:r>
          </w:p>
        </w:tc>
        <w:tc>
          <w:tcPr>
            <w:tcW w:w="99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2.16</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w:t>
            </w:r>
          </w:p>
        </w:tc>
        <w:tc>
          <w:tcPr>
            <w:tcW w:w="1205" w:type="dxa"/>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资江</w:t>
            </w:r>
          </w:p>
        </w:tc>
        <w:tc>
          <w:tcPr>
            <w:tcW w:w="19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286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省里,</w:t>
            </w:r>
          </w:p>
        </w:tc>
        <w:tc>
          <w:tcPr>
            <w:tcW w:w="99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1.22</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w:t>
            </w:r>
          </w:p>
        </w:tc>
        <w:tc>
          <w:tcPr>
            <w:tcW w:w="1205" w:type="dxa"/>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资江</w:t>
            </w:r>
          </w:p>
        </w:tc>
        <w:tc>
          <w:tcPr>
            <w:tcW w:w="19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286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相公山</w:t>
            </w:r>
          </w:p>
        </w:tc>
        <w:tc>
          <w:tcPr>
            <w:tcW w:w="99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2.01</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w:t>
            </w:r>
          </w:p>
        </w:tc>
        <w:tc>
          <w:tcPr>
            <w:tcW w:w="1205" w:type="dxa"/>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资江</w:t>
            </w:r>
          </w:p>
        </w:tc>
        <w:tc>
          <w:tcPr>
            <w:tcW w:w="19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资江梅溪</w:t>
            </w:r>
            <w:r>
              <w:rPr>
                <w:rFonts w:ascii="Times New Roman" w:hAnsi="Times New Roman" w:eastAsia="仿宋" w:cs="Times New Roman"/>
                <w:color w:val="auto"/>
                <w:sz w:val="21"/>
                <w:szCs w:val="21"/>
              </w:rPr>
              <w:t>开发段</w:t>
            </w:r>
          </w:p>
        </w:tc>
        <w:tc>
          <w:tcPr>
            <w:tcW w:w="286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茶江桥,黑山脚</w:t>
            </w:r>
          </w:p>
        </w:tc>
        <w:tc>
          <w:tcPr>
            <w:tcW w:w="99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1.69</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w:t>
            </w:r>
          </w:p>
        </w:tc>
        <w:tc>
          <w:tcPr>
            <w:tcW w:w="1205" w:type="dxa"/>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资江</w:t>
            </w:r>
          </w:p>
        </w:tc>
        <w:tc>
          <w:tcPr>
            <w:tcW w:w="19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286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鲤鱼堂</w:t>
            </w:r>
          </w:p>
        </w:tc>
        <w:tc>
          <w:tcPr>
            <w:tcW w:w="99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w:t>
            </w:r>
          </w:p>
        </w:tc>
        <w:tc>
          <w:tcPr>
            <w:tcW w:w="1205" w:type="dxa"/>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资江</w:t>
            </w:r>
          </w:p>
        </w:tc>
        <w:tc>
          <w:tcPr>
            <w:tcW w:w="19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资江梅溪段</w:t>
            </w:r>
          </w:p>
        </w:tc>
        <w:tc>
          <w:tcPr>
            <w:tcW w:w="286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棋盘</w:t>
            </w:r>
          </w:p>
        </w:tc>
        <w:tc>
          <w:tcPr>
            <w:tcW w:w="99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1.81</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w:t>
            </w:r>
          </w:p>
        </w:tc>
        <w:tc>
          <w:tcPr>
            <w:tcW w:w="1205" w:type="dxa"/>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白竹洞河</w:t>
            </w:r>
          </w:p>
        </w:tc>
        <w:tc>
          <w:tcPr>
            <w:tcW w:w="19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保护段</w:t>
            </w:r>
          </w:p>
        </w:tc>
        <w:tc>
          <w:tcPr>
            <w:tcW w:w="286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婆冲口,小栗田</w:t>
            </w:r>
          </w:p>
        </w:tc>
        <w:tc>
          <w:tcPr>
            <w:tcW w:w="99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3.01</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w:t>
            </w:r>
          </w:p>
        </w:tc>
        <w:tc>
          <w:tcPr>
            <w:tcW w:w="1205" w:type="dxa"/>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白竹洞河</w:t>
            </w:r>
          </w:p>
        </w:tc>
        <w:tc>
          <w:tcPr>
            <w:tcW w:w="19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保留段</w:t>
            </w:r>
          </w:p>
        </w:tc>
        <w:tc>
          <w:tcPr>
            <w:tcW w:w="286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龙虎村</w:t>
            </w:r>
          </w:p>
        </w:tc>
        <w:tc>
          <w:tcPr>
            <w:tcW w:w="99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2.48</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13</w:t>
            </w:r>
          </w:p>
        </w:tc>
        <w:tc>
          <w:tcPr>
            <w:tcW w:w="1205" w:type="dxa"/>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白竹洞河</w:t>
            </w:r>
          </w:p>
        </w:tc>
        <w:tc>
          <w:tcPr>
            <w:tcW w:w="19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白竹洞河开发段</w:t>
            </w:r>
          </w:p>
        </w:tc>
        <w:tc>
          <w:tcPr>
            <w:tcW w:w="286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泗安村</w:t>
            </w:r>
          </w:p>
        </w:tc>
        <w:tc>
          <w:tcPr>
            <w:tcW w:w="99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3.59</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w:t>
            </w:r>
          </w:p>
        </w:tc>
        <w:tc>
          <w:tcPr>
            <w:tcW w:w="1205" w:type="dxa"/>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大湾河</w:t>
            </w:r>
          </w:p>
        </w:tc>
        <w:tc>
          <w:tcPr>
            <w:tcW w:w="19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w:t>
            </w:r>
            <w:r>
              <w:rPr>
                <w:rFonts w:ascii="Times New Roman" w:hAnsi="Times New Roman" w:eastAsia="仿宋" w:cs="Times New Roman"/>
                <w:color w:val="auto"/>
                <w:sz w:val="21"/>
                <w:szCs w:val="21"/>
              </w:rPr>
              <w:t>保护段</w:t>
            </w:r>
          </w:p>
        </w:tc>
        <w:tc>
          <w:tcPr>
            <w:tcW w:w="286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定卜</w:t>
            </w:r>
          </w:p>
        </w:tc>
        <w:tc>
          <w:tcPr>
            <w:tcW w:w="99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3.02</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15</w:t>
            </w:r>
          </w:p>
        </w:tc>
        <w:tc>
          <w:tcPr>
            <w:tcW w:w="1205" w:type="dxa"/>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大湾河</w:t>
            </w:r>
          </w:p>
        </w:tc>
        <w:tc>
          <w:tcPr>
            <w:tcW w:w="19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大湾河开发段</w:t>
            </w:r>
          </w:p>
        </w:tc>
        <w:tc>
          <w:tcPr>
            <w:tcW w:w="286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丰鱼井,荷包洲</w:t>
            </w:r>
          </w:p>
        </w:tc>
        <w:tc>
          <w:tcPr>
            <w:tcW w:w="99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2.34</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w:t>
            </w:r>
          </w:p>
        </w:tc>
        <w:tc>
          <w:tcPr>
            <w:tcW w:w="1205" w:type="dxa"/>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瓜里河</w:t>
            </w:r>
          </w:p>
        </w:tc>
        <w:tc>
          <w:tcPr>
            <w:tcW w:w="19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w:t>
            </w:r>
            <w:r>
              <w:rPr>
                <w:rFonts w:ascii="Times New Roman" w:hAnsi="Times New Roman" w:eastAsia="仿宋" w:cs="Times New Roman"/>
                <w:color w:val="auto"/>
                <w:sz w:val="21"/>
                <w:szCs w:val="21"/>
              </w:rPr>
              <w:t>保护段</w:t>
            </w:r>
          </w:p>
        </w:tc>
        <w:tc>
          <w:tcPr>
            <w:tcW w:w="286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四方石</w:t>
            </w:r>
          </w:p>
        </w:tc>
        <w:tc>
          <w:tcPr>
            <w:tcW w:w="99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2.77</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w:t>
            </w:r>
          </w:p>
        </w:tc>
        <w:tc>
          <w:tcPr>
            <w:tcW w:w="1205" w:type="dxa"/>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瓜里河</w:t>
            </w:r>
          </w:p>
        </w:tc>
        <w:tc>
          <w:tcPr>
            <w:tcW w:w="19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瓜里河保留段</w:t>
            </w:r>
          </w:p>
        </w:tc>
        <w:tc>
          <w:tcPr>
            <w:tcW w:w="286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十二车</w:t>
            </w:r>
          </w:p>
        </w:tc>
        <w:tc>
          <w:tcPr>
            <w:tcW w:w="99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2.49</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18</w:t>
            </w:r>
          </w:p>
        </w:tc>
        <w:tc>
          <w:tcPr>
            <w:tcW w:w="1205" w:type="dxa"/>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瓜里河</w:t>
            </w:r>
          </w:p>
        </w:tc>
        <w:tc>
          <w:tcPr>
            <w:tcW w:w="19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瓜里河开发段</w:t>
            </w:r>
          </w:p>
        </w:tc>
        <w:tc>
          <w:tcPr>
            <w:tcW w:w="286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石狗村</w:t>
            </w:r>
          </w:p>
        </w:tc>
        <w:tc>
          <w:tcPr>
            <w:tcW w:w="99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1.11</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19</w:t>
            </w:r>
          </w:p>
        </w:tc>
        <w:tc>
          <w:tcPr>
            <w:tcW w:w="1205" w:type="dxa"/>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木厂水</w:t>
            </w:r>
          </w:p>
        </w:tc>
        <w:tc>
          <w:tcPr>
            <w:tcW w:w="19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木厂水保护段</w:t>
            </w:r>
          </w:p>
        </w:tc>
        <w:tc>
          <w:tcPr>
            <w:tcW w:w="286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大成桥</w:t>
            </w:r>
          </w:p>
        </w:tc>
        <w:tc>
          <w:tcPr>
            <w:tcW w:w="99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3.32</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20</w:t>
            </w:r>
          </w:p>
        </w:tc>
        <w:tc>
          <w:tcPr>
            <w:tcW w:w="1205" w:type="dxa"/>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木厂水</w:t>
            </w:r>
          </w:p>
        </w:tc>
        <w:tc>
          <w:tcPr>
            <w:tcW w:w="19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木厂水开发段</w:t>
            </w:r>
          </w:p>
        </w:tc>
        <w:tc>
          <w:tcPr>
            <w:tcW w:w="286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龙湾,三合村</w:t>
            </w:r>
          </w:p>
        </w:tc>
        <w:tc>
          <w:tcPr>
            <w:tcW w:w="99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1.96</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80.8</w:t>
            </w:r>
          </w:p>
        </w:tc>
      </w:tr>
    </w:tbl>
    <w:p>
      <w:pPr>
        <w:spacing w:line="560" w:lineRule="exact"/>
        <w:ind w:firstLine="560" w:firstLineChars="200"/>
        <w:rPr>
          <w:rFonts w:ascii="Times New Roman" w:hAnsi="Times New Roman" w:eastAsia="仿宋" w:cs="Times New Roman"/>
          <w:color w:val="auto"/>
        </w:rPr>
      </w:pPr>
    </w:p>
    <w:p>
      <w:pPr>
        <w:autoSpaceDE w:val="0"/>
        <w:autoSpaceDN w:val="0"/>
        <w:adjustRightInd w:val="0"/>
        <w:spacing w:line="560" w:lineRule="exact"/>
        <w:ind w:firstLine="420" w:firstLineChars="15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（3） 鱼类损失指数 </w:t>
      </w:r>
    </w:p>
    <w:p>
      <w:pPr>
        <w:adjustRightInd w:val="0"/>
        <w:snapToGrid w:val="0"/>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根据《广西淡水鱼类志》上世纪80年代</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有鱼类19科146种。通过实地调查，结合渔业捕捞生产采集鱼类标本，同时对当地渔民进行调查走访，本次调查有鱼类17科136种，其中鲤科80种，占种类数的58.82%；鳅科15种，占种类数的，11.03%；平鳍鳅科10种；鲿科9种、鰕虎鱼科4种；鮨科和鲇科各3种；鮡科和刺鳅科各2种，鳢科、胡子鲇科、银鱼科、斗鱼科、合鳃鱼科、沙塘鳢科、鳗鲡科及鲀科各1种。本次调查相对80年代没有的鱼类为10种，分别为鮨科的长身鳜和波纹鳜, 鲤科的唇鲮、稀有白甲鱼、小口白甲鱼、长麦穗鱼、叶结鱼、单纹似鳡，长臀鮠科的长臀鮠以及钝头鮠科的修仁[鱼央]。</w:t>
      </w:r>
    </w:p>
    <w:p>
      <w:pPr>
        <w:spacing w:line="560" w:lineRule="exact"/>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根据以上调查结果和收集到的数据资料，按照1980年前后鱼类种类统计，FO=136，FE==146，则FOE=82/98=0.9315，查表并内插鱼类损失指标赋分=90.9，属健康状况。</w:t>
      </w:r>
    </w:p>
    <w:p>
      <w:pPr>
        <w:autoSpaceDE w:val="0"/>
        <w:autoSpaceDN w:val="0"/>
        <w:adjustRightInd w:val="0"/>
        <w:spacing w:line="560" w:lineRule="exact"/>
        <w:ind w:firstLine="420" w:firstLineChars="15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（4） 水生生物评估结果 </w:t>
      </w:r>
    </w:p>
    <w:p>
      <w:pPr>
        <w:spacing w:line="560" w:lineRule="exact"/>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kern w:val="0"/>
          <w:sz w:val="28"/>
          <w:szCs w:val="28"/>
        </w:rPr>
        <w:t>根据3.6.4节计算公式，生物准则层赋分计算公式如下：</w:t>
      </w:r>
    </w:p>
    <w:p>
      <w:pPr>
        <w:spacing w:line="560" w:lineRule="exact"/>
        <w:ind w:firstLine="560" w:firstLineChars="200"/>
        <w:jc w:val="center"/>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ALr=min（BIBIr，FOEr，EDr）</w:t>
      </w:r>
    </w:p>
    <w:p>
      <w:pPr>
        <w:spacing w:line="560" w:lineRule="exact"/>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根据大型无脊椎动物完整性、鱼类生物损失、附生硅藻指数的评估结果，按上式计算生物准则层得分，评估结果如表5.1.4-5所示。</w:t>
      </w:r>
    </w:p>
    <w:p>
      <w:pPr>
        <w:spacing w:line="560" w:lineRule="exact"/>
        <w:ind w:firstLine="560" w:firstLineChars="200"/>
        <w:rPr>
          <w:rFonts w:ascii="Times New Roman" w:hAnsi="Times New Roman" w:eastAsia="仿宋" w:cs="Times New Roman"/>
          <w:color w:val="auto"/>
          <w:sz w:val="28"/>
          <w:szCs w:val="28"/>
        </w:rPr>
      </w:pPr>
    </w:p>
    <w:p>
      <w:pPr>
        <w:rPr>
          <w:rFonts w:ascii="Times New Roman" w:hAnsi="Times New Roman" w:eastAsia="仿宋" w:cs="Times New Roman"/>
          <w:b/>
          <w:color w:val="auto"/>
          <w:sz w:val="28"/>
          <w:szCs w:val="28"/>
        </w:rPr>
      </w:pPr>
      <w:r>
        <w:rPr>
          <w:rFonts w:ascii="Times New Roman" w:hAnsi="Times New Roman" w:eastAsia="仿宋" w:cs="Times New Roman"/>
          <w:b/>
          <w:color w:val="auto"/>
          <w:sz w:val="28"/>
          <w:szCs w:val="28"/>
        </w:rPr>
        <w:br w:type="page"/>
      </w:r>
    </w:p>
    <w:p>
      <w:pPr>
        <w:spacing w:line="560" w:lineRule="exact"/>
        <w:ind w:firstLine="562" w:firstLineChars="200"/>
        <w:rPr>
          <w:rFonts w:ascii="Times New Roman" w:hAnsi="Times New Roman" w:eastAsia="仿宋" w:cs="Times New Roman"/>
          <w:b/>
          <w:color w:val="auto"/>
          <w:sz w:val="28"/>
          <w:szCs w:val="28"/>
        </w:rPr>
      </w:pPr>
      <w:r>
        <w:rPr>
          <w:rFonts w:ascii="Times New Roman" w:hAnsi="Times New Roman" w:eastAsia="仿宋" w:cs="Times New Roman"/>
          <w:b/>
          <w:color w:val="auto"/>
          <w:sz w:val="28"/>
          <w:szCs w:val="28"/>
        </w:rPr>
        <w:t xml:space="preserve">表5.1.4-5     </w:t>
      </w:r>
      <w:r>
        <w:rPr>
          <w:rFonts w:hint="eastAsia" w:ascii="Times New Roman" w:hAnsi="Times New Roman" w:eastAsia="仿宋" w:cs="Times New Roman"/>
          <w:b/>
          <w:color w:val="auto"/>
          <w:sz w:val="28"/>
          <w:szCs w:val="28"/>
        </w:rPr>
        <w:t xml:space="preserve">          </w:t>
      </w:r>
      <w:r>
        <w:rPr>
          <w:rFonts w:ascii="Times New Roman" w:hAnsi="Times New Roman" w:eastAsia="仿宋" w:cs="Times New Roman"/>
          <w:b/>
          <w:color w:val="auto"/>
          <w:sz w:val="28"/>
          <w:szCs w:val="28"/>
        </w:rPr>
        <w:t xml:space="preserve">  生物准则层评估结果表</w:t>
      </w:r>
    </w:p>
    <w:tbl>
      <w:tblPr>
        <w:tblStyle w:val="15"/>
        <w:tblW w:w="9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23"/>
        <w:gridCol w:w="2024"/>
        <w:gridCol w:w="1244"/>
        <w:gridCol w:w="1302"/>
        <w:gridCol w:w="1086"/>
        <w:gridCol w:w="1088"/>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79"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序号</w:t>
            </w:r>
          </w:p>
        </w:tc>
        <w:tc>
          <w:tcPr>
            <w:tcW w:w="723"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河流名称</w:t>
            </w:r>
          </w:p>
        </w:tc>
        <w:tc>
          <w:tcPr>
            <w:tcW w:w="2024"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评估河段</w:t>
            </w:r>
          </w:p>
        </w:tc>
        <w:tc>
          <w:tcPr>
            <w:tcW w:w="1244" w:type="dxa"/>
            <w:shd w:val="clear" w:color="auto" w:fill="auto"/>
            <w:vAlign w:val="center"/>
          </w:tcPr>
          <w:p>
            <w:pPr>
              <w:autoSpaceDE w:val="0"/>
              <w:autoSpaceDN w:val="0"/>
              <w:adjustRightInd w:val="0"/>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大型无脊椎动物完整性指标赋分BIBIr</w:t>
            </w:r>
          </w:p>
        </w:tc>
        <w:tc>
          <w:tcPr>
            <w:tcW w:w="1302" w:type="dxa"/>
            <w:shd w:val="clear" w:color="auto" w:fill="auto"/>
            <w:vAlign w:val="center"/>
          </w:tcPr>
          <w:p>
            <w:pPr>
              <w:autoSpaceDE w:val="0"/>
              <w:autoSpaceDN w:val="0"/>
              <w:adjustRightInd w:val="0"/>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鱼类生物损失指标赋分FOEr</w:t>
            </w:r>
          </w:p>
        </w:tc>
        <w:tc>
          <w:tcPr>
            <w:tcW w:w="1086" w:type="dxa"/>
            <w:shd w:val="clear" w:color="auto" w:fill="auto"/>
            <w:vAlign w:val="center"/>
          </w:tcPr>
          <w:p>
            <w:pPr>
              <w:autoSpaceDE w:val="0"/>
              <w:autoSpaceDN w:val="0"/>
              <w:adjustRightInd w:val="0"/>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附生硅藻指数赋分Edr</w:t>
            </w:r>
          </w:p>
        </w:tc>
        <w:tc>
          <w:tcPr>
            <w:tcW w:w="1088" w:type="dxa"/>
            <w:shd w:val="clear" w:color="auto" w:fill="auto"/>
            <w:vAlign w:val="center"/>
          </w:tcPr>
          <w:p>
            <w:pPr>
              <w:autoSpaceDE w:val="0"/>
              <w:autoSpaceDN w:val="0"/>
              <w:adjustRightInd w:val="0"/>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河段生物准则层赋分</w:t>
            </w:r>
          </w:p>
        </w:tc>
        <w:tc>
          <w:tcPr>
            <w:tcW w:w="1297" w:type="dxa"/>
            <w:shd w:val="clear" w:color="auto" w:fill="auto"/>
            <w:vAlign w:val="center"/>
          </w:tcPr>
          <w:p>
            <w:pPr>
              <w:autoSpaceDE w:val="0"/>
              <w:autoSpaceDN w:val="0"/>
              <w:adjustRightInd w:val="0"/>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河流生物准则层赋分Alr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w:t>
            </w:r>
          </w:p>
        </w:tc>
        <w:tc>
          <w:tcPr>
            <w:tcW w:w="723"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ascii="Times New Roman" w:hAnsi="Times New Roman" w:eastAsia="仿宋" w:cs="Times New Roman"/>
                <w:color w:val="auto"/>
                <w:sz w:val="21"/>
                <w:szCs w:val="21"/>
              </w:rPr>
              <w:t>干流</w:t>
            </w:r>
          </w:p>
        </w:tc>
        <w:tc>
          <w:tcPr>
            <w:tcW w:w="202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ascii="Times New Roman" w:hAnsi="Times New Roman" w:eastAsia="仿宋" w:cs="Times New Roman"/>
                <w:color w:val="auto"/>
                <w:sz w:val="21"/>
                <w:szCs w:val="21"/>
              </w:rPr>
              <w:t>保护段</w:t>
            </w:r>
          </w:p>
        </w:tc>
        <w:tc>
          <w:tcPr>
            <w:tcW w:w="1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100.0</w:t>
            </w:r>
          </w:p>
        </w:tc>
        <w:tc>
          <w:tcPr>
            <w:tcW w:w="10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297"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w:t>
            </w:r>
          </w:p>
        </w:tc>
        <w:tc>
          <w:tcPr>
            <w:tcW w:w="723"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02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资江保护段</w:t>
            </w:r>
          </w:p>
        </w:tc>
        <w:tc>
          <w:tcPr>
            <w:tcW w:w="1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65</w:t>
            </w:r>
          </w:p>
        </w:tc>
        <w:tc>
          <w:tcPr>
            <w:tcW w:w="13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100.0</w:t>
            </w:r>
          </w:p>
        </w:tc>
        <w:tc>
          <w:tcPr>
            <w:tcW w:w="10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65</w:t>
            </w:r>
          </w:p>
        </w:tc>
        <w:tc>
          <w:tcPr>
            <w:tcW w:w="1297"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w:t>
            </w:r>
          </w:p>
        </w:tc>
        <w:tc>
          <w:tcPr>
            <w:tcW w:w="723"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02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资江枫木段</w:t>
            </w:r>
          </w:p>
        </w:tc>
        <w:tc>
          <w:tcPr>
            <w:tcW w:w="1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89</w:t>
            </w:r>
          </w:p>
        </w:tc>
        <w:tc>
          <w:tcPr>
            <w:tcW w:w="13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98.7</w:t>
            </w:r>
          </w:p>
        </w:tc>
        <w:tc>
          <w:tcPr>
            <w:tcW w:w="10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89.4</w:t>
            </w:r>
          </w:p>
        </w:tc>
        <w:tc>
          <w:tcPr>
            <w:tcW w:w="1297"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w:t>
            </w:r>
          </w:p>
        </w:tc>
        <w:tc>
          <w:tcPr>
            <w:tcW w:w="723"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02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1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50</w:t>
            </w:r>
          </w:p>
        </w:tc>
        <w:tc>
          <w:tcPr>
            <w:tcW w:w="13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80.9</w:t>
            </w:r>
          </w:p>
        </w:tc>
        <w:tc>
          <w:tcPr>
            <w:tcW w:w="10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50.3</w:t>
            </w:r>
          </w:p>
        </w:tc>
        <w:tc>
          <w:tcPr>
            <w:tcW w:w="1297"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w:t>
            </w:r>
          </w:p>
        </w:tc>
        <w:tc>
          <w:tcPr>
            <w:tcW w:w="723"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02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1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78</w:t>
            </w:r>
          </w:p>
        </w:tc>
        <w:tc>
          <w:tcPr>
            <w:tcW w:w="13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93.3</w:t>
            </w:r>
          </w:p>
        </w:tc>
        <w:tc>
          <w:tcPr>
            <w:tcW w:w="10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77.7</w:t>
            </w:r>
          </w:p>
        </w:tc>
        <w:tc>
          <w:tcPr>
            <w:tcW w:w="1297"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w:t>
            </w:r>
          </w:p>
        </w:tc>
        <w:tc>
          <w:tcPr>
            <w:tcW w:w="723"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02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资江梅溪</w:t>
            </w:r>
            <w:r>
              <w:rPr>
                <w:rFonts w:ascii="Times New Roman" w:hAnsi="Times New Roman" w:eastAsia="仿宋" w:cs="Times New Roman"/>
                <w:color w:val="auto"/>
                <w:sz w:val="21"/>
                <w:szCs w:val="21"/>
              </w:rPr>
              <w:t>开发段</w:t>
            </w:r>
          </w:p>
        </w:tc>
        <w:tc>
          <w:tcPr>
            <w:tcW w:w="1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13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79.1</w:t>
            </w:r>
          </w:p>
        </w:tc>
        <w:tc>
          <w:tcPr>
            <w:tcW w:w="10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69.9</w:t>
            </w:r>
          </w:p>
        </w:tc>
        <w:tc>
          <w:tcPr>
            <w:tcW w:w="1297"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w:t>
            </w:r>
          </w:p>
        </w:tc>
        <w:tc>
          <w:tcPr>
            <w:tcW w:w="723" w:type="dxa"/>
            <w:vMerge w:val="restart"/>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白竹洞河</w:t>
            </w:r>
          </w:p>
        </w:tc>
        <w:tc>
          <w:tcPr>
            <w:tcW w:w="202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保护段</w:t>
            </w:r>
          </w:p>
        </w:tc>
        <w:tc>
          <w:tcPr>
            <w:tcW w:w="1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100.0</w:t>
            </w:r>
          </w:p>
        </w:tc>
        <w:tc>
          <w:tcPr>
            <w:tcW w:w="10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297"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w:t>
            </w:r>
          </w:p>
        </w:tc>
        <w:tc>
          <w:tcPr>
            <w:tcW w:w="723"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02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保留段</w:t>
            </w:r>
          </w:p>
        </w:tc>
        <w:tc>
          <w:tcPr>
            <w:tcW w:w="1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100.0</w:t>
            </w:r>
          </w:p>
        </w:tc>
        <w:tc>
          <w:tcPr>
            <w:tcW w:w="10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297"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13</w:t>
            </w:r>
          </w:p>
        </w:tc>
        <w:tc>
          <w:tcPr>
            <w:tcW w:w="723"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02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白竹洞河开发段</w:t>
            </w:r>
          </w:p>
        </w:tc>
        <w:tc>
          <w:tcPr>
            <w:tcW w:w="1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100.0</w:t>
            </w:r>
          </w:p>
        </w:tc>
        <w:tc>
          <w:tcPr>
            <w:tcW w:w="10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297"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w:t>
            </w:r>
          </w:p>
        </w:tc>
        <w:tc>
          <w:tcPr>
            <w:tcW w:w="723" w:type="dxa"/>
            <w:vMerge w:val="restart"/>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大湾河</w:t>
            </w:r>
          </w:p>
        </w:tc>
        <w:tc>
          <w:tcPr>
            <w:tcW w:w="202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w:t>
            </w:r>
            <w:r>
              <w:rPr>
                <w:rFonts w:ascii="Times New Roman" w:hAnsi="Times New Roman" w:eastAsia="仿宋" w:cs="Times New Roman"/>
                <w:color w:val="auto"/>
                <w:sz w:val="21"/>
                <w:szCs w:val="21"/>
              </w:rPr>
              <w:t>保护段</w:t>
            </w:r>
          </w:p>
        </w:tc>
        <w:tc>
          <w:tcPr>
            <w:tcW w:w="1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100.0</w:t>
            </w:r>
          </w:p>
        </w:tc>
        <w:tc>
          <w:tcPr>
            <w:tcW w:w="10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297"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15</w:t>
            </w:r>
          </w:p>
        </w:tc>
        <w:tc>
          <w:tcPr>
            <w:tcW w:w="723"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02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大湾河开发段</w:t>
            </w:r>
          </w:p>
        </w:tc>
        <w:tc>
          <w:tcPr>
            <w:tcW w:w="1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97</w:t>
            </w:r>
          </w:p>
        </w:tc>
        <w:tc>
          <w:tcPr>
            <w:tcW w:w="13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91.3</w:t>
            </w:r>
          </w:p>
        </w:tc>
        <w:tc>
          <w:tcPr>
            <w:tcW w:w="10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297"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w:t>
            </w:r>
          </w:p>
        </w:tc>
        <w:tc>
          <w:tcPr>
            <w:tcW w:w="723" w:type="dxa"/>
            <w:vMerge w:val="restart"/>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瓜里河</w:t>
            </w:r>
          </w:p>
        </w:tc>
        <w:tc>
          <w:tcPr>
            <w:tcW w:w="202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w:t>
            </w:r>
            <w:r>
              <w:rPr>
                <w:rFonts w:ascii="Times New Roman" w:hAnsi="Times New Roman" w:eastAsia="仿宋" w:cs="Times New Roman"/>
                <w:color w:val="auto"/>
                <w:sz w:val="21"/>
                <w:szCs w:val="21"/>
              </w:rPr>
              <w:t>保护段</w:t>
            </w:r>
          </w:p>
        </w:tc>
        <w:tc>
          <w:tcPr>
            <w:tcW w:w="1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100.0</w:t>
            </w:r>
          </w:p>
        </w:tc>
        <w:tc>
          <w:tcPr>
            <w:tcW w:w="10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297"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w:t>
            </w:r>
          </w:p>
        </w:tc>
        <w:tc>
          <w:tcPr>
            <w:tcW w:w="723"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02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瓜里河保留段</w:t>
            </w:r>
          </w:p>
        </w:tc>
        <w:tc>
          <w:tcPr>
            <w:tcW w:w="1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92.5</w:t>
            </w:r>
          </w:p>
        </w:tc>
        <w:tc>
          <w:tcPr>
            <w:tcW w:w="10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297"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18</w:t>
            </w:r>
          </w:p>
        </w:tc>
        <w:tc>
          <w:tcPr>
            <w:tcW w:w="723"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02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瓜里河开发段</w:t>
            </w:r>
          </w:p>
        </w:tc>
        <w:tc>
          <w:tcPr>
            <w:tcW w:w="1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46</w:t>
            </w:r>
          </w:p>
        </w:tc>
        <w:tc>
          <w:tcPr>
            <w:tcW w:w="13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60.6</w:t>
            </w:r>
          </w:p>
        </w:tc>
        <w:tc>
          <w:tcPr>
            <w:tcW w:w="10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45.9</w:t>
            </w:r>
          </w:p>
        </w:tc>
        <w:tc>
          <w:tcPr>
            <w:tcW w:w="1297"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19</w:t>
            </w:r>
          </w:p>
        </w:tc>
        <w:tc>
          <w:tcPr>
            <w:tcW w:w="723" w:type="dxa"/>
            <w:vMerge w:val="restart"/>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木厂水</w:t>
            </w:r>
          </w:p>
        </w:tc>
        <w:tc>
          <w:tcPr>
            <w:tcW w:w="202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木厂水保护段</w:t>
            </w:r>
          </w:p>
        </w:tc>
        <w:tc>
          <w:tcPr>
            <w:tcW w:w="1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w:t>
            </w:r>
          </w:p>
        </w:tc>
        <w:tc>
          <w:tcPr>
            <w:tcW w:w="130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100.0</w:t>
            </w:r>
          </w:p>
        </w:tc>
        <w:tc>
          <w:tcPr>
            <w:tcW w:w="10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297"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20</w:t>
            </w:r>
          </w:p>
        </w:tc>
        <w:tc>
          <w:tcPr>
            <w:tcW w:w="723"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02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木厂水开发段</w:t>
            </w:r>
          </w:p>
        </w:tc>
        <w:tc>
          <w:tcPr>
            <w:tcW w:w="1244"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81 </w:t>
            </w:r>
          </w:p>
        </w:tc>
        <w:tc>
          <w:tcPr>
            <w:tcW w:w="1302" w:type="dxa"/>
            <w:shd w:val="clear" w:color="auto" w:fill="auto"/>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83.1 </w:t>
            </w:r>
          </w:p>
        </w:tc>
        <w:tc>
          <w:tcPr>
            <w:tcW w:w="1088"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80.8</w:t>
            </w:r>
          </w:p>
        </w:tc>
        <w:tc>
          <w:tcPr>
            <w:tcW w:w="1297" w:type="dxa"/>
            <w:vMerge w:val="continue"/>
            <w:shd w:val="clear" w:color="auto" w:fill="auto"/>
          </w:tcPr>
          <w:p>
            <w:pPr>
              <w:spacing w:line="380" w:lineRule="exact"/>
              <w:rPr>
                <w:rFonts w:ascii="Times New Roman" w:hAnsi="Times New Roman" w:eastAsia="仿宋" w:cs="Times New Roman"/>
                <w:color w:val="auto"/>
                <w:sz w:val="21"/>
                <w:szCs w:val="21"/>
              </w:rPr>
            </w:pPr>
          </w:p>
        </w:tc>
      </w:tr>
    </w:tbl>
    <w:p>
      <w:pPr>
        <w:spacing w:line="360" w:lineRule="auto"/>
        <w:ind w:firstLine="560" w:firstLineChars="200"/>
        <w:rPr>
          <w:rFonts w:ascii="Times New Roman" w:hAnsi="Times New Roman" w:eastAsia="仿宋" w:cs="Times New Roman"/>
          <w:color w:val="auto"/>
          <w:sz w:val="28"/>
          <w:szCs w:val="28"/>
        </w:rPr>
      </w:pPr>
    </w:p>
    <w:p>
      <w:pPr>
        <w:autoSpaceDE w:val="0"/>
        <w:autoSpaceDN w:val="0"/>
        <w:adjustRightInd w:val="0"/>
        <w:spacing w:line="360" w:lineRule="auto"/>
        <w:jc w:val="left"/>
        <w:outlineLvl w:val="2"/>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5.1.5 生态完整性评估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按照3.6.5节生态完整性赋分方法，计算得到各评估河段生态完整性指标赋分后，采用长度权重法获得</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 xml:space="preserve">各评估河段河流生态完整性指标评估赋分。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对水文水资源、物理结构、水质和生物准则层进行综合评估，得到评估结果，结果显示，</w:t>
      </w:r>
      <w:r>
        <w:rPr>
          <w:rFonts w:hint="eastAsia" w:ascii="Times New Roman" w:hAnsi="Times New Roman" w:eastAsia="仿宋" w:cs="Times New Roman"/>
          <w:color w:val="auto"/>
          <w:kern w:val="0"/>
          <w:sz w:val="28"/>
          <w:szCs w:val="28"/>
          <w:lang w:eastAsia="zh-CN"/>
        </w:rPr>
        <w:t>资江梅溪</w:t>
      </w:r>
      <w:r>
        <w:rPr>
          <w:rFonts w:ascii="Times New Roman" w:hAnsi="Times New Roman" w:eastAsia="仿宋" w:cs="Times New Roman"/>
          <w:color w:val="auto"/>
          <w:kern w:val="0"/>
          <w:sz w:val="28"/>
          <w:szCs w:val="28"/>
        </w:rPr>
        <w:t>开发段、</w:t>
      </w:r>
      <w:r>
        <w:rPr>
          <w:rFonts w:hint="eastAsia" w:ascii="Times New Roman" w:hAnsi="Times New Roman" w:eastAsia="仿宋" w:cs="Times New Roman"/>
          <w:color w:val="auto"/>
          <w:kern w:val="0"/>
          <w:sz w:val="28"/>
          <w:szCs w:val="28"/>
          <w:lang w:eastAsia="zh-CN"/>
        </w:rPr>
        <w:t>资江县城段</w:t>
      </w:r>
      <w:r>
        <w:rPr>
          <w:rFonts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lang w:eastAsia="zh-CN"/>
        </w:rPr>
        <w:t>资江梅溪段</w:t>
      </w:r>
      <w:r>
        <w:rPr>
          <w:rFonts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lang w:eastAsia="zh-CN"/>
        </w:rPr>
        <w:t>白竹洞河开发段</w:t>
      </w:r>
      <w:r>
        <w:rPr>
          <w:rFonts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lang w:eastAsia="zh-CN"/>
        </w:rPr>
        <w:t>大湾河开发段</w:t>
      </w:r>
      <w:r>
        <w:rPr>
          <w:rFonts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lang w:eastAsia="zh-CN"/>
        </w:rPr>
        <w:t>瓜里河开发段</w:t>
      </w:r>
      <w:r>
        <w:rPr>
          <w:rFonts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lang w:eastAsia="zh-CN"/>
        </w:rPr>
        <w:t>木厂水开发段</w:t>
      </w:r>
      <w:r>
        <w:rPr>
          <w:rFonts w:ascii="Times New Roman" w:hAnsi="Times New Roman" w:eastAsia="仿宋" w:cs="Times New Roman"/>
          <w:color w:val="auto"/>
          <w:kern w:val="0"/>
          <w:sz w:val="28"/>
          <w:szCs w:val="28"/>
        </w:rPr>
        <w:t>等9个河段的得分在41.2~59.8之间，处于亚健康状况，其他11个河段的得分在60.1~77.9之间，均处于健康状况。</w:t>
      </w:r>
    </w:p>
    <w:p>
      <w:pPr>
        <w:autoSpaceDE w:val="0"/>
        <w:autoSpaceDN w:val="0"/>
        <w:adjustRightInd w:val="0"/>
        <w:spacing w:line="360" w:lineRule="auto"/>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评估范围内各评估河流生态完整性见下表5.1.5-1所示。</w:t>
      </w:r>
    </w:p>
    <w:p>
      <w:pPr>
        <w:autoSpaceDE w:val="0"/>
        <w:autoSpaceDN w:val="0"/>
        <w:adjustRightInd w:val="0"/>
        <w:spacing w:line="360" w:lineRule="auto"/>
        <w:jc w:val="left"/>
        <w:rPr>
          <w:rFonts w:ascii="Times New Roman" w:hAnsi="Times New Roman" w:eastAsia="仿宋" w:cs="Times New Roman"/>
          <w:color w:val="auto"/>
          <w:kern w:val="0"/>
          <w:sz w:val="28"/>
          <w:szCs w:val="28"/>
        </w:rPr>
        <w:sectPr>
          <w:pgSz w:w="11906" w:h="16838"/>
          <w:pgMar w:top="1361" w:right="1361" w:bottom="1474" w:left="1418" w:header="1021" w:footer="964" w:gutter="0"/>
          <w:cols w:space="425" w:num="1"/>
          <w:docGrid w:linePitch="312" w:charSpace="0"/>
        </w:sectPr>
      </w:pPr>
    </w:p>
    <w:p>
      <w:pPr>
        <w:spacing w:line="560" w:lineRule="exact"/>
        <w:ind w:firstLine="562" w:firstLineChars="200"/>
        <w:jc w:val="center"/>
        <w:rPr>
          <w:rFonts w:ascii="Times New Roman" w:hAnsi="Times New Roman" w:eastAsia="仿宋" w:cs="Times New Roman"/>
          <w:b/>
          <w:color w:val="auto"/>
          <w:sz w:val="28"/>
          <w:szCs w:val="28"/>
        </w:rPr>
      </w:pPr>
      <w:r>
        <w:rPr>
          <w:rFonts w:ascii="Times New Roman" w:hAnsi="Times New Roman" w:eastAsia="仿宋" w:cs="Times New Roman"/>
          <w:b/>
          <w:color w:val="auto"/>
          <w:sz w:val="28"/>
          <w:szCs w:val="28"/>
        </w:rPr>
        <w:t>表5.1.5-1                     评估河流生态完整性评估结果表</w:t>
      </w:r>
    </w:p>
    <w:tbl>
      <w:tblPr>
        <w:tblStyle w:val="15"/>
        <w:tblW w:w="1384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843"/>
        <w:gridCol w:w="57"/>
        <w:gridCol w:w="962"/>
        <w:gridCol w:w="965"/>
        <w:gridCol w:w="916"/>
        <w:gridCol w:w="916"/>
        <w:gridCol w:w="916"/>
        <w:gridCol w:w="916"/>
        <w:gridCol w:w="79"/>
        <w:gridCol w:w="837"/>
        <w:gridCol w:w="972"/>
        <w:gridCol w:w="919"/>
        <w:gridCol w:w="997"/>
        <w:gridCol w:w="830"/>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4" w:type="dxa"/>
            <w:vMerge w:val="restart"/>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序号</w:t>
            </w:r>
          </w:p>
        </w:tc>
        <w:tc>
          <w:tcPr>
            <w:tcW w:w="1900" w:type="dxa"/>
            <w:gridSpan w:val="2"/>
            <w:vMerge w:val="restart"/>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评估河段</w:t>
            </w:r>
          </w:p>
        </w:tc>
        <w:tc>
          <w:tcPr>
            <w:tcW w:w="1927" w:type="dxa"/>
            <w:gridSpan w:val="2"/>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水文水资源准则层</w:t>
            </w:r>
          </w:p>
        </w:tc>
        <w:tc>
          <w:tcPr>
            <w:tcW w:w="1832" w:type="dxa"/>
            <w:gridSpan w:val="2"/>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物理结构准则层</w:t>
            </w:r>
          </w:p>
        </w:tc>
        <w:tc>
          <w:tcPr>
            <w:tcW w:w="1911" w:type="dxa"/>
            <w:gridSpan w:val="3"/>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水质准则层</w:t>
            </w:r>
          </w:p>
        </w:tc>
        <w:tc>
          <w:tcPr>
            <w:tcW w:w="1809" w:type="dxa"/>
            <w:gridSpan w:val="2"/>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生物准则层</w:t>
            </w:r>
          </w:p>
        </w:tc>
        <w:tc>
          <w:tcPr>
            <w:tcW w:w="919" w:type="dxa"/>
            <w:vMerge w:val="restart"/>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完整性赋分（REIr)</w:t>
            </w:r>
          </w:p>
        </w:tc>
        <w:tc>
          <w:tcPr>
            <w:tcW w:w="997" w:type="dxa"/>
            <w:vMerge w:val="restart"/>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河段健康状态</w:t>
            </w:r>
          </w:p>
        </w:tc>
        <w:tc>
          <w:tcPr>
            <w:tcW w:w="830" w:type="dxa"/>
            <w:vMerge w:val="restart"/>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河流生态完整性赋分</w:t>
            </w:r>
          </w:p>
        </w:tc>
        <w:tc>
          <w:tcPr>
            <w:tcW w:w="997" w:type="dxa"/>
            <w:vMerge w:val="restart"/>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河流健康状态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4" w:type="dxa"/>
            <w:vMerge w:val="continue"/>
            <w:vAlign w:val="center"/>
          </w:tcPr>
          <w:p>
            <w:pPr>
              <w:widowControl/>
              <w:jc w:val="left"/>
              <w:rPr>
                <w:rFonts w:ascii="Times New Roman" w:hAnsi="Times New Roman" w:eastAsia="宋体" w:cs="Times New Roman"/>
                <w:color w:val="auto"/>
                <w:kern w:val="0"/>
                <w:sz w:val="21"/>
                <w:szCs w:val="21"/>
              </w:rPr>
            </w:pPr>
          </w:p>
        </w:tc>
        <w:tc>
          <w:tcPr>
            <w:tcW w:w="1900" w:type="dxa"/>
            <w:gridSpan w:val="2"/>
            <w:vMerge w:val="continue"/>
            <w:vAlign w:val="center"/>
          </w:tcPr>
          <w:p>
            <w:pPr>
              <w:widowControl/>
              <w:jc w:val="left"/>
              <w:rPr>
                <w:rFonts w:ascii="Times New Roman" w:hAnsi="Times New Roman" w:eastAsia="宋体" w:cs="Times New Roman"/>
                <w:color w:val="auto"/>
                <w:kern w:val="0"/>
                <w:sz w:val="21"/>
                <w:szCs w:val="21"/>
              </w:rPr>
            </w:pPr>
          </w:p>
        </w:tc>
        <w:tc>
          <w:tcPr>
            <w:tcW w:w="962"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赋分（HDr）</w:t>
            </w:r>
          </w:p>
        </w:tc>
        <w:tc>
          <w:tcPr>
            <w:tcW w:w="965"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权重（HDw）</w:t>
            </w:r>
          </w:p>
        </w:tc>
        <w:tc>
          <w:tcPr>
            <w:tcW w:w="916"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赋分（PFr）</w:t>
            </w:r>
          </w:p>
        </w:tc>
        <w:tc>
          <w:tcPr>
            <w:tcW w:w="916"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权重（PFw）</w:t>
            </w:r>
          </w:p>
        </w:tc>
        <w:tc>
          <w:tcPr>
            <w:tcW w:w="916"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赋分（WQr）</w:t>
            </w:r>
          </w:p>
        </w:tc>
        <w:tc>
          <w:tcPr>
            <w:tcW w:w="995" w:type="dxa"/>
            <w:gridSpan w:val="2"/>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权重（WQw）</w:t>
            </w:r>
          </w:p>
        </w:tc>
        <w:tc>
          <w:tcPr>
            <w:tcW w:w="837"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赋分（ALr）</w:t>
            </w:r>
          </w:p>
        </w:tc>
        <w:tc>
          <w:tcPr>
            <w:tcW w:w="972"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权重（ALw）</w:t>
            </w:r>
          </w:p>
        </w:tc>
        <w:tc>
          <w:tcPr>
            <w:tcW w:w="919" w:type="dxa"/>
            <w:vMerge w:val="continue"/>
            <w:vAlign w:val="center"/>
          </w:tcPr>
          <w:p>
            <w:pPr>
              <w:widowControl/>
              <w:jc w:val="left"/>
              <w:rPr>
                <w:rFonts w:ascii="Times New Roman" w:hAnsi="Times New Roman" w:eastAsia="宋体" w:cs="Times New Roman"/>
                <w:color w:val="auto"/>
                <w:kern w:val="0"/>
                <w:sz w:val="21"/>
                <w:szCs w:val="21"/>
              </w:rPr>
            </w:pPr>
          </w:p>
        </w:tc>
        <w:tc>
          <w:tcPr>
            <w:tcW w:w="997" w:type="dxa"/>
            <w:vMerge w:val="continue"/>
            <w:vAlign w:val="center"/>
          </w:tcPr>
          <w:p>
            <w:pPr>
              <w:widowControl/>
              <w:jc w:val="left"/>
              <w:rPr>
                <w:rFonts w:ascii="Times New Roman" w:hAnsi="Times New Roman" w:eastAsia="宋体" w:cs="Times New Roman"/>
                <w:color w:val="auto"/>
                <w:kern w:val="0"/>
                <w:sz w:val="21"/>
                <w:szCs w:val="21"/>
              </w:rPr>
            </w:pPr>
          </w:p>
        </w:tc>
        <w:tc>
          <w:tcPr>
            <w:tcW w:w="830" w:type="dxa"/>
            <w:vMerge w:val="continue"/>
            <w:vAlign w:val="center"/>
          </w:tcPr>
          <w:p>
            <w:pPr>
              <w:widowControl/>
              <w:jc w:val="left"/>
              <w:rPr>
                <w:rFonts w:ascii="Times New Roman" w:hAnsi="Times New Roman" w:eastAsia="宋体" w:cs="Times New Roman"/>
                <w:color w:val="auto"/>
                <w:kern w:val="0"/>
                <w:sz w:val="21"/>
                <w:szCs w:val="21"/>
              </w:rPr>
            </w:pPr>
          </w:p>
        </w:tc>
        <w:tc>
          <w:tcPr>
            <w:tcW w:w="997" w:type="dxa"/>
            <w:vMerge w:val="continue"/>
            <w:vAlign w:val="center"/>
          </w:tcPr>
          <w:p>
            <w:pPr>
              <w:widowControl/>
              <w:jc w:val="left"/>
              <w:rPr>
                <w:rFonts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4"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w:t>
            </w:r>
          </w:p>
        </w:tc>
        <w:tc>
          <w:tcPr>
            <w:tcW w:w="1900" w:type="dxa"/>
            <w:gridSpan w:val="2"/>
            <w:shd w:val="clear" w:color="auto" w:fill="auto"/>
            <w:vAlign w:val="center"/>
          </w:tcPr>
          <w:p>
            <w:pPr>
              <w:widowControl/>
              <w:jc w:val="center"/>
              <w:rPr>
                <w:rFonts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eastAsia="zh-CN"/>
              </w:rPr>
              <w:t>资江</w:t>
            </w:r>
            <w:r>
              <w:rPr>
                <w:rFonts w:ascii="Times New Roman" w:hAnsi="Times New Roman" w:eastAsia="宋体" w:cs="Times New Roman"/>
                <w:color w:val="auto"/>
                <w:kern w:val="0"/>
                <w:sz w:val="21"/>
                <w:szCs w:val="21"/>
              </w:rPr>
              <w:t>保护段</w:t>
            </w:r>
          </w:p>
        </w:tc>
        <w:tc>
          <w:tcPr>
            <w:tcW w:w="96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64.1</w:t>
            </w:r>
          </w:p>
        </w:tc>
        <w:tc>
          <w:tcPr>
            <w:tcW w:w="96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70.6</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78.8</w:t>
            </w:r>
          </w:p>
        </w:tc>
        <w:tc>
          <w:tcPr>
            <w:tcW w:w="995" w:type="dxa"/>
            <w:gridSpan w:val="2"/>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83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97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0.4</w:t>
            </w:r>
          </w:p>
        </w:tc>
        <w:tc>
          <w:tcPr>
            <w:tcW w:w="91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79</w:t>
            </w:r>
          </w:p>
        </w:tc>
        <w:tc>
          <w:tcPr>
            <w:tcW w:w="9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健康</w:t>
            </w:r>
          </w:p>
        </w:tc>
        <w:tc>
          <w:tcPr>
            <w:tcW w:w="830"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60.2</w:t>
            </w:r>
          </w:p>
        </w:tc>
        <w:tc>
          <w:tcPr>
            <w:tcW w:w="997"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4"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2</w:t>
            </w:r>
          </w:p>
        </w:tc>
        <w:tc>
          <w:tcPr>
            <w:tcW w:w="1900" w:type="dxa"/>
            <w:gridSpan w:val="2"/>
            <w:shd w:val="clear" w:color="auto" w:fill="auto"/>
            <w:vAlign w:val="center"/>
          </w:tcPr>
          <w:p>
            <w:pPr>
              <w:widowControl/>
              <w:jc w:val="center"/>
              <w:rPr>
                <w:rFonts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eastAsia="zh-CN"/>
              </w:rPr>
              <w:t>资江保护段</w:t>
            </w:r>
          </w:p>
        </w:tc>
        <w:tc>
          <w:tcPr>
            <w:tcW w:w="96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64.1</w:t>
            </w:r>
          </w:p>
        </w:tc>
        <w:tc>
          <w:tcPr>
            <w:tcW w:w="96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74.8</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78.8</w:t>
            </w:r>
          </w:p>
        </w:tc>
        <w:tc>
          <w:tcPr>
            <w:tcW w:w="995" w:type="dxa"/>
            <w:gridSpan w:val="2"/>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83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65</w:t>
            </w:r>
          </w:p>
        </w:tc>
        <w:tc>
          <w:tcPr>
            <w:tcW w:w="97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0.4</w:t>
            </w:r>
          </w:p>
        </w:tc>
        <w:tc>
          <w:tcPr>
            <w:tcW w:w="91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69.5</w:t>
            </w:r>
          </w:p>
        </w:tc>
        <w:tc>
          <w:tcPr>
            <w:tcW w:w="9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健康</w:t>
            </w:r>
          </w:p>
        </w:tc>
        <w:tc>
          <w:tcPr>
            <w:tcW w:w="830" w:type="dxa"/>
            <w:vMerge w:val="continue"/>
            <w:vAlign w:val="center"/>
          </w:tcPr>
          <w:p>
            <w:pPr>
              <w:spacing w:line="380" w:lineRule="exact"/>
              <w:jc w:val="center"/>
              <w:rPr>
                <w:rFonts w:ascii="Times New Roman" w:hAnsi="Times New Roman" w:eastAsia="仿宋" w:cs="Times New Roman"/>
                <w:color w:val="auto"/>
                <w:sz w:val="21"/>
                <w:szCs w:val="21"/>
              </w:rPr>
            </w:pPr>
          </w:p>
        </w:tc>
        <w:tc>
          <w:tcPr>
            <w:tcW w:w="997" w:type="dxa"/>
            <w:vMerge w:val="continue"/>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4"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3</w:t>
            </w:r>
          </w:p>
        </w:tc>
        <w:tc>
          <w:tcPr>
            <w:tcW w:w="1900" w:type="dxa"/>
            <w:gridSpan w:val="2"/>
            <w:shd w:val="clear" w:color="auto" w:fill="auto"/>
            <w:vAlign w:val="center"/>
          </w:tcPr>
          <w:p>
            <w:pPr>
              <w:widowControl/>
              <w:jc w:val="center"/>
              <w:rPr>
                <w:rFonts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eastAsia="zh-CN"/>
              </w:rPr>
              <w:t>资江枫木段</w:t>
            </w:r>
          </w:p>
        </w:tc>
        <w:tc>
          <w:tcPr>
            <w:tcW w:w="96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44.4</w:t>
            </w:r>
          </w:p>
        </w:tc>
        <w:tc>
          <w:tcPr>
            <w:tcW w:w="96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49.7</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78.8</w:t>
            </w:r>
          </w:p>
        </w:tc>
        <w:tc>
          <w:tcPr>
            <w:tcW w:w="995" w:type="dxa"/>
            <w:gridSpan w:val="2"/>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83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89.4</w:t>
            </w:r>
          </w:p>
        </w:tc>
        <w:tc>
          <w:tcPr>
            <w:tcW w:w="97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0.4</w:t>
            </w:r>
          </w:p>
        </w:tc>
        <w:tc>
          <w:tcPr>
            <w:tcW w:w="91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70.3</w:t>
            </w:r>
          </w:p>
        </w:tc>
        <w:tc>
          <w:tcPr>
            <w:tcW w:w="9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健康</w:t>
            </w:r>
          </w:p>
        </w:tc>
        <w:tc>
          <w:tcPr>
            <w:tcW w:w="830" w:type="dxa"/>
            <w:vMerge w:val="continue"/>
            <w:vAlign w:val="center"/>
          </w:tcPr>
          <w:p>
            <w:pPr>
              <w:spacing w:line="380" w:lineRule="exact"/>
              <w:jc w:val="center"/>
              <w:rPr>
                <w:rFonts w:ascii="Times New Roman" w:hAnsi="Times New Roman" w:eastAsia="仿宋" w:cs="Times New Roman"/>
                <w:color w:val="auto"/>
                <w:sz w:val="21"/>
                <w:szCs w:val="21"/>
              </w:rPr>
            </w:pPr>
          </w:p>
        </w:tc>
        <w:tc>
          <w:tcPr>
            <w:tcW w:w="997" w:type="dxa"/>
            <w:vMerge w:val="continue"/>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4"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4</w:t>
            </w:r>
          </w:p>
        </w:tc>
        <w:tc>
          <w:tcPr>
            <w:tcW w:w="1900" w:type="dxa"/>
            <w:gridSpan w:val="2"/>
            <w:shd w:val="clear" w:color="auto" w:fill="auto"/>
            <w:vAlign w:val="center"/>
          </w:tcPr>
          <w:p>
            <w:pPr>
              <w:widowControl/>
              <w:jc w:val="center"/>
              <w:rPr>
                <w:rFonts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eastAsia="zh-CN"/>
              </w:rPr>
              <w:t>资江县城段</w:t>
            </w:r>
          </w:p>
        </w:tc>
        <w:tc>
          <w:tcPr>
            <w:tcW w:w="96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44.4</w:t>
            </w:r>
          </w:p>
        </w:tc>
        <w:tc>
          <w:tcPr>
            <w:tcW w:w="96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67.9</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78.8</w:t>
            </w:r>
          </w:p>
        </w:tc>
        <w:tc>
          <w:tcPr>
            <w:tcW w:w="995" w:type="dxa"/>
            <w:gridSpan w:val="2"/>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83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50.3</w:t>
            </w:r>
          </w:p>
        </w:tc>
        <w:tc>
          <w:tcPr>
            <w:tcW w:w="97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0.4</w:t>
            </w:r>
          </w:p>
        </w:tc>
        <w:tc>
          <w:tcPr>
            <w:tcW w:w="91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58.3</w:t>
            </w:r>
          </w:p>
        </w:tc>
        <w:tc>
          <w:tcPr>
            <w:tcW w:w="9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亚健康</w:t>
            </w:r>
          </w:p>
        </w:tc>
        <w:tc>
          <w:tcPr>
            <w:tcW w:w="830" w:type="dxa"/>
            <w:vMerge w:val="continue"/>
            <w:vAlign w:val="center"/>
          </w:tcPr>
          <w:p>
            <w:pPr>
              <w:spacing w:line="380" w:lineRule="exact"/>
              <w:jc w:val="center"/>
              <w:rPr>
                <w:rFonts w:ascii="Times New Roman" w:hAnsi="Times New Roman" w:eastAsia="仿宋" w:cs="Times New Roman"/>
                <w:color w:val="auto"/>
                <w:sz w:val="21"/>
                <w:szCs w:val="21"/>
              </w:rPr>
            </w:pPr>
          </w:p>
        </w:tc>
        <w:tc>
          <w:tcPr>
            <w:tcW w:w="997" w:type="dxa"/>
            <w:vMerge w:val="continue"/>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4"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5</w:t>
            </w:r>
          </w:p>
        </w:tc>
        <w:tc>
          <w:tcPr>
            <w:tcW w:w="1900" w:type="dxa"/>
            <w:gridSpan w:val="2"/>
            <w:shd w:val="clear" w:color="auto" w:fill="auto"/>
            <w:vAlign w:val="center"/>
          </w:tcPr>
          <w:p>
            <w:pPr>
              <w:widowControl/>
              <w:jc w:val="center"/>
              <w:rPr>
                <w:rFonts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eastAsia="zh-CN"/>
              </w:rPr>
              <w:t>资江县城段</w:t>
            </w:r>
          </w:p>
        </w:tc>
        <w:tc>
          <w:tcPr>
            <w:tcW w:w="96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40.8</w:t>
            </w:r>
          </w:p>
        </w:tc>
        <w:tc>
          <w:tcPr>
            <w:tcW w:w="96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66.9</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995" w:type="dxa"/>
            <w:gridSpan w:val="2"/>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83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77.7</w:t>
            </w:r>
          </w:p>
        </w:tc>
        <w:tc>
          <w:tcPr>
            <w:tcW w:w="97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0.4</w:t>
            </w:r>
          </w:p>
        </w:tc>
        <w:tc>
          <w:tcPr>
            <w:tcW w:w="91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66.6</w:t>
            </w:r>
          </w:p>
        </w:tc>
        <w:tc>
          <w:tcPr>
            <w:tcW w:w="9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健康</w:t>
            </w:r>
          </w:p>
        </w:tc>
        <w:tc>
          <w:tcPr>
            <w:tcW w:w="830" w:type="dxa"/>
            <w:vMerge w:val="continue"/>
            <w:vAlign w:val="center"/>
          </w:tcPr>
          <w:p>
            <w:pPr>
              <w:spacing w:line="380" w:lineRule="exact"/>
              <w:jc w:val="center"/>
              <w:rPr>
                <w:rFonts w:ascii="Times New Roman" w:hAnsi="Times New Roman" w:eastAsia="仿宋" w:cs="Times New Roman"/>
                <w:color w:val="auto"/>
                <w:sz w:val="21"/>
                <w:szCs w:val="21"/>
              </w:rPr>
            </w:pPr>
          </w:p>
        </w:tc>
        <w:tc>
          <w:tcPr>
            <w:tcW w:w="997" w:type="dxa"/>
            <w:vMerge w:val="continue"/>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4"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6</w:t>
            </w:r>
          </w:p>
        </w:tc>
        <w:tc>
          <w:tcPr>
            <w:tcW w:w="1900" w:type="dxa"/>
            <w:gridSpan w:val="2"/>
            <w:shd w:val="clear" w:color="auto" w:fill="auto"/>
            <w:vAlign w:val="center"/>
          </w:tcPr>
          <w:p>
            <w:pPr>
              <w:widowControl/>
              <w:jc w:val="center"/>
              <w:rPr>
                <w:rFonts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eastAsia="zh-CN"/>
              </w:rPr>
              <w:t>资江梅溪</w:t>
            </w:r>
            <w:r>
              <w:rPr>
                <w:rFonts w:ascii="Times New Roman" w:hAnsi="Times New Roman" w:eastAsia="宋体" w:cs="Times New Roman"/>
                <w:color w:val="auto"/>
                <w:kern w:val="0"/>
                <w:sz w:val="21"/>
                <w:szCs w:val="21"/>
              </w:rPr>
              <w:t>开发段</w:t>
            </w:r>
          </w:p>
        </w:tc>
        <w:tc>
          <w:tcPr>
            <w:tcW w:w="96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34</w:t>
            </w:r>
          </w:p>
        </w:tc>
        <w:tc>
          <w:tcPr>
            <w:tcW w:w="96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65.3</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995" w:type="dxa"/>
            <w:gridSpan w:val="2"/>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83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69.9</w:t>
            </w:r>
          </w:p>
        </w:tc>
        <w:tc>
          <w:tcPr>
            <w:tcW w:w="97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0.4</w:t>
            </w:r>
          </w:p>
        </w:tc>
        <w:tc>
          <w:tcPr>
            <w:tcW w:w="91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61.8</w:t>
            </w:r>
          </w:p>
        </w:tc>
        <w:tc>
          <w:tcPr>
            <w:tcW w:w="9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健康</w:t>
            </w:r>
          </w:p>
        </w:tc>
        <w:tc>
          <w:tcPr>
            <w:tcW w:w="830" w:type="dxa"/>
            <w:vMerge w:val="continue"/>
            <w:vAlign w:val="center"/>
          </w:tcPr>
          <w:p>
            <w:pPr>
              <w:spacing w:line="380" w:lineRule="exact"/>
              <w:jc w:val="center"/>
              <w:rPr>
                <w:rFonts w:ascii="Times New Roman" w:hAnsi="Times New Roman" w:eastAsia="仿宋" w:cs="Times New Roman"/>
                <w:color w:val="auto"/>
                <w:sz w:val="21"/>
                <w:szCs w:val="21"/>
              </w:rPr>
            </w:pPr>
          </w:p>
        </w:tc>
        <w:tc>
          <w:tcPr>
            <w:tcW w:w="997" w:type="dxa"/>
            <w:vMerge w:val="continue"/>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846" w:type="dxa"/>
            <w:gridSpan w:val="16"/>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4"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11</w:t>
            </w:r>
          </w:p>
        </w:tc>
        <w:tc>
          <w:tcPr>
            <w:tcW w:w="1900" w:type="dxa"/>
            <w:gridSpan w:val="2"/>
            <w:shd w:val="clear" w:color="auto" w:fill="auto"/>
            <w:vAlign w:val="center"/>
          </w:tcPr>
          <w:p>
            <w:pPr>
              <w:widowControl/>
              <w:jc w:val="center"/>
              <w:rPr>
                <w:rFonts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eastAsia="zh-CN"/>
              </w:rPr>
              <w:t>白竹洞河</w:t>
            </w:r>
            <w:r>
              <w:rPr>
                <w:rFonts w:ascii="Times New Roman" w:hAnsi="Times New Roman" w:eastAsia="宋体" w:cs="Times New Roman"/>
                <w:color w:val="auto"/>
                <w:kern w:val="0"/>
                <w:sz w:val="21"/>
                <w:szCs w:val="21"/>
              </w:rPr>
              <w:t>保护段</w:t>
            </w:r>
          </w:p>
        </w:tc>
        <w:tc>
          <w:tcPr>
            <w:tcW w:w="96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43.2</w:t>
            </w:r>
          </w:p>
        </w:tc>
        <w:tc>
          <w:tcPr>
            <w:tcW w:w="96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70.5</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64.9</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gridSpan w:val="2"/>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97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0.4</w:t>
            </w:r>
          </w:p>
        </w:tc>
        <w:tc>
          <w:tcPr>
            <w:tcW w:w="91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72.1</w:t>
            </w:r>
          </w:p>
        </w:tc>
        <w:tc>
          <w:tcPr>
            <w:tcW w:w="9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健康</w:t>
            </w:r>
          </w:p>
        </w:tc>
        <w:tc>
          <w:tcPr>
            <w:tcW w:w="830"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67.8</w:t>
            </w:r>
          </w:p>
        </w:tc>
        <w:tc>
          <w:tcPr>
            <w:tcW w:w="997"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4"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12</w:t>
            </w:r>
          </w:p>
        </w:tc>
        <w:tc>
          <w:tcPr>
            <w:tcW w:w="1900" w:type="dxa"/>
            <w:gridSpan w:val="2"/>
            <w:shd w:val="clear" w:color="auto" w:fill="auto"/>
            <w:vAlign w:val="center"/>
          </w:tcPr>
          <w:p>
            <w:pPr>
              <w:widowControl/>
              <w:jc w:val="center"/>
              <w:rPr>
                <w:rFonts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eastAsia="zh-CN"/>
              </w:rPr>
              <w:t>白竹洞河</w:t>
            </w:r>
            <w:r>
              <w:rPr>
                <w:rFonts w:ascii="Times New Roman" w:hAnsi="Times New Roman" w:eastAsia="宋体" w:cs="Times New Roman"/>
                <w:color w:val="auto"/>
                <w:kern w:val="0"/>
                <w:sz w:val="21"/>
                <w:szCs w:val="21"/>
              </w:rPr>
              <w:t>保留段</w:t>
            </w:r>
          </w:p>
        </w:tc>
        <w:tc>
          <w:tcPr>
            <w:tcW w:w="96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43.2</w:t>
            </w:r>
          </w:p>
        </w:tc>
        <w:tc>
          <w:tcPr>
            <w:tcW w:w="96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43.1</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64.9</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gridSpan w:val="2"/>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97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0.4</w:t>
            </w:r>
          </w:p>
        </w:tc>
        <w:tc>
          <w:tcPr>
            <w:tcW w:w="91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66.6</w:t>
            </w:r>
          </w:p>
        </w:tc>
        <w:tc>
          <w:tcPr>
            <w:tcW w:w="9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健康</w:t>
            </w:r>
          </w:p>
        </w:tc>
        <w:tc>
          <w:tcPr>
            <w:tcW w:w="830" w:type="dxa"/>
            <w:vMerge w:val="continue"/>
            <w:vAlign w:val="center"/>
          </w:tcPr>
          <w:p>
            <w:pPr>
              <w:spacing w:line="380" w:lineRule="exact"/>
              <w:jc w:val="center"/>
              <w:rPr>
                <w:rFonts w:ascii="Times New Roman" w:hAnsi="Times New Roman" w:eastAsia="仿宋" w:cs="Times New Roman"/>
                <w:color w:val="auto"/>
                <w:sz w:val="21"/>
                <w:szCs w:val="21"/>
              </w:rPr>
            </w:pPr>
          </w:p>
        </w:tc>
        <w:tc>
          <w:tcPr>
            <w:tcW w:w="997"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4"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13</w:t>
            </w:r>
          </w:p>
        </w:tc>
        <w:tc>
          <w:tcPr>
            <w:tcW w:w="1900" w:type="dxa"/>
            <w:gridSpan w:val="2"/>
            <w:shd w:val="clear" w:color="auto" w:fill="auto"/>
            <w:vAlign w:val="center"/>
          </w:tcPr>
          <w:p>
            <w:pPr>
              <w:widowControl/>
              <w:jc w:val="center"/>
              <w:rPr>
                <w:rFonts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eastAsia="zh-CN"/>
              </w:rPr>
              <w:t>白竹洞河开发段</w:t>
            </w:r>
          </w:p>
        </w:tc>
        <w:tc>
          <w:tcPr>
            <w:tcW w:w="96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43.2</w:t>
            </w:r>
          </w:p>
        </w:tc>
        <w:tc>
          <w:tcPr>
            <w:tcW w:w="96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40.3</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64.9</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gridSpan w:val="2"/>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97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0.4</w:t>
            </w:r>
          </w:p>
        </w:tc>
        <w:tc>
          <w:tcPr>
            <w:tcW w:w="91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66</w:t>
            </w:r>
          </w:p>
        </w:tc>
        <w:tc>
          <w:tcPr>
            <w:tcW w:w="9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健康</w:t>
            </w:r>
          </w:p>
        </w:tc>
        <w:tc>
          <w:tcPr>
            <w:tcW w:w="830" w:type="dxa"/>
            <w:vMerge w:val="continue"/>
            <w:vAlign w:val="center"/>
          </w:tcPr>
          <w:p>
            <w:pPr>
              <w:spacing w:line="380" w:lineRule="exact"/>
              <w:jc w:val="center"/>
              <w:rPr>
                <w:rFonts w:ascii="Times New Roman" w:hAnsi="Times New Roman" w:eastAsia="仿宋" w:cs="Times New Roman"/>
                <w:color w:val="auto"/>
                <w:sz w:val="21"/>
                <w:szCs w:val="21"/>
              </w:rPr>
            </w:pPr>
          </w:p>
        </w:tc>
        <w:tc>
          <w:tcPr>
            <w:tcW w:w="997" w:type="dxa"/>
            <w:vMerge w:val="continue"/>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846" w:type="dxa"/>
            <w:gridSpan w:val="16"/>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4"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14</w:t>
            </w:r>
          </w:p>
        </w:tc>
        <w:tc>
          <w:tcPr>
            <w:tcW w:w="1900" w:type="dxa"/>
            <w:gridSpan w:val="2"/>
            <w:shd w:val="clear" w:color="auto" w:fill="auto"/>
            <w:vAlign w:val="center"/>
          </w:tcPr>
          <w:p>
            <w:pPr>
              <w:widowControl/>
              <w:jc w:val="center"/>
              <w:rPr>
                <w:rFonts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eastAsia="zh-CN"/>
              </w:rPr>
              <w:t>大湾河</w:t>
            </w:r>
            <w:r>
              <w:rPr>
                <w:rFonts w:ascii="Times New Roman" w:hAnsi="Times New Roman" w:eastAsia="宋体" w:cs="Times New Roman"/>
                <w:color w:val="auto"/>
                <w:kern w:val="0"/>
                <w:sz w:val="21"/>
                <w:szCs w:val="21"/>
              </w:rPr>
              <w:t>保护段</w:t>
            </w:r>
          </w:p>
        </w:tc>
        <w:tc>
          <w:tcPr>
            <w:tcW w:w="96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40</w:t>
            </w:r>
          </w:p>
        </w:tc>
        <w:tc>
          <w:tcPr>
            <w:tcW w:w="96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65.3</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64.9</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gridSpan w:val="2"/>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97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0.4</w:t>
            </w:r>
          </w:p>
        </w:tc>
        <w:tc>
          <w:tcPr>
            <w:tcW w:w="91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70.4</w:t>
            </w:r>
          </w:p>
        </w:tc>
        <w:tc>
          <w:tcPr>
            <w:tcW w:w="9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健康</w:t>
            </w:r>
          </w:p>
        </w:tc>
        <w:tc>
          <w:tcPr>
            <w:tcW w:w="830"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66.7</w:t>
            </w:r>
          </w:p>
        </w:tc>
        <w:tc>
          <w:tcPr>
            <w:tcW w:w="997"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4"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15</w:t>
            </w:r>
          </w:p>
        </w:tc>
        <w:tc>
          <w:tcPr>
            <w:tcW w:w="1900" w:type="dxa"/>
            <w:gridSpan w:val="2"/>
            <w:shd w:val="clear" w:color="auto" w:fill="auto"/>
            <w:vAlign w:val="center"/>
          </w:tcPr>
          <w:p>
            <w:pPr>
              <w:widowControl/>
              <w:jc w:val="center"/>
              <w:rPr>
                <w:rFonts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eastAsia="zh-CN"/>
              </w:rPr>
              <w:t>大湾河开发段</w:t>
            </w:r>
          </w:p>
        </w:tc>
        <w:tc>
          <w:tcPr>
            <w:tcW w:w="96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40</w:t>
            </w:r>
          </w:p>
        </w:tc>
        <w:tc>
          <w:tcPr>
            <w:tcW w:w="96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39.3</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64.9</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gridSpan w:val="2"/>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97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0.4</w:t>
            </w:r>
          </w:p>
        </w:tc>
        <w:tc>
          <w:tcPr>
            <w:tcW w:w="91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65.2</w:t>
            </w:r>
          </w:p>
        </w:tc>
        <w:tc>
          <w:tcPr>
            <w:tcW w:w="9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健康</w:t>
            </w:r>
          </w:p>
        </w:tc>
        <w:tc>
          <w:tcPr>
            <w:tcW w:w="830" w:type="dxa"/>
            <w:vMerge w:val="continue"/>
            <w:vAlign w:val="center"/>
          </w:tcPr>
          <w:p>
            <w:pPr>
              <w:spacing w:line="380" w:lineRule="exact"/>
              <w:jc w:val="center"/>
              <w:rPr>
                <w:rFonts w:ascii="Times New Roman" w:hAnsi="Times New Roman" w:eastAsia="仿宋" w:cs="Times New Roman"/>
                <w:color w:val="auto"/>
                <w:sz w:val="21"/>
                <w:szCs w:val="21"/>
              </w:rPr>
            </w:pPr>
          </w:p>
        </w:tc>
        <w:tc>
          <w:tcPr>
            <w:tcW w:w="997" w:type="dxa"/>
            <w:vMerge w:val="continue"/>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846" w:type="dxa"/>
            <w:gridSpan w:val="16"/>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4"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16</w:t>
            </w:r>
          </w:p>
        </w:tc>
        <w:tc>
          <w:tcPr>
            <w:tcW w:w="1843" w:type="dxa"/>
            <w:shd w:val="clear" w:color="auto" w:fill="auto"/>
            <w:vAlign w:val="center"/>
          </w:tcPr>
          <w:p>
            <w:pPr>
              <w:widowControl/>
              <w:jc w:val="center"/>
              <w:rPr>
                <w:rFonts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eastAsia="zh-CN"/>
              </w:rPr>
              <w:t>瓜里河</w:t>
            </w:r>
            <w:r>
              <w:rPr>
                <w:rFonts w:ascii="Times New Roman" w:hAnsi="Times New Roman" w:eastAsia="宋体" w:cs="Times New Roman"/>
                <w:color w:val="auto"/>
                <w:kern w:val="0"/>
                <w:sz w:val="21"/>
                <w:szCs w:val="21"/>
              </w:rPr>
              <w:t>保护段</w:t>
            </w:r>
          </w:p>
        </w:tc>
        <w:tc>
          <w:tcPr>
            <w:tcW w:w="1019" w:type="dxa"/>
            <w:gridSpan w:val="2"/>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30.4</w:t>
            </w:r>
          </w:p>
        </w:tc>
        <w:tc>
          <w:tcPr>
            <w:tcW w:w="96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66.5</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gridSpan w:val="2"/>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97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0.4</w:t>
            </w:r>
          </w:p>
        </w:tc>
        <w:tc>
          <w:tcPr>
            <w:tcW w:w="91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69.7</w:t>
            </w:r>
          </w:p>
        </w:tc>
        <w:tc>
          <w:tcPr>
            <w:tcW w:w="9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健康</w:t>
            </w:r>
          </w:p>
        </w:tc>
        <w:tc>
          <w:tcPr>
            <w:tcW w:w="830"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60.2</w:t>
            </w:r>
          </w:p>
        </w:tc>
        <w:tc>
          <w:tcPr>
            <w:tcW w:w="997"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4"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17</w:t>
            </w:r>
          </w:p>
        </w:tc>
        <w:tc>
          <w:tcPr>
            <w:tcW w:w="1843" w:type="dxa"/>
            <w:shd w:val="clear" w:color="auto" w:fill="auto"/>
            <w:vAlign w:val="center"/>
          </w:tcPr>
          <w:p>
            <w:pPr>
              <w:widowControl/>
              <w:jc w:val="center"/>
              <w:rPr>
                <w:rFonts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eastAsia="zh-CN"/>
              </w:rPr>
              <w:t>瓜里河保留段</w:t>
            </w:r>
          </w:p>
        </w:tc>
        <w:tc>
          <w:tcPr>
            <w:tcW w:w="1019" w:type="dxa"/>
            <w:gridSpan w:val="2"/>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30.4</w:t>
            </w:r>
          </w:p>
        </w:tc>
        <w:tc>
          <w:tcPr>
            <w:tcW w:w="96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68.3</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gridSpan w:val="2"/>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97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0.4</w:t>
            </w:r>
          </w:p>
        </w:tc>
        <w:tc>
          <w:tcPr>
            <w:tcW w:w="91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70.1</w:t>
            </w:r>
          </w:p>
        </w:tc>
        <w:tc>
          <w:tcPr>
            <w:tcW w:w="9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健康</w:t>
            </w:r>
          </w:p>
        </w:tc>
        <w:tc>
          <w:tcPr>
            <w:tcW w:w="830"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997"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4"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18</w:t>
            </w:r>
          </w:p>
        </w:tc>
        <w:tc>
          <w:tcPr>
            <w:tcW w:w="1843" w:type="dxa"/>
            <w:shd w:val="clear" w:color="auto" w:fill="auto"/>
            <w:vAlign w:val="center"/>
          </w:tcPr>
          <w:p>
            <w:pPr>
              <w:widowControl/>
              <w:jc w:val="center"/>
              <w:rPr>
                <w:rFonts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eastAsia="zh-CN"/>
              </w:rPr>
              <w:t>瓜里河开发段</w:t>
            </w:r>
          </w:p>
        </w:tc>
        <w:tc>
          <w:tcPr>
            <w:tcW w:w="1019" w:type="dxa"/>
            <w:gridSpan w:val="2"/>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30.4</w:t>
            </w:r>
          </w:p>
        </w:tc>
        <w:tc>
          <w:tcPr>
            <w:tcW w:w="96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46.3</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gridSpan w:val="2"/>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45.9</w:t>
            </w:r>
          </w:p>
        </w:tc>
        <w:tc>
          <w:tcPr>
            <w:tcW w:w="97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0.4</w:t>
            </w:r>
          </w:p>
        </w:tc>
        <w:tc>
          <w:tcPr>
            <w:tcW w:w="91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47.7</w:t>
            </w:r>
          </w:p>
        </w:tc>
        <w:tc>
          <w:tcPr>
            <w:tcW w:w="9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亚健康</w:t>
            </w:r>
          </w:p>
        </w:tc>
        <w:tc>
          <w:tcPr>
            <w:tcW w:w="830" w:type="dxa"/>
            <w:vMerge w:val="continue"/>
            <w:vAlign w:val="center"/>
          </w:tcPr>
          <w:p>
            <w:pPr>
              <w:spacing w:line="380" w:lineRule="exact"/>
              <w:jc w:val="center"/>
              <w:rPr>
                <w:rFonts w:ascii="Times New Roman" w:hAnsi="Times New Roman" w:eastAsia="仿宋" w:cs="Times New Roman"/>
                <w:color w:val="auto"/>
                <w:sz w:val="21"/>
                <w:szCs w:val="21"/>
              </w:rPr>
            </w:pPr>
          </w:p>
        </w:tc>
        <w:tc>
          <w:tcPr>
            <w:tcW w:w="997" w:type="dxa"/>
            <w:vMerge w:val="continue"/>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846" w:type="dxa"/>
            <w:gridSpan w:val="16"/>
            <w:shd w:val="clear" w:color="auto" w:fill="auto"/>
            <w:vAlign w:val="center"/>
          </w:tcPr>
          <w:p>
            <w:pPr>
              <w:spacing w:line="380" w:lineRule="exact"/>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4"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19</w:t>
            </w:r>
          </w:p>
        </w:tc>
        <w:tc>
          <w:tcPr>
            <w:tcW w:w="1843" w:type="dxa"/>
            <w:shd w:val="clear" w:color="auto" w:fill="auto"/>
            <w:vAlign w:val="center"/>
          </w:tcPr>
          <w:p>
            <w:pPr>
              <w:widowControl/>
              <w:jc w:val="center"/>
              <w:rPr>
                <w:rFonts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eastAsia="zh-CN"/>
              </w:rPr>
              <w:t>木厂水保护段</w:t>
            </w:r>
          </w:p>
        </w:tc>
        <w:tc>
          <w:tcPr>
            <w:tcW w:w="1019" w:type="dxa"/>
            <w:gridSpan w:val="2"/>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29.7</w:t>
            </w:r>
          </w:p>
        </w:tc>
        <w:tc>
          <w:tcPr>
            <w:tcW w:w="96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63.1</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70</w:t>
            </w:r>
          </w:p>
        </w:tc>
        <w:tc>
          <w:tcPr>
            <w:tcW w:w="9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0.2</w:t>
            </w:r>
          </w:p>
        </w:tc>
        <w:tc>
          <w:tcPr>
            <w:tcW w:w="916" w:type="dxa"/>
            <w:gridSpan w:val="2"/>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90.9</w:t>
            </w:r>
          </w:p>
        </w:tc>
        <w:tc>
          <w:tcPr>
            <w:tcW w:w="97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0.4</w:t>
            </w:r>
          </w:p>
        </w:tc>
        <w:tc>
          <w:tcPr>
            <w:tcW w:w="91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68.9</w:t>
            </w:r>
          </w:p>
        </w:tc>
        <w:tc>
          <w:tcPr>
            <w:tcW w:w="9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健康</w:t>
            </w:r>
          </w:p>
        </w:tc>
        <w:tc>
          <w:tcPr>
            <w:tcW w:w="830"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61.9</w:t>
            </w:r>
          </w:p>
        </w:tc>
        <w:tc>
          <w:tcPr>
            <w:tcW w:w="997"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4"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20</w:t>
            </w:r>
          </w:p>
        </w:tc>
        <w:tc>
          <w:tcPr>
            <w:tcW w:w="1843" w:type="dxa"/>
            <w:shd w:val="clear" w:color="auto" w:fill="auto"/>
            <w:vAlign w:val="center"/>
          </w:tcPr>
          <w:p>
            <w:pPr>
              <w:widowControl/>
              <w:jc w:val="center"/>
              <w:rPr>
                <w:rFonts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eastAsia="zh-CN"/>
              </w:rPr>
              <w:t>木厂水开发段</w:t>
            </w:r>
          </w:p>
        </w:tc>
        <w:tc>
          <w:tcPr>
            <w:tcW w:w="1019" w:type="dxa"/>
            <w:gridSpan w:val="2"/>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29.7</w:t>
            </w:r>
          </w:p>
        </w:tc>
        <w:tc>
          <w:tcPr>
            <w:tcW w:w="965"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0.2</w:t>
            </w:r>
          </w:p>
        </w:tc>
        <w:tc>
          <w:tcPr>
            <w:tcW w:w="916"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41.3</w:t>
            </w:r>
          </w:p>
        </w:tc>
        <w:tc>
          <w:tcPr>
            <w:tcW w:w="916"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0.2</w:t>
            </w:r>
          </w:p>
        </w:tc>
        <w:tc>
          <w:tcPr>
            <w:tcW w:w="916"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70</w:t>
            </w:r>
          </w:p>
        </w:tc>
        <w:tc>
          <w:tcPr>
            <w:tcW w:w="916"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0.2</w:t>
            </w:r>
          </w:p>
        </w:tc>
        <w:tc>
          <w:tcPr>
            <w:tcW w:w="916" w:type="dxa"/>
            <w:gridSpan w:val="2"/>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80.8</w:t>
            </w:r>
          </w:p>
        </w:tc>
        <w:tc>
          <w:tcPr>
            <w:tcW w:w="972"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0.4</w:t>
            </w:r>
          </w:p>
        </w:tc>
        <w:tc>
          <w:tcPr>
            <w:tcW w:w="919"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60.5</w:t>
            </w:r>
          </w:p>
        </w:tc>
        <w:tc>
          <w:tcPr>
            <w:tcW w:w="997"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健康</w:t>
            </w:r>
          </w:p>
        </w:tc>
        <w:tc>
          <w:tcPr>
            <w:tcW w:w="830" w:type="dxa"/>
            <w:vMerge w:val="continue"/>
            <w:vAlign w:val="center"/>
          </w:tcPr>
          <w:p>
            <w:pPr>
              <w:widowControl/>
              <w:jc w:val="center"/>
              <w:rPr>
                <w:rFonts w:ascii="Times New Roman" w:hAnsi="Times New Roman" w:eastAsia="宋体" w:cs="Times New Roman"/>
                <w:color w:val="auto"/>
                <w:kern w:val="0"/>
                <w:sz w:val="21"/>
                <w:szCs w:val="21"/>
              </w:rPr>
            </w:pPr>
          </w:p>
        </w:tc>
        <w:tc>
          <w:tcPr>
            <w:tcW w:w="997" w:type="dxa"/>
            <w:vMerge w:val="continue"/>
            <w:vAlign w:val="center"/>
          </w:tcPr>
          <w:p>
            <w:pPr>
              <w:widowControl/>
              <w:jc w:val="center"/>
              <w:rPr>
                <w:rFonts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846" w:type="dxa"/>
            <w:gridSpan w:val="16"/>
            <w:shd w:val="clear" w:color="auto" w:fill="auto"/>
            <w:vAlign w:val="center"/>
          </w:tcPr>
          <w:p>
            <w:pPr>
              <w:widowControl/>
              <w:jc w:val="center"/>
              <w:rPr>
                <w:rFonts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4"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1-20</w:t>
            </w:r>
          </w:p>
        </w:tc>
        <w:tc>
          <w:tcPr>
            <w:tcW w:w="1843" w:type="dxa"/>
            <w:shd w:val="clear" w:color="auto" w:fill="auto"/>
            <w:vAlign w:val="center"/>
          </w:tcPr>
          <w:p>
            <w:pPr>
              <w:widowControl/>
              <w:jc w:val="center"/>
              <w:rPr>
                <w:rFonts w:hint="eastAsia"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eastAsia="zh-CN"/>
              </w:rPr>
              <w:t>资江流域</w:t>
            </w:r>
          </w:p>
        </w:tc>
        <w:tc>
          <w:tcPr>
            <w:tcW w:w="1019" w:type="dxa"/>
            <w:gridSpan w:val="2"/>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39.7</w:t>
            </w:r>
          </w:p>
        </w:tc>
        <w:tc>
          <w:tcPr>
            <w:tcW w:w="965"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0.2</w:t>
            </w:r>
          </w:p>
        </w:tc>
        <w:tc>
          <w:tcPr>
            <w:tcW w:w="916"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52.7</w:t>
            </w:r>
          </w:p>
        </w:tc>
        <w:tc>
          <w:tcPr>
            <w:tcW w:w="916"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0.2</w:t>
            </w:r>
          </w:p>
        </w:tc>
        <w:tc>
          <w:tcPr>
            <w:tcW w:w="916"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69.2</w:t>
            </w:r>
          </w:p>
        </w:tc>
        <w:tc>
          <w:tcPr>
            <w:tcW w:w="916"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0.2</w:t>
            </w:r>
          </w:p>
        </w:tc>
        <w:tc>
          <w:tcPr>
            <w:tcW w:w="916" w:type="dxa"/>
            <w:gridSpan w:val="2"/>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75.4</w:t>
            </w:r>
          </w:p>
        </w:tc>
        <w:tc>
          <w:tcPr>
            <w:tcW w:w="972"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0.4</w:t>
            </w:r>
          </w:p>
        </w:tc>
        <w:tc>
          <w:tcPr>
            <w:tcW w:w="919"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62.5</w:t>
            </w:r>
          </w:p>
        </w:tc>
        <w:tc>
          <w:tcPr>
            <w:tcW w:w="997" w:type="dxa"/>
            <w:shd w:val="clear" w:color="auto" w:fill="auto"/>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健康</w:t>
            </w:r>
          </w:p>
        </w:tc>
        <w:tc>
          <w:tcPr>
            <w:tcW w:w="830" w:type="dxa"/>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62.5</w:t>
            </w:r>
          </w:p>
        </w:tc>
        <w:tc>
          <w:tcPr>
            <w:tcW w:w="997" w:type="dxa"/>
            <w:vAlign w:val="center"/>
          </w:tcPr>
          <w:p>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健康</w:t>
            </w:r>
          </w:p>
        </w:tc>
      </w:tr>
    </w:tbl>
    <w:p>
      <w:pPr>
        <w:spacing w:line="560" w:lineRule="exact"/>
        <w:jc w:val="left"/>
        <w:outlineLvl w:val="9"/>
        <w:rPr>
          <w:rFonts w:ascii="黑体" w:hAnsi="黑体" w:eastAsia="黑体" w:cs="Times New Roman"/>
          <w:b/>
          <w:color w:val="auto"/>
          <w:kern w:val="0"/>
          <w:sz w:val="28"/>
          <w:szCs w:val="28"/>
        </w:rPr>
        <w:sectPr>
          <w:headerReference r:id="rId17" w:type="default"/>
          <w:pgSz w:w="16838" w:h="11906" w:orient="landscape"/>
          <w:pgMar w:top="1361" w:right="1361" w:bottom="1474" w:left="1418" w:header="1021" w:footer="964" w:gutter="0"/>
          <w:cols w:space="425" w:num="1"/>
          <w:docGrid w:linePitch="312" w:charSpace="0"/>
        </w:sectPr>
      </w:pPr>
    </w:p>
    <w:p>
      <w:pPr>
        <w:pStyle w:val="5"/>
        <w:bidi w:val="0"/>
        <w:rPr>
          <w:rFonts w:cs="Times New Roman"/>
          <w:color w:val="auto"/>
        </w:rPr>
      </w:pPr>
      <w:bookmarkStart w:id="90" w:name="_Toc19134"/>
      <w:bookmarkStart w:id="91" w:name="_Toc236"/>
      <w:r>
        <w:rPr>
          <w:rFonts w:cs="Times New Roman"/>
          <w:color w:val="auto"/>
        </w:rPr>
        <w:t>5.2 社会服务功能评估</w:t>
      </w:r>
      <w:bookmarkEnd w:id="90"/>
      <w:bookmarkEnd w:id="91"/>
      <w:r>
        <w:rPr>
          <w:rFonts w:cs="Times New Roman"/>
          <w:color w:val="auto"/>
        </w:rPr>
        <w:t xml:space="preserve"> </w:t>
      </w:r>
    </w:p>
    <w:p>
      <w:pPr>
        <w:autoSpaceDE w:val="0"/>
        <w:autoSpaceDN w:val="0"/>
        <w:adjustRightInd w:val="0"/>
        <w:spacing w:line="360" w:lineRule="auto"/>
        <w:jc w:val="left"/>
        <w:outlineLvl w:val="2"/>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5.2.1 水功能区达标率评估 </w:t>
      </w:r>
    </w:p>
    <w:p>
      <w:pPr>
        <w:spacing w:line="360" w:lineRule="auto"/>
        <w:ind w:firstLine="560" w:firstLineChars="200"/>
        <w:rPr>
          <w:rFonts w:ascii="仿宋" w:hAnsi="仿宋" w:eastAsia="仿宋"/>
          <w:color w:val="auto"/>
          <w:sz w:val="28"/>
          <w:szCs w:val="28"/>
        </w:rPr>
      </w:pPr>
      <w:r>
        <w:rPr>
          <w:rFonts w:ascii="仿宋" w:hAnsi="仿宋" w:eastAsia="仿宋"/>
          <w:color w:val="auto"/>
          <w:sz w:val="28"/>
          <w:szCs w:val="28"/>
        </w:rPr>
        <w:t>根据2.4节水功能区划分的结果，</w:t>
      </w:r>
      <w:r>
        <w:rPr>
          <w:rFonts w:hint="eastAsia" w:ascii="仿宋" w:hAnsi="仿宋" w:eastAsia="仿宋"/>
          <w:color w:val="auto"/>
          <w:sz w:val="28"/>
          <w:szCs w:val="28"/>
          <w:lang w:eastAsia="zh-CN"/>
        </w:rPr>
        <w:t>资江</w:t>
      </w:r>
      <w:r>
        <w:rPr>
          <w:rFonts w:ascii="仿宋" w:hAnsi="仿宋" w:eastAsia="仿宋"/>
          <w:color w:val="auto"/>
          <w:sz w:val="28"/>
          <w:szCs w:val="28"/>
        </w:rPr>
        <w:t>干流</w:t>
      </w:r>
      <w:r>
        <w:rPr>
          <w:rFonts w:hint="eastAsia" w:ascii="仿宋" w:hAnsi="仿宋" w:eastAsia="仿宋"/>
          <w:color w:val="auto"/>
          <w:sz w:val="28"/>
          <w:szCs w:val="28"/>
        </w:rPr>
        <w:t>及其支流</w:t>
      </w:r>
      <w:r>
        <w:rPr>
          <w:rFonts w:ascii="仿宋" w:hAnsi="仿宋" w:eastAsia="仿宋"/>
          <w:color w:val="auto"/>
          <w:sz w:val="28"/>
          <w:szCs w:val="28"/>
        </w:rPr>
        <w:t>共划分</w:t>
      </w:r>
      <w:r>
        <w:rPr>
          <w:rFonts w:hint="eastAsia" w:ascii="仿宋" w:hAnsi="仿宋" w:eastAsia="仿宋"/>
          <w:color w:val="auto"/>
          <w:sz w:val="28"/>
          <w:szCs w:val="28"/>
        </w:rPr>
        <w:t>为</w:t>
      </w:r>
      <w:r>
        <w:rPr>
          <w:rFonts w:ascii="仿宋" w:hAnsi="仿宋" w:eastAsia="仿宋"/>
          <w:color w:val="auto"/>
          <w:sz w:val="28"/>
          <w:szCs w:val="28"/>
        </w:rPr>
        <w:t>19个一级水功能区</w:t>
      </w:r>
      <w:r>
        <w:rPr>
          <w:rFonts w:hint="eastAsia" w:ascii="仿宋" w:hAnsi="仿宋" w:eastAsia="仿宋"/>
          <w:color w:val="auto"/>
          <w:sz w:val="28"/>
          <w:szCs w:val="28"/>
        </w:rPr>
        <w:t>，其中</w:t>
      </w:r>
      <w:r>
        <w:rPr>
          <w:rFonts w:hint="eastAsia" w:ascii="仿宋" w:hAnsi="仿宋" w:eastAsia="仿宋"/>
          <w:color w:val="auto"/>
          <w:sz w:val="28"/>
          <w:szCs w:val="28"/>
          <w:lang w:eastAsia="zh-CN"/>
        </w:rPr>
        <w:t>资江</w:t>
      </w:r>
      <w:r>
        <w:rPr>
          <w:rFonts w:hint="eastAsia" w:ascii="仿宋" w:hAnsi="仿宋" w:eastAsia="仿宋"/>
          <w:color w:val="auto"/>
          <w:sz w:val="28"/>
          <w:szCs w:val="28"/>
        </w:rPr>
        <w:t>干流划分为7个水功能区，</w:t>
      </w:r>
      <w:r>
        <w:rPr>
          <w:rFonts w:hint="eastAsia" w:ascii="仿宋" w:hAnsi="仿宋" w:eastAsia="仿宋"/>
          <w:color w:val="auto"/>
          <w:sz w:val="28"/>
          <w:szCs w:val="28"/>
          <w:lang w:eastAsia="zh-CN"/>
        </w:rPr>
        <w:t>白竹洞河</w:t>
      </w:r>
      <w:r>
        <w:rPr>
          <w:rFonts w:hint="eastAsia" w:ascii="仿宋" w:hAnsi="仿宋" w:eastAsia="仿宋"/>
          <w:color w:val="auto"/>
          <w:sz w:val="28"/>
          <w:szCs w:val="28"/>
        </w:rPr>
        <w:t>流划分为5个水功能区，</w:t>
      </w:r>
      <w:r>
        <w:rPr>
          <w:rFonts w:hint="eastAsia" w:ascii="仿宋" w:hAnsi="仿宋" w:eastAsia="仿宋"/>
          <w:color w:val="auto"/>
          <w:sz w:val="28"/>
          <w:szCs w:val="28"/>
          <w:lang w:eastAsia="zh-CN"/>
        </w:rPr>
        <w:t>大湾河</w:t>
      </w:r>
      <w:r>
        <w:rPr>
          <w:rFonts w:hint="eastAsia" w:ascii="仿宋" w:hAnsi="仿宋" w:eastAsia="仿宋"/>
          <w:color w:val="auto"/>
          <w:sz w:val="28"/>
          <w:szCs w:val="28"/>
        </w:rPr>
        <w:t>流划分为2个水功能区，</w:t>
      </w:r>
      <w:r>
        <w:rPr>
          <w:rFonts w:hint="eastAsia" w:ascii="仿宋" w:hAnsi="仿宋" w:eastAsia="仿宋"/>
          <w:color w:val="auto"/>
          <w:sz w:val="28"/>
          <w:szCs w:val="28"/>
          <w:lang w:eastAsia="zh-CN"/>
        </w:rPr>
        <w:t>瓜里河</w:t>
      </w:r>
      <w:r>
        <w:rPr>
          <w:rFonts w:hint="eastAsia" w:ascii="仿宋" w:hAnsi="仿宋" w:eastAsia="仿宋"/>
          <w:color w:val="auto"/>
          <w:sz w:val="28"/>
          <w:szCs w:val="28"/>
        </w:rPr>
        <w:t>划分为2个水功能区，</w:t>
      </w:r>
      <w:r>
        <w:rPr>
          <w:rFonts w:hint="eastAsia" w:ascii="仿宋" w:hAnsi="仿宋" w:eastAsia="仿宋"/>
          <w:color w:val="auto"/>
          <w:sz w:val="28"/>
          <w:szCs w:val="28"/>
          <w:lang w:eastAsia="zh-CN"/>
        </w:rPr>
        <w:t>木厂水</w:t>
      </w:r>
      <w:r>
        <w:rPr>
          <w:rFonts w:hint="eastAsia" w:ascii="仿宋" w:hAnsi="仿宋" w:eastAsia="仿宋"/>
          <w:color w:val="auto"/>
          <w:sz w:val="28"/>
          <w:szCs w:val="28"/>
        </w:rPr>
        <w:t>划分为3个水功能区；</w:t>
      </w:r>
      <w:r>
        <w:rPr>
          <w:rFonts w:hint="eastAsia" w:ascii="仿宋" w:hAnsi="仿宋" w:eastAsia="仿宋"/>
          <w:color w:val="auto"/>
          <w:sz w:val="28"/>
          <w:szCs w:val="28"/>
          <w:lang w:eastAsia="zh-CN"/>
        </w:rPr>
        <w:t>资江</w:t>
      </w:r>
      <w:r>
        <w:rPr>
          <w:rFonts w:ascii="仿宋" w:hAnsi="仿宋" w:eastAsia="仿宋"/>
          <w:color w:val="auto"/>
          <w:sz w:val="28"/>
          <w:szCs w:val="28"/>
        </w:rPr>
        <w:t>干流</w:t>
      </w:r>
      <w:r>
        <w:rPr>
          <w:rFonts w:hint="eastAsia" w:ascii="仿宋" w:hAnsi="仿宋" w:eastAsia="仿宋"/>
          <w:color w:val="auto"/>
          <w:sz w:val="28"/>
          <w:szCs w:val="28"/>
        </w:rPr>
        <w:t>及其支流</w:t>
      </w:r>
      <w:r>
        <w:rPr>
          <w:rFonts w:ascii="仿宋" w:hAnsi="仿宋" w:eastAsia="仿宋"/>
          <w:color w:val="auto"/>
          <w:sz w:val="28"/>
          <w:szCs w:val="28"/>
        </w:rPr>
        <w:t>共划分</w:t>
      </w:r>
      <w:r>
        <w:rPr>
          <w:rFonts w:hint="eastAsia" w:ascii="仿宋" w:hAnsi="仿宋" w:eastAsia="仿宋"/>
          <w:color w:val="auto"/>
          <w:sz w:val="28"/>
          <w:szCs w:val="28"/>
        </w:rPr>
        <w:t>为22</w:t>
      </w:r>
      <w:r>
        <w:rPr>
          <w:rFonts w:ascii="仿宋" w:hAnsi="仿宋" w:eastAsia="仿宋"/>
          <w:color w:val="auto"/>
          <w:sz w:val="28"/>
          <w:szCs w:val="28"/>
        </w:rPr>
        <w:t>个</w:t>
      </w:r>
      <w:r>
        <w:rPr>
          <w:rFonts w:hint="eastAsia" w:ascii="仿宋" w:hAnsi="仿宋" w:eastAsia="仿宋"/>
          <w:color w:val="auto"/>
          <w:sz w:val="28"/>
          <w:szCs w:val="28"/>
        </w:rPr>
        <w:t>二</w:t>
      </w:r>
      <w:r>
        <w:rPr>
          <w:rFonts w:ascii="仿宋" w:hAnsi="仿宋" w:eastAsia="仿宋"/>
          <w:color w:val="auto"/>
          <w:sz w:val="28"/>
          <w:szCs w:val="28"/>
        </w:rPr>
        <w:t>级水功能区</w:t>
      </w:r>
      <w:r>
        <w:rPr>
          <w:rFonts w:hint="eastAsia" w:ascii="仿宋" w:hAnsi="仿宋" w:eastAsia="仿宋"/>
          <w:color w:val="auto"/>
          <w:sz w:val="28"/>
          <w:szCs w:val="28"/>
        </w:rPr>
        <w:t>，其中</w:t>
      </w:r>
      <w:r>
        <w:rPr>
          <w:rFonts w:hint="eastAsia" w:ascii="仿宋" w:hAnsi="仿宋" w:eastAsia="仿宋"/>
          <w:color w:val="auto"/>
          <w:sz w:val="28"/>
          <w:szCs w:val="28"/>
          <w:lang w:eastAsia="zh-CN"/>
        </w:rPr>
        <w:t>资江</w:t>
      </w:r>
      <w:r>
        <w:rPr>
          <w:rFonts w:hint="eastAsia" w:ascii="仿宋" w:hAnsi="仿宋" w:eastAsia="仿宋"/>
          <w:color w:val="auto"/>
          <w:sz w:val="28"/>
          <w:szCs w:val="28"/>
        </w:rPr>
        <w:t>干流划分为14个水功能区，</w:t>
      </w:r>
      <w:r>
        <w:rPr>
          <w:rFonts w:hint="eastAsia" w:ascii="仿宋" w:hAnsi="仿宋" w:eastAsia="仿宋"/>
          <w:color w:val="auto"/>
          <w:sz w:val="28"/>
          <w:szCs w:val="28"/>
          <w:lang w:eastAsia="zh-CN"/>
        </w:rPr>
        <w:t>白竹洞河</w:t>
      </w:r>
      <w:r>
        <w:rPr>
          <w:rFonts w:hint="eastAsia" w:ascii="仿宋" w:hAnsi="仿宋" w:eastAsia="仿宋"/>
          <w:color w:val="auto"/>
          <w:sz w:val="28"/>
          <w:szCs w:val="28"/>
        </w:rPr>
        <w:t>流划分为4个水功能区，</w:t>
      </w:r>
      <w:r>
        <w:rPr>
          <w:rFonts w:hint="eastAsia" w:ascii="仿宋" w:hAnsi="仿宋" w:eastAsia="仿宋"/>
          <w:color w:val="auto"/>
          <w:sz w:val="28"/>
          <w:szCs w:val="28"/>
          <w:lang w:eastAsia="zh-CN"/>
        </w:rPr>
        <w:t>大湾河</w:t>
      </w:r>
      <w:r>
        <w:rPr>
          <w:rFonts w:hint="eastAsia" w:ascii="仿宋" w:hAnsi="仿宋" w:eastAsia="仿宋"/>
          <w:color w:val="auto"/>
          <w:sz w:val="28"/>
          <w:szCs w:val="28"/>
        </w:rPr>
        <w:t>流划分为3个水功能区，</w:t>
      </w:r>
      <w:r>
        <w:rPr>
          <w:rFonts w:hint="eastAsia" w:ascii="仿宋" w:hAnsi="仿宋" w:eastAsia="仿宋"/>
          <w:color w:val="auto"/>
          <w:sz w:val="28"/>
          <w:szCs w:val="28"/>
          <w:lang w:eastAsia="zh-CN"/>
        </w:rPr>
        <w:t>木厂水</w:t>
      </w:r>
      <w:r>
        <w:rPr>
          <w:rFonts w:hint="eastAsia" w:ascii="仿宋" w:hAnsi="仿宋" w:eastAsia="仿宋"/>
          <w:color w:val="auto"/>
          <w:sz w:val="28"/>
          <w:szCs w:val="28"/>
        </w:rPr>
        <w:t>划分为1个水功能区。</w:t>
      </w:r>
    </w:p>
    <w:p>
      <w:pPr>
        <w:spacing w:line="360" w:lineRule="auto"/>
        <w:ind w:firstLine="526"/>
        <w:rPr>
          <w:rFonts w:ascii="仿宋" w:hAnsi="仿宋" w:eastAsia="仿宋"/>
          <w:color w:val="auto"/>
          <w:sz w:val="28"/>
          <w:szCs w:val="28"/>
        </w:rPr>
      </w:pPr>
      <w:r>
        <w:rPr>
          <w:rFonts w:hint="eastAsia" w:ascii="仿宋" w:hAnsi="仿宋" w:eastAsia="仿宋"/>
          <w:color w:val="auto"/>
          <w:sz w:val="28"/>
          <w:szCs w:val="28"/>
        </w:rPr>
        <w:t>根据各</w:t>
      </w:r>
      <w:r>
        <w:rPr>
          <w:rFonts w:hint="eastAsia" w:ascii="仿宋" w:hAnsi="仿宋" w:eastAsia="仿宋"/>
          <w:color w:val="auto"/>
          <w:sz w:val="28"/>
          <w:szCs w:val="28"/>
          <w:lang w:val="en-US" w:eastAsia="zh-CN"/>
        </w:rPr>
        <w:t>2021</w:t>
      </w:r>
      <w:r>
        <w:rPr>
          <w:rFonts w:ascii="仿宋" w:hAnsi="仿宋" w:eastAsia="仿宋"/>
          <w:color w:val="auto"/>
          <w:sz w:val="28"/>
          <w:szCs w:val="28"/>
        </w:rPr>
        <w:t>年重要江河水库水功能区水质达标评价信息表流域水资源质量月报（20</w:t>
      </w:r>
      <w:r>
        <w:rPr>
          <w:rFonts w:hint="eastAsia" w:ascii="仿宋" w:hAnsi="仿宋" w:eastAsia="仿宋"/>
          <w:color w:val="auto"/>
          <w:sz w:val="28"/>
          <w:szCs w:val="28"/>
          <w:lang w:val="en-US" w:eastAsia="zh-CN"/>
        </w:rPr>
        <w:t>21</w:t>
      </w:r>
      <w:r>
        <w:rPr>
          <w:rFonts w:ascii="仿宋" w:hAnsi="仿宋" w:eastAsia="仿宋"/>
          <w:color w:val="auto"/>
          <w:sz w:val="28"/>
          <w:szCs w:val="28"/>
        </w:rPr>
        <w:t>年第 1</w:t>
      </w:r>
      <w:r>
        <w:rPr>
          <w:rFonts w:ascii="Times New Roman" w:hAnsi="Times New Roman" w:eastAsia="仿宋" w:cs="Times New Roman"/>
          <w:color w:val="auto"/>
          <w:sz w:val="28"/>
          <w:szCs w:val="28"/>
        </w:rPr>
        <w:t>~</w:t>
      </w:r>
      <w:r>
        <w:rPr>
          <w:rFonts w:ascii="仿宋" w:hAnsi="仿宋" w:eastAsia="仿宋"/>
          <w:color w:val="auto"/>
          <w:sz w:val="28"/>
          <w:szCs w:val="28"/>
        </w:rPr>
        <w:t>12 期）的成果。</w:t>
      </w:r>
      <w:r>
        <w:rPr>
          <w:rFonts w:hint="eastAsia" w:ascii="仿宋" w:hAnsi="仿宋" w:eastAsia="仿宋"/>
          <w:color w:val="auto"/>
          <w:sz w:val="28"/>
          <w:szCs w:val="28"/>
          <w:lang w:eastAsia="zh-CN"/>
        </w:rPr>
        <w:t>资江</w:t>
      </w:r>
      <w:r>
        <w:rPr>
          <w:rFonts w:hint="eastAsia" w:ascii="仿宋" w:hAnsi="仿宋" w:eastAsia="仿宋"/>
          <w:color w:val="auto"/>
          <w:sz w:val="28"/>
          <w:szCs w:val="28"/>
        </w:rPr>
        <w:t>干流及其支流</w:t>
      </w:r>
      <w:r>
        <w:rPr>
          <w:rFonts w:ascii="仿宋" w:hAnsi="仿宋" w:eastAsia="仿宋"/>
          <w:color w:val="auto"/>
          <w:sz w:val="28"/>
          <w:szCs w:val="28"/>
        </w:rPr>
        <w:t>水功能区水质20</w:t>
      </w:r>
      <w:r>
        <w:rPr>
          <w:rFonts w:hint="eastAsia" w:ascii="仿宋" w:hAnsi="仿宋" w:eastAsia="仿宋"/>
          <w:color w:val="auto"/>
          <w:sz w:val="28"/>
          <w:szCs w:val="28"/>
          <w:lang w:val="en-US" w:eastAsia="zh-CN"/>
        </w:rPr>
        <w:t>21</w:t>
      </w:r>
      <w:r>
        <w:rPr>
          <w:rFonts w:ascii="仿宋" w:hAnsi="仿宋" w:eastAsia="仿宋"/>
          <w:color w:val="auto"/>
          <w:sz w:val="28"/>
          <w:szCs w:val="28"/>
        </w:rPr>
        <w:t xml:space="preserve">年全年均达标，达标率为100%。 </w:t>
      </w:r>
    </w:p>
    <w:p>
      <w:pPr>
        <w:spacing w:line="360" w:lineRule="auto"/>
        <w:ind w:firstLine="560" w:firstLineChars="200"/>
        <w:rPr>
          <w:rFonts w:ascii="仿宋" w:hAnsi="仿宋" w:eastAsia="仿宋"/>
          <w:color w:val="auto"/>
          <w:sz w:val="28"/>
          <w:szCs w:val="28"/>
        </w:rPr>
      </w:pPr>
      <w:r>
        <w:rPr>
          <w:rFonts w:ascii="仿宋" w:hAnsi="仿宋" w:eastAsia="仿宋"/>
          <w:color w:val="auto"/>
          <w:sz w:val="28"/>
          <w:szCs w:val="28"/>
        </w:rPr>
        <w:t>赋分结果为WFZr=100。</w:t>
      </w:r>
    </w:p>
    <w:p>
      <w:pPr>
        <w:autoSpaceDE w:val="0"/>
        <w:autoSpaceDN w:val="0"/>
        <w:adjustRightInd w:val="0"/>
        <w:spacing w:line="360" w:lineRule="auto"/>
        <w:jc w:val="left"/>
        <w:outlineLvl w:val="2"/>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5.2.2 水资源开发利用率评估 </w:t>
      </w:r>
    </w:p>
    <w:p>
      <w:pPr>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kern w:val="0"/>
          <w:sz w:val="28"/>
          <w:szCs w:val="28"/>
        </w:rPr>
        <w:t>（1） 水资源量</w:t>
      </w:r>
    </w:p>
    <w:p>
      <w:pPr>
        <w:autoSpaceDE w:val="0"/>
        <w:autoSpaceDN w:val="0"/>
        <w:adjustRightInd w:val="0"/>
        <w:spacing w:line="360" w:lineRule="auto"/>
        <w:ind w:firstLine="840" w:firstLineChars="3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1）降水资源总量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根据</w:t>
      </w:r>
      <w:r>
        <w:rPr>
          <w:rFonts w:hint="eastAsia" w:ascii="Times New Roman" w:hAnsi="Times New Roman" w:eastAsia="仿宋" w:cs="Times New Roman"/>
          <w:color w:val="auto"/>
          <w:kern w:val="0"/>
          <w:sz w:val="28"/>
          <w:szCs w:val="28"/>
        </w:rPr>
        <w:t>《2</w:t>
      </w:r>
      <w:r>
        <w:rPr>
          <w:rFonts w:ascii="Times New Roman" w:hAnsi="Times New Roman" w:eastAsia="仿宋" w:cs="Times New Roman"/>
          <w:color w:val="auto"/>
          <w:kern w:val="0"/>
          <w:sz w:val="28"/>
          <w:szCs w:val="28"/>
        </w:rPr>
        <w:t>019</w:t>
      </w:r>
      <w:r>
        <w:rPr>
          <w:rFonts w:hint="eastAsia" w:ascii="Times New Roman" w:hAnsi="Times New Roman" w:eastAsia="仿宋" w:cs="Times New Roman"/>
          <w:color w:val="auto"/>
          <w:kern w:val="0"/>
          <w:sz w:val="28"/>
          <w:szCs w:val="28"/>
        </w:rPr>
        <w:t>年桂林市水资源公报》</w:t>
      </w:r>
      <w:r>
        <w:rPr>
          <w:rFonts w:ascii="Times New Roman" w:hAnsi="Times New Roman" w:eastAsia="仿宋" w:cs="Times New Roman"/>
          <w:color w:val="auto"/>
          <w:kern w:val="0"/>
          <w:sz w:val="28"/>
          <w:szCs w:val="28"/>
        </w:rPr>
        <w:t>统计，</w:t>
      </w:r>
      <w:r>
        <w:rPr>
          <w:rFonts w:hint="eastAsia" w:ascii="Times New Roman" w:hAnsi="Times New Roman" w:eastAsia="仿宋" w:cs="Times New Roman"/>
          <w:color w:val="auto"/>
          <w:kern w:val="0"/>
          <w:sz w:val="28"/>
          <w:szCs w:val="28"/>
        </w:rPr>
        <w:t>资源县</w:t>
      </w:r>
      <w:r>
        <w:rPr>
          <w:rFonts w:ascii="Times New Roman" w:hAnsi="Times New Roman" w:eastAsia="仿宋" w:cs="Times New Roman"/>
          <w:color w:val="auto"/>
          <w:kern w:val="0"/>
          <w:sz w:val="28"/>
          <w:szCs w:val="28"/>
        </w:rPr>
        <w:t>年降水深为1520mm，折合年降水总量43.4亿m</w:t>
      </w:r>
      <w:r>
        <w:rPr>
          <w:rFonts w:ascii="Times New Roman" w:hAnsi="Times New Roman" w:eastAsia="仿宋" w:cs="Times New Roman"/>
          <w:color w:val="auto"/>
          <w:kern w:val="0"/>
          <w:sz w:val="28"/>
          <w:szCs w:val="28"/>
          <w:vertAlign w:val="superscript"/>
        </w:rPr>
        <w:t>3</w:t>
      </w:r>
      <w:r>
        <w:rPr>
          <w:rFonts w:ascii="Times New Roman" w:hAnsi="Times New Roman" w:eastAsia="仿宋" w:cs="Times New Roman"/>
          <w:color w:val="auto"/>
          <w:kern w:val="0"/>
          <w:sz w:val="28"/>
          <w:szCs w:val="28"/>
        </w:rPr>
        <w:t>。受气候和地形影响，</w:t>
      </w:r>
      <w:r>
        <w:rPr>
          <w:rFonts w:hint="eastAsia" w:ascii="Times New Roman" w:hAnsi="Times New Roman" w:eastAsia="仿宋" w:cs="Times New Roman"/>
          <w:color w:val="auto"/>
          <w:kern w:val="0"/>
          <w:sz w:val="28"/>
          <w:szCs w:val="28"/>
        </w:rPr>
        <w:t>资源县</w:t>
      </w:r>
      <w:r>
        <w:rPr>
          <w:rFonts w:ascii="Times New Roman" w:hAnsi="Times New Roman" w:eastAsia="仿宋" w:cs="Times New Roman"/>
          <w:color w:val="auto"/>
          <w:kern w:val="0"/>
          <w:sz w:val="28"/>
          <w:szCs w:val="28"/>
        </w:rPr>
        <w:t xml:space="preserve">降雨年内分配很不均匀，雨季大都集中在3～8月，约占年雨量的76.2%。 </w:t>
      </w:r>
    </w:p>
    <w:p>
      <w:pPr>
        <w:autoSpaceDE w:val="0"/>
        <w:autoSpaceDN w:val="0"/>
        <w:adjustRightInd w:val="0"/>
        <w:spacing w:line="360" w:lineRule="auto"/>
        <w:ind w:firstLine="840" w:firstLineChars="3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2）地表水资源量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资源县</w:t>
      </w:r>
      <w:r>
        <w:rPr>
          <w:rFonts w:ascii="Times New Roman" w:hAnsi="Times New Roman" w:eastAsia="仿宋" w:cs="Times New Roman"/>
          <w:color w:val="auto"/>
          <w:kern w:val="0"/>
          <w:sz w:val="28"/>
          <w:szCs w:val="28"/>
        </w:rPr>
        <w:t>多年平均年径流总量为26.3亿m</w:t>
      </w:r>
      <w:r>
        <w:rPr>
          <w:rFonts w:ascii="Times New Roman" w:hAnsi="Times New Roman" w:eastAsia="仿宋" w:cs="Times New Roman"/>
          <w:color w:val="auto"/>
          <w:kern w:val="0"/>
          <w:sz w:val="28"/>
          <w:szCs w:val="28"/>
          <w:vertAlign w:val="superscript"/>
        </w:rPr>
        <w:t>3</w:t>
      </w:r>
      <w:r>
        <w:rPr>
          <w:rFonts w:ascii="Times New Roman" w:hAnsi="Times New Roman" w:eastAsia="仿宋" w:cs="Times New Roman"/>
          <w:color w:val="auto"/>
          <w:kern w:val="0"/>
          <w:sz w:val="28"/>
          <w:szCs w:val="28"/>
        </w:rPr>
        <w:t>。流域季节水量分配极不均匀，枯季期水量只占年水量的17.3%。年际之间变化亦较大。</w:t>
      </w:r>
    </w:p>
    <w:p>
      <w:pPr>
        <w:autoSpaceDE w:val="0"/>
        <w:autoSpaceDN w:val="0"/>
        <w:adjustRightInd w:val="0"/>
        <w:spacing w:line="360" w:lineRule="auto"/>
        <w:ind w:firstLine="840" w:firstLineChars="3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3）地下水资源量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地下水资源量系指与降水、地表水有直接补排关系的地下水总补给量。根据广西水资源调查与评价，</w:t>
      </w:r>
      <w:r>
        <w:rPr>
          <w:rFonts w:hint="eastAsia" w:ascii="Times New Roman" w:hAnsi="Times New Roman" w:eastAsia="仿宋" w:cs="Times New Roman"/>
          <w:color w:val="auto"/>
          <w:kern w:val="0"/>
          <w:sz w:val="28"/>
          <w:szCs w:val="28"/>
        </w:rPr>
        <w:t>资源县</w:t>
      </w:r>
      <w:r>
        <w:rPr>
          <w:rFonts w:ascii="Times New Roman" w:hAnsi="Times New Roman" w:eastAsia="仿宋" w:cs="Times New Roman"/>
          <w:color w:val="auto"/>
          <w:kern w:val="0"/>
          <w:sz w:val="28"/>
          <w:szCs w:val="28"/>
        </w:rPr>
        <w:t>流域多年平均地下水资源量约7.06亿m</w:t>
      </w:r>
      <w:r>
        <w:rPr>
          <w:rFonts w:ascii="Times New Roman" w:hAnsi="Times New Roman" w:eastAsia="仿宋" w:cs="Times New Roman"/>
          <w:color w:val="auto"/>
          <w:kern w:val="0"/>
          <w:sz w:val="28"/>
          <w:szCs w:val="28"/>
          <w:vertAlign w:val="superscript"/>
        </w:rPr>
        <w:t>3</w:t>
      </w:r>
      <w:r>
        <w:rPr>
          <w:rFonts w:ascii="Times New Roman" w:hAnsi="Times New Roman" w:eastAsia="仿宋" w:cs="Times New Roman"/>
          <w:color w:val="auto"/>
          <w:kern w:val="0"/>
          <w:sz w:val="28"/>
          <w:szCs w:val="28"/>
        </w:rPr>
        <w:t xml:space="preserve">。 </w:t>
      </w:r>
    </w:p>
    <w:p>
      <w:pPr>
        <w:autoSpaceDE w:val="0"/>
        <w:autoSpaceDN w:val="0"/>
        <w:adjustRightInd w:val="0"/>
        <w:spacing w:line="360" w:lineRule="auto"/>
        <w:ind w:firstLine="840" w:firstLineChars="3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4）流域水资源总量 </w:t>
      </w:r>
    </w:p>
    <w:p>
      <w:pPr>
        <w:spacing w:line="360" w:lineRule="auto"/>
        <w:ind w:firstLine="560" w:firstLineChars="200"/>
        <w:rPr>
          <w:rFonts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资源县</w:t>
      </w:r>
      <w:r>
        <w:rPr>
          <w:rFonts w:ascii="Times New Roman" w:hAnsi="Times New Roman" w:eastAsia="仿宋" w:cs="Times New Roman"/>
          <w:color w:val="auto"/>
          <w:kern w:val="0"/>
          <w:sz w:val="28"/>
          <w:szCs w:val="28"/>
        </w:rPr>
        <w:t>流域多年平均地表水资源量26.3亿m</w:t>
      </w:r>
      <w:r>
        <w:rPr>
          <w:rFonts w:ascii="Times New Roman" w:hAnsi="Times New Roman" w:eastAsia="仿宋" w:cs="Times New Roman"/>
          <w:color w:val="auto"/>
          <w:kern w:val="0"/>
          <w:sz w:val="28"/>
          <w:szCs w:val="28"/>
          <w:vertAlign w:val="superscript"/>
        </w:rPr>
        <w:t>3</w:t>
      </w:r>
      <w:r>
        <w:rPr>
          <w:rFonts w:ascii="Times New Roman" w:hAnsi="Times New Roman" w:eastAsia="仿宋" w:cs="Times New Roman"/>
          <w:color w:val="auto"/>
          <w:kern w:val="0"/>
          <w:sz w:val="28"/>
          <w:szCs w:val="28"/>
        </w:rPr>
        <w:t>；地下水资源量基本上属于与地表水资源的重复计算量。流域多年平均水资源总量为26.3亿m</w:t>
      </w:r>
      <w:r>
        <w:rPr>
          <w:rFonts w:ascii="Times New Roman" w:hAnsi="Times New Roman" w:eastAsia="仿宋" w:cs="Times New Roman"/>
          <w:color w:val="auto"/>
          <w:kern w:val="0"/>
          <w:sz w:val="28"/>
          <w:szCs w:val="28"/>
          <w:vertAlign w:val="superscript"/>
        </w:rPr>
        <w:t>3</w:t>
      </w:r>
      <w:r>
        <w:rPr>
          <w:rFonts w:ascii="Times New Roman" w:hAnsi="Times New Roman" w:eastAsia="仿宋" w:cs="Times New Roman"/>
          <w:color w:val="auto"/>
          <w:kern w:val="0"/>
          <w:sz w:val="28"/>
          <w:szCs w:val="28"/>
        </w:rPr>
        <w:t>，多年径流深</w:t>
      </w:r>
      <w:r>
        <w:rPr>
          <w:rFonts w:hint="eastAsia" w:ascii="Times New Roman" w:hAnsi="Times New Roman" w:eastAsia="仿宋" w:cs="Times New Roman"/>
          <w:color w:val="auto"/>
          <w:kern w:val="0"/>
          <w:sz w:val="28"/>
          <w:szCs w:val="28"/>
        </w:rPr>
        <w:t>1056.2</w:t>
      </w:r>
      <w:r>
        <w:rPr>
          <w:rFonts w:ascii="Times New Roman" w:hAnsi="Times New Roman" w:eastAsia="仿宋" w:cs="Times New Roman"/>
          <w:color w:val="auto"/>
          <w:kern w:val="0"/>
          <w:sz w:val="28"/>
          <w:szCs w:val="28"/>
        </w:rPr>
        <w:t>mm，多年平均径流系数为0.48。</w:t>
      </w:r>
    </w:p>
    <w:p>
      <w:pPr>
        <w:autoSpaceDE w:val="0"/>
        <w:autoSpaceDN w:val="0"/>
        <w:adjustRightInd w:val="0"/>
        <w:spacing w:line="360" w:lineRule="auto"/>
        <w:ind w:firstLine="420" w:firstLineChars="15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（2） 现状供水量 </w:t>
      </w:r>
    </w:p>
    <w:p>
      <w:pPr>
        <w:autoSpaceDE w:val="0"/>
        <w:autoSpaceDN w:val="0"/>
        <w:adjustRightInd w:val="0"/>
        <w:spacing w:line="360" w:lineRule="auto"/>
        <w:ind w:firstLine="700" w:firstLineChars="25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1）地表水源供水量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根据</w:t>
      </w:r>
      <w:r>
        <w:rPr>
          <w:rFonts w:hint="eastAsia" w:ascii="Times New Roman" w:hAnsi="Times New Roman" w:eastAsia="仿宋" w:cs="Times New Roman"/>
          <w:color w:val="auto"/>
          <w:kern w:val="0"/>
          <w:sz w:val="28"/>
          <w:szCs w:val="28"/>
        </w:rPr>
        <w:t>桂林市</w:t>
      </w:r>
      <w:r>
        <w:rPr>
          <w:rFonts w:ascii="Times New Roman" w:hAnsi="Times New Roman" w:eastAsia="仿宋" w:cs="Times New Roman"/>
          <w:color w:val="auto"/>
          <w:kern w:val="0"/>
          <w:sz w:val="28"/>
          <w:szCs w:val="28"/>
        </w:rPr>
        <w:t>2019年水资源公报供水报表成果，2019年</w:t>
      </w:r>
      <w:r>
        <w:rPr>
          <w:rFonts w:hint="eastAsia" w:ascii="Times New Roman" w:hAnsi="Times New Roman" w:eastAsia="仿宋" w:cs="Times New Roman"/>
          <w:color w:val="auto"/>
          <w:kern w:val="0"/>
          <w:sz w:val="28"/>
          <w:szCs w:val="28"/>
        </w:rPr>
        <w:t>资源县地表水</w:t>
      </w:r>
      <w:r>
        <w:rPr>
          <w:rFonts w:ascii="Times New Roman" w:hAnsi="Times New Roman" w:eastAsia="仿宋" w:cs="Times New Roman"/>
          <w:color w:val="auto"/>
          <w:kern w:val="0"/>
          <w:sz w:val="28"/>
          <w:szCs w:val="28"/>
        </w:rPr>
        <w:t>供水量1.24亿</w:t>
      </w:r>
      <w:r>
        <w:rPr>
          <w:rFonts w:hint="eastAsia" w:ascii="Times New Roman" w:hAnsi="Times New Roman" w:eastAsia="仿宋" w:cs="Times New Roman"/>
          <w:color w:val="auto"/>
          <w:kern w:val="0"/>
          <w:sz w:val="28"/>
          <w:szCs w:val="28"/>
        </w:rPr>
        <w:t>m</w:t>
      </w:r>
      <w:r>
        <w:rPr>
          <w:rFonts w:hint="eastAsia" w:ascii="Times New Roman" w:hAnsi="Times New Roman" w:eastAsia="仿宋" w:cs="Times New Roman"/>
          <w:color w:val="auto"/>
          <w:kern w:val="0"/>
          <w:sz w:val="28"/>
          <w:szCs w:val="28"/>
          <w:vertAlign w:val="superscript"/>
        </w:rPr>
        <w:t>3</w:t>
      </w:r>
      <w:r>
        <w:rPr>
          <w:rFonts w:ascii="Times New Roman" w:hAnsi="Times New Roman" w:eastAsia="仿宋" w:cs="Times New Roman"/>
          <w:color w:val="auto"/>
          <w:kern w:val="0"/>
          <w:sz w:val="28"/>
          <w:szCs w:val="28"/>
        </w:rPr>
        <w:t>。其中蓄水工程供水量为</w:t>
      </w:r>
      <w:r>
        <w:rPr>
          <w:rFonts w:hint="eastAsia" w:ascii="Times New Roman" w:hAnsi="Times New Roman" w:eastAsia="仿宋" w:cs="Times New Roman"/>
          <w:color w:val="auto"/>
          <w:kern w:val="0"/>
          <w:sz w:val="28"/>
          <w:szCs w:val="28"/>
        </w:rPr>
        <w:t>15.24</w:t>
      </w:r>
      <w:r>
        <w:rPr>
          <w:rFonts w:ascii="Times New Roman" w:hAnsi="Times New Roman" w:eastAsia="仿宋" w:cs="Times New Roman"/>
          <w:color w:val="auto"/>
          <w:kern w:val="0"/>
          <w:sz w:val="28"/>
          <w:szCs w:val="28"/>
        </w:rPr>
        <w:t>亿</w:t>
      </w:r>
      <w:r>
        <w:rPr>
          <w:rFonts w:hint="eastAsia" w:ascii="Times New Roman" w:hAnsi="Times New Roman" w:eastAsia="仿宋" w:cs="Times New Roman"/>
          <w:color w:val="auto"/>
          <w:kern w:val="0"/>
          <w:sz w:val="28"/>
          <w:szCs w:val="28"/>
        </w:rPr>
        <w:t>m</w:t>
      </w:r>
      <w:r>
        <w:rPr>
          <w:rFonts w:hint="eastAsia" w:ascii="Times New Roman" w:hAnsi="Times New Roman" w:eastAsia="仿宋" w:cs="Times New Roman"/>
          <w:color w:val="auto"/>
          <w:kern w:val="0"/>
          <w:sz w:val="28"/>
          <w:szCs w:val="28"/>
          <w:vertAlign w:val="superscript"/>
        </w:rPr>
        <w:t>3</w:t>
      </w:r>
      <w:r>
        <w:rPr>
          <w:rFonts w:ascii="Times New Roman" w:hAnsi="Times New Roman" w:eastAsia="仿宋" w:cs="Times New Roman"/>
          <w:color w:val="auto"/>
          <w:kern w:val="0"/>
          <w:sz w:val="28"/>
          <w:szCs w:val="28"/>
        </w:rPr>
        <w:t>，占地表水总供水量的</w:t>
      </w:r>
      <w:r>
        <w:rPr>
          <w:rFonts w:hint="eastAsia" w:ascii="Times New Roman" w:hAnsi="Times New Roman" w:eastAsia="仿宋" w:cs="Times New Roman"/>
          <w:color w:val="auto"/>
          <w:kern w:val="0"/>
          <w:sz w:val="28"/>
          <w:szCs w:val="28"/>
        </w:rPr>
        <w:t>58.9</w:t>
      </w:r>
      <w:r>
        <w:rPr>
          <w:rFonts w:ascii="Times New Roman" w:hAnsi="Times New Roman" w:eastAsia="仿宋" w:cs="Times New Roman"/>
          <w:color w:val="auto"/>
          <w:kern w:val="0"/>
          <w:sz w:val="28"/>
          <w:szCs w:val="28"/>
        </w:rPr>
        <w:t>%；引水工程供水量为</w:t>
      </w:r>
      <w:r>
        <w:rPr>
          <w:rFonts w:hint="eastAsia" w:ascii="Times New Roman" w:hAnsi="Times New Roman" w:eastAsia="仿宋" w:cs="Times New Roman"/>
          <w:color w:val="auto"/>
          <w:kern w:val="0"/>
          <w:sz w:val="28"/>
          <w:szCs w:val="28"/>
        </w:rPr>
        <w:t>6.38</w:t>
      </w:r>
      <w:r>
        <w:rPr>
          <w:rFonts w:ascii="Times New Roman" w:hAnsi="Times New Roman" w:eastAsia="仿宋" w:cs="Times New Roman"/>
          <w:color w:val="auto"/>
          <w:kern w:val="0"/>
          <w:sz w:val="28"/>
          <w:szCs w:val="28"/>
        </w:rPr>
        <w:t>亿</w:t>
      </w:r>
      <w:r>
        <w:rPr>
          <w:rFonts w:hint="eastAsia" w:ascii="Times New Roman" w:hAnsi="Times New Roman" w:eastAsia="仿宋" w:cs="Times New Roman"/>
          <w:color w:val="auto"/>
          <w:kern w:val="0"/>
          <w:sz w:val="28"/>
          <w:szCs w:val="28"/>
        </w:rPr>
        <w:t>m</w:t>
      </w:r>
      <w:r>
        <w:rPr>
          <w:rFonts w:hint="eastAsia" w:ascii="Times New Roman" w:hAnsi="Times New Roman" w:eastAsia="仿宋" w:cs="Times New Roman"/>
          <w:color w:val="auto"/>
          <w:kern w:val="0"/>
          <w:sz w:val="28"/>
          <w:szCs w:val="28"/>
          <w:vertAlign w:val="superscript"/>
        </w:rPr>
        <w:t>3</w:t>
      </w:r>
      <w:r>
        <w:rPr>
          <w:rFonts w:ascii="Times New Roman" w:hAnsi="Times New Roman" w:eastAsia="仿宋" w:cs="Times New Roman"/>
          <w:color w:val="auto"/>
          <w:kern w:val="0"/>
          <w:sz w:val="28"/>
          <w:szCs w:val="28"/>
        </w:rPr>
        <w:t>，占地表水总供水量的</w:t>
      </w:r>
      <w:r>
        <w:rPr>
          <w:rFonts w:hint="eastAsia" w:ascii="Times New Roman" w:hAnsi="Times New Roman" w:eastAsia="仿宋" w:cs="Times New Roman"/>
          <w:color w:val="auto"/>
          <w:kern w:val="0"/>
          <w:sz w:val="28"/>
          <w:szCs w:val="28"/>
        </w:rPr>
        <w:t>24.7</w:t>
      </w:r>
      <w:r>
        <w:rPr>
          <w:rFonts w:ascii="Times New Roman" w:hAnsi="Times New Roman" w:eastAsia="仿宋" w:cs="Times New Roman"/>
          <w:color w:val="auto"/>
          <w:kern w:val="0"/>
          <w:sz w:val="28"/>
          <w:szCs w:val="28"/>
        </w:rPr>
        <w:t>%；提水工程供水量为</w:t>
      </w:r>
      <w:r>
        <w:rPr>
          <w:rFonts w:hint="eastAsia" w:ascii="Times New Roman" w:hAnsi="Times New Roman" w:eastAsia="仿宋" w:cs="Times New Roman"/>
          <w:color w:val="auto"/>
          <w:kern w:val="0"/>
          <w:sz w:val="28"/>
          <w:szCs w:val="28"/>
        </w:rPr>
        <w:t>4.27</w:t>
      </w:r>
      <w:r>
        <w:rPr>
          <w:rFonts w:ascii="Times New Roman" w:hAnsi="Times New Roman" w:eastAsia="仿宋" w:cs="Times New Roman"/>
          <w:color w:val="auto"/>
          <w:kern w:val="0"/>
          <w:sz w:val="28"/>
          <w:szCs w:val="28"/>
        </w:rPr>
        <w:t>亿</w:t>
      </w:r>
      <w:r>
        <w:rPr>
          <w:rFonts w:hint="eastAsia" w:ascii="Times New Roman" w:hAnsi="Times New Roman" w:eastAsia="仿宋" w:cs="Times New Roman"/>
          <w:color w:val="auto"/>
          <w:kern w:val="0"/>
          <w:sz w:val="28"/>
          <w:szCs w:val="28"/>
        </w:rPr>
        <w:t>m</w:t>
      </w:r>
      <w:r>
        <w:rPr>
          <w:rFonts w:hint="eastAsia" w:ascii="Times New Roman" w:hAnsi="Times New Roman" w:eastAsia="仿宋" w:cs="Times New Roman"/>
          <w:color w:val="auto"/>
          <w:kern w:val="0"/>
          <w:sz w:val="28"/>
          <w:szCs w:val="28"/>
          <w:vertAlign w:val="superscript"/>
        </w:rPr>
        <w:t>3</w:t>
      </w:r>
      <w:r>
        <w:rPr>
          <w:rFonts w:ascii="Times New Roman" w:hAnsi="Times New Roman" w:eastAsia="仿宋" w:cs="Times New Roman"/>
          <w:color w:val="auto"/>
          <w:kern w:val="0"/>
          <w:sz w:val="28"/>
          <w:szCs w:val="28"/>
        </w:rPr>
        <w:t>，占地表水总供水量的1</w:t>
      </w:r>
      <w:r>
        <w:rPr>
          <w:rFonts w:hint="eastAsia" w:ascii="Times New Roman" w:hAnsi="Times New Roman" w:eastAsia="仿宋" w:cs="Times New Roman"/>
          <w:color w:val="auto"/>
          <w:kern w:val="0"/>
          <w:sz w:val="28"/>
          <w:szCs w:val="28"/>
        </w:rPr>
        <w:t>6</w:t>
      </w:r>
      <w:r>
        <w:rPr>
          <w:rFonts w:ascii="Times New Roman" w:hAnsi="Times New Roman" w:eastAsia="仿宋" w:cs="Times New Roman"/>
          <w:color w:val="auto"/>
          <w:kern w:val="0"/>
          <w:sz w:val="28"/>
          <w:szCs w:val="28"/>
        </w:rPr>
        <w:t>.5%</w:t>
      </w:r>
      <w:r>
        <w:rPr>
          <w:rFonts w:hint="eastAsia" w:ascii="Times New Roman" w:hAnsi="Times New Roman" w:eastAsia="仿宋" w:cs="Times New Roman"/>
          <w:color w:val="auto"/>
          <w:kern w:val="0"/>
          <w:sz w:val="28"/>
          <w:szCs w:val="28"/>
        </w:rPr>
        <w:t>。</w:t>
      </w:r>
      <w:r>
        <w:rPr>
          <w:rFonts w:ascii="Times New Roman" w:hAnsi="Times New Roman" w:eastAsia="仿宋" w:cs="Times New Roman"/>
          <w:color w:val="auto"/>
          <w:kern w:val="0"/>
          <w:sz w:val="28"/>
          <w:szCs w:val="28"/>
        </w:rPr>
        <w:t xml:space="preserve">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（2）地下水</w:t>
      </w:r>
      <w:r>
        <w:rPr>
          <w:rFonts w:hint="eastAsia" w:ascii="Times New Roman" w:hAnsi="Times New Roman" w:eastAsia="仿宋" w:cs="Times New Roman"/>
          <w:color w:val="auto"/>
          <w:kern w:val="0"/>
          <w:sz w:val="28"/>
          <w:szCs w:val="28"/>
        </w:rPr>
        <w:t>源供水</w:t>
      </w:r>
      <w:r>
        <w:rPr>
          <w:rFonts w:ascii="Times New Roman" w:hAnsi="Times New Roman" w:eastAsia="仿宋" w:cs="Times New Roman"/>
          <w:color w:val="auto"/>
          <w:kern w:val="0"/>
          <w:sz w:val="28"/>
          <w:szCs w:val="28"/>
        </w:rPr>
        <w:t xml:space="preserve">量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资源县目前还未对地下水进行开采利用。供水量为0亿m</w:t>
      </w:r>
      <w:r>
        <w:rPr>
          <w:rFonts w:hint="eastAsia" w:ascii="Times New Roman" w:hAnsi="Times New Roman" w:eastAsia="仿宋" w:cs="Times New Roman"/>
          <w:color w:val="auto"/>
          <w:kern w:val="0"/>
          <w:sz w:val="28"/>
          <w:szCs w:val="28"/>
          <w:vertAlign w:val="superscript"/>
        </w:rPr>
        <w:t>3</w:t>
      </w:r>
      <w:r>
        <w:rPr>
          <w:rFonts w:ascii="Times New Roman" w:hAnsi="Times New Roman" w:eastAsia="仿宋" w:cs="Times New Roman"/>
          <w:color w:val="auto"/>
          <w:kern w:val="0"/>
          <w:sz w:val="28"/>
          <w:szCs w:val="28"/>
        </w:rPr>
        <w:t xml:space="preserve">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（3）其他水源供水量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资源县没有</w:t>
      </w:r>
      <w:r>
        <w:rPr>
          <w:rFonts w:ascii="Times New Roman" w:hAnsi="Times New Roman" w:eastAsia="仿宋" w:cs="Times New Roman"/>
          <w:color w:val="auto"/>
          <w:kern w:val="0"/>
          <w:sz w:val="28"/>
          <w:szCs w:val="28"/>
        </w:rPr>
        <w:t>其他水源</w:t>
      </w:r>
      <w:r>
        <w:rPr>
          <w:rFonts w:hint="eastAsia" w:ascii="Times New Roman" w:hAnsi="Times New Roman" w:eastAsia="仿宋" w:cs="Times New Roman"/>
          <w:color w:val="auto"/>
          <w:kern w:val="0"/>
          <w:sz w:val="28"/>
          <w:szCs w:val="28"/>
        </w:rPr>
        <w:t>供水量</w:t>
      </w:r>
      <w:r>
        <w:rPr>
          <w:rFonts w:ascii="Times New Roman" w:hAnsi="Times New Roman" w:eastAsia="仿宋" w:cs="Times New Roman"/>
          <w:color w:val="auto"/>
          <w:kern w:val="0"/>
          <w:sz w:val="28"/>
          <w:szCs w:val="28"/>
        </w:rPr>
        <w:t>，供水量为0亿</w:t>
      </w:r>
      <w:r>
        <w:rPr>
          <w:rFonts w:hint="eastAsia" w:ascii="Times New Roman" w:hAnsi="Times New Roman" w:eastAsia="仿宋" w:cs="Times New Roman"/>
          <w:color w:val="auto"/>
          <w:kern w:val="0"/>
          <w:sz w:val="28"/>
          <w:szCs w:val="28"/>
        </w:rPr>
        <w:t>m</w:t>
      </w:r>
      <w:r>
        <w:rPr>
          <w:rFonts w:hint="eastAsia" w:ascii="Times New Roman" w:hAnsi="Times New Roman" w:eastAsia="仿宋" w:cs="Times New Roman"/>
          <w:color w:val="auto"/>
          <w:kern w:val="0"/>
          <w:sz w:val="28"/>
          <w:szCs w:val="28"/>
          <w:vertAlign w:val="superscript"/>
        </w:rPr>
        <w:t>3</w:t>
      </w:r>
      <w:r>
        <w:rPr>
          <w:rFonts w:ascii="Times New Roman" w:hAnsi="Times New Roman" w:eastAsia="仿宋" w:cs="Times New Roman"/>
          <w:color w:val="auto"/>
          <w:kern w:val="0"/>
          <w:sz w:val="28"/>
          <w:szCs w:val="28"/>
        </w:rPr>
        <w:t xml:space="preserve">。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（4）总供水量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2019年</w:t>
      </w:r>
      <w:r>
        <w:rPr>
          <w:rFonts w:hint="eastAsia" w:ascii="Times New Roman" w:hAnsi="Times New Roman" w:eastAsia="仿宋" w:cs="Times New Roman"/>
          <w:color w:val="auto"/>
          <w:kern w:val="0"/>
          <w:sz w:val="28"/>
          <w:szCs w:val="28"/>
        </w:rPr>
        <w:t>资源县</w:t>
      </w:r>
      <w:r>
        <w:rPr>
          <w:rFonts w:ascii="Times New Roman" w:hAnsi="Times New Roman" w:eastAsia="仿宋" w:cs="Times New Roman"/>
          <w:color w:val="auto"/>
          <w:kern w:val="0"/>
          <w:sz w:val="28"/>
          <w:szCs w:val="28"/>
        </w:rPr>
        <w:t>总供水量为1.24亿</w:t>
      </w:r>
      <w:r>
        <w:rPr>
          <w:rFonts w:hint="eastAsia" w:ascii="Times New Roman" w:hAnsi="Times New Roman" w:eastAsia="仿宋" w:cs="Times New Roman"/>
          <w:color w:val="auto"/>
          <w:kern w:val="0"/>
          <w:sz w:val="28"/>
          <w:szCs w:val="28"/>
        </w:rPr>
        <w:t>m</w:t>
      </w:r>
      <w:r>
        <w:rPr>
          <w:rFonts w:hint="eastAsia" w:ascii="Times New Roman" w:hAnsi="Times New Roman" w:eastAsia="仿宋" w:cs="Times New Roman"/>
          <w:color w:val="auto"/>
          <w:kern w:val="0"/>
          <w:sz w:val="28"/>
          <w:szCs w:val="28"/>
          <w:vertAlign w:val="superscript"/>
        </w:rPr>
        <w:t>3</w:t>
      </w:r>
      <w:r>
        <w:rPr>
          <w:rFonts w:ascii="Times New Roman" w:hAnsi="Times New Roman" w:eastAsia="仿宋" w:cs="Times New Roman"/>
          <w:color w:val="auto"/>
          <w:kern w:val="0"/>
          <w:sz w:val="28"/>
          <w:szCs w:val="28"/>
        </w:rPr>
        <w:t>，其中地表水供水量1.24亿</w:t>
      </w:r>
      <w:r>
        <w:rPr>
          <w:rFonts w:hint="eastAsia" w:ascii="Times New Roman" w:hAnsi="Times New Roman" w:eastAsia="仿宋" w:cs="Times New Roman"/>
          <w:color w:val="auto"/>
          <w:kern w:val="0"/>
          <w:sz w:val="28"/>
          <w:szCs w:val="28"/>
        </w:rPr>
        <w:t>m</w:t>
      </w:r>
      <w:r>
        <w:rPr>
          <w:rFonts w:hint="eastAsia" w:ascii="Times New Roman" w:hAnsi="Times New Roman" w:eastAsia="仿宋" w:cs="Times New Roman"/>
          <w:color w:val="auto"/>
          <w:kern w:val="0"/>
          <w:sz w:val="28"/>
          <w:szCs w:val="28"/>
          <w:vertAlign w:val="superscript"/>
        </w:rPr>
        <w:t>3</w:t>
      </w:r>
      <w:r>
        <w:rPr>
          <w:rFonts w:ascii="Times New Roman" w:hAnsi="Times New Roman" w:eastAsia="仿宋" w:cs="Times New Roman"/>
          <w:color w:val="auto"/>
          <w:kern w:val="0"/>
          <w:sz w:val="28"/>
          <w:szCs w:val="28"/>
        </w:rPr>
        <w:t>，占总供水量的100%；地下水</w:t>
      </w:r>
      <w:r>
        <w:rPr>
          <w:rFonts w:hint="eastAsia" w:ascii="Times New Roman" w:hAnsi="Times New Roman" w:eastAsia="仿宋" w:cs="Times New Roman"/>
          <w:color w:val="auto"/>
          <w:kern w:val="0"/>
          <w:sz w:val="28"/>
          <w:szCs w:val="28"/>
        </w:rPr>
        <w:t>及其他水源</w:t>
      </w:r>
      <w:r>
        <w:rPr>
          <w:rFonts w:ascii="Times New Roman" w:hAnsi="Times New Roman" w:eastAsia="仿宋" w:cs="Times New Roman"/>
          <w:color w:val="auto"/>
          <w:kern w:val="0"/>
          <w:sz w:val="28"/>
          <w:szCs w:val="28"/>
        </w:rPr>
        <w:t>供水量为0亿</w:t>
      </w:r>
      <w:r>
        <w:rPr>
          <w:rFonts w:hint="eastAsia" w:ascii="Times New Roman" w:hAnsi="Times New Roman" w:eastAsia="仿宋" w:cs="Times New Roman"/>
          <w:color w:val="auto"/>
          <w:kern w:val="0"/>
          <w:sz w:val="28"/>
          <w:szCs w:val="28"/>
        </w:rPr>
        <w:t>m</w:t>
      </w:r>
      <w:r>
        <w:rPr>
          <w:rFonts w:hint="eastAsia" w:ascii="Times New Roman" w:hAnsi="Times New Roman" w:eastAsia="仿宋" w:cs="Times New Roman"/>
          <w:color w:val="auto"/>
          <w:kern w:val="0"/>
          <w:sz w:val="28"/>
          <w:szCs w:val="28"/>
          <w:vertAlign w:val="superscript"/>
        </w:rPr>
        <w:t>3</w:t>
      </w:r>
      <w:r>
        <w:rPr>
          <w:rFonts w:ascii="Times New Roman" w:hAnsi="Times New Roman" w:eastAsia="仿宋" w:cs="Times New Roman"/>
          <w:color w:val="auto"/>
          <w:kern w:val="0"/>
          <w:sz w:val="28"/>
          <w:szCs w:val="28"/>
        </w:rPr>
        <w:t xml:space="preserve">，占总供水量的0.0% </w:t>
      </w:r>
    </w:p>
    <w:p>
      <w:pPr>
        <w:spacing w:line="360" w:lineRule="auto"/>
        <w:ind w:firstLine="560" w:firstLineChars="200"/>
        <w:rPr>
          <w:rFonts w:ascii="仿宋" w:hAnsi="仿宋" w:eastAsia="仿宋" w:cs="宋体"/>
          <w:color w:val="auto"/>
          <w:kern w:val="0"/>
          <w:sz w:val="28"/>
          <w:szCs w:val="28"/>
        </w:rPr>
      </w:pPr>
      <w:r>
        <w:rPr>
          <w:rFonts w:hint="eastAsia" w:ascii="仿宋" w:hAnsi="仿宋" w:eastAsia="仿宋" w:cs="宋体"/>
          <w:color w:val="auto"/>
          <w:kern w:val="0"/>
          <w:sz w:val="28"/>
          <w:szCs w:val="28"/>
        </w:rPr>
        <w:t>具体的</w:t>
      </w:r>
      <w:r>
        <w:rPr>
          <w:rFonts w:hint="eastAsia" w:ascii="仿宋" w:hAnsi="仿宋" w:eastAsia="仿宋" w:cs="宋体"/>
          <w:color w:val="auto"/>
          <w:kern w:val="0"/>
          <w:sz w:val="28"/>
          <w:szCs w:val="28"/>
          <w:lang w:eastAsia="zh-CN"/>
        </w:rPr>
        <w:t>资江流域</w:t>
      </w:r>
      <w:r>
        <w:rPr>
          <w:rFonts w:hint="eastAsia" w:ascii="仿宋" w:hAnsi="仿宋" w:eastAsia="仿宋" w:cs="宋体"/>
          <w:color w:val="auto"/>
          <w:kern w:val="0"/>
          <w:sz w:val="28"/>
          <w:szCs w:val="28"/>
        </w:rPr>
        <w:t>供水量统计见表</w:t>
      </w:r>
      <w:r>
        <w:rPr>
          <w:rFonts w:ascii="仿宋" w:hAnsi="仿宋" w:eastAsia="仿宋" w:cs="Times New Roman"/>
          <w:color w:val="auto"/>
          <w:kern w:val="0"/>
          <w:sz w:val="28"/>
          <w:szCs w:val="28"/>
        </w:rPr>
        <w:t>5.2.2-1</w:t>
      </w:r>
      <w:r>
        <w:rPr>
          <w:rFonts w:hint="eastAsia" w:ascii="仿宋" w:hAnsi="仿宋" w:eastAsia="仿宋" w:cs="宋体"/>
          <w:color w:val="auto"/>
          <w:kern w:val="0"/>
          <w:sz w:val="28"/>
          <w:szCs w:val="28"/>
        </w:rPr>
        <w:t>。</w:t>
      </w:r>
    </w:p>
    <w:p>
      <w:pPr>
        <w:spacing w:line="560" w:lineRule="exact"/>
        <w:ind w:firstLine="562" w:firstLineChars="200"/>
        <w:rPr>
          <w:rFonts w:ascii="Times New Roman" w:hAnsi="Times New Roman" w:eastAsia="仿宋" w:cs="Times New Roman"/>
          <w:b/>
          <w:color w:val="auto"/>
          <w:kern w:val="0"/>
          <w:sz w:val="28"/>
          <w:szCs w:val="28"/>
        </w:rPr>
      </w:pPr>
      <w:r>
        <w:rPr>
          <w:rFonts w:ascii="Times New Roman" w:hAnsi="Times New Roman" w:eastAsia="仿宋" w:cs="Times New Roman"/>
          <w:b/>
          <w:color w:val="auto"/>
          <w:sz w:val="28"/>
          <w:szCs w:val="28"/>
        </w:rPr>
        <w:t>表5.2.2-1      2019年</w:t>
      </w:r>
      <w:r>
        <w:rPr>
          <w:rFonts w:hint="eastAsia" w:ascii="Times New Roman" w:hAnsi="Times New Roman" w:eastAsia="仿宋" w:cs="Times New Roman"/>
          <w:b/>
          <w:color w:val="auto"/>
          <w:sz w:val="28"/>
          <w:szCs w:val="28"/>
        </w:rPr>
        <w:t>资源县</w:t>
      </w:r>
      <w:r>
        <w:rPr>
          <w:rFonts w:ascii="Times New Roman" w:hAnsi="Times New Roman" w:eastAsia="仿宋" w:cs="Times New Roman"/>
          <w:b/>
          <w:color w:val="auto"/>
          <w:sz w:val="28"/>
          <w:szCs w:val="28"/>
        </w:rPr>
        <w:t>供水量统计表 单位：万m</w:t>
      </w:r>
      <w:r>
        <w:rPr>
          <w:rFonts w:ascii="Times New Roman" w:hAnsi="Times New Roman" w:eastAsia="仿宋" w:cs="Times New Roman"/>
          <w:b/>
          <w:color w:val="auto"/>
          <w:sz w:val="28"/>
          <w:szCs w:val="28"/>
          <w:vertAlign w:val="superscript"/>
        </w:rPr>
        <w:t>3</w:t>
      </w:r>
    </w:p>
    <w:tbl>
      <w:tblPr>
        <w:tblStyle w:val="15"/>
        <w:tblW w:w="9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097"/>
        <w:gridCol w:w="1086"/>
        <w:gridCol w:w="1222"/>
        <w:gridCol w:w="1222"/>
        <w:gridCol w:w="906"/>
        <w:gridCol w:w="1129"/>
        <w:gridCol w:w="1086"/>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序号</w:t>
            </w:r>
          </w:p>
        </w:tc>
        <w:tc>
          <w:tcPr>
            <w:tcW w:w="1097"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河名</w:t>
            </w:r>
          </w:p>
        </w:tc>
        <w:tc>
          <w:tcPr>
            <w:tcW w:w="3530" w:type="dxa"/>
            <w:gridSpan w:val="3"/>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地表水源供水量</w:t>
            </w:r>
          </w:p>
        </w:tc>
        <w:tc>
          <w:tcPr>
            <w:tcW w:w="906"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p>
        </w:tc>
        <w:tc>
          <w:tcPr>
            <w:tcW w:w="1129" w:type="dxa"/>
            <w:vMerge w:val="restart"/>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地下水源供水量</w:t>
            </w:r>
          </w:p>
        </w:tc>
        <w:tc>
          <w:tcPr>
            <w:tcW w:w="1086" w:type="dxa"/>
            <w:vMerge w:val="restart"/>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其他水源供水量</w:t>
            </w:r>
          </w:p>
        </w:tc>
        <w:tc>
          <w:tcPr>
            <w:tcW w:w="906" w:type="dxa"/>
            <w:vMerge w:val="restart"/>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Merge w:val="continue"/>
            <w:shd w:val="clear" w:color="auto" w:fill="auto"/>
            <w:vAlign w:val="center"/>
          </w:tcPr>
          <w:p>
            <w:pPr>
              <w:spacing w:line="380" w:lineRule="exact"/>
              <w:jc w:val="center"/>
              <w:rPr>
                <w:rFonts w:ascii="Times New Roman" w:hAnsi="Times New Roman" w:eastAsia="仿宋" w:cs="Times New Roman"/>
                <w:color w:val="auto"/>
                <w:kern w:val="0"/>
                <w:sz w:val="21"/>
                <w:szCs w:val="21"/>
              </w:rPr>
            </w:pPr>
          </w:p>
        </w:tc>
        <w:tc>
          <w:tcPr>
            <w:tcW w:w="1097" w:type="dxa"/>
            <w:vMerge w:val="continue"/>
            <w:shd w:val="clear" w:color="auto" w:fill="auto"/>
            <w:vAlign w:val="center"/>
          </w:tcPr>
          <w:p>
            <w:pPr>
              <w:spacing w:line="380" w:lineRule="exact"/>
              <w:jc w:val="center"/>
              <w:rPr>
                <w:rFonts w:ascii="Times New Roman" w:hAnsi="Times New Roman" w:eastAsia="仿宋" w:cs="Times New Roman"/>
                <w:color w:val="auto"/>
                <w:kern w:val="0"/>
                <w:sz w:val="21"/>
                <w:szCs w:val="21"/>
              </w:rPr>
            </w:pPr>
          </w:p>
        </w:tc>
        <w:tc>
          <w:tcPr>
            <w:tcW w:w="1086"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蓄水工程</w:t>
            </w:r>
          </w:p>
        </w:tc>
        <w:tc>
          <w:tcPr>
            <w:tcW w:w="1222"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引水工程</w:t>
            </w:r>
          </w:p>
        </w:tc>
        <w:tc>
          <w:tcPr>
            <w:tcW w:w="1222"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提水工程</w:t>
            </w:r>
          </w:p>
        </w:tc>
        <w:tc>
          <w:tcPr>
            <w:tcW w:w="906"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合计</w:t>
            </w:r>
          </w:p>
        </w:tc>
        <w:tc>
          <w:tcPr>
            <w:tcW w:w="1129" w:type="dxa"/>
            <w:vMerge w:val="continue"/>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p>
        </w:tc>
        <w:tc>
          <w:tcPr>
            <w:tcW w:w="1086" w:type="dxa"/>
            <w:vMerge w:val="continue"/>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p>
        </w:tc>
        <w:tc>
          <w:tcPr>
            <w:tcW w:w="906" w:type="dxa"/>
            <w:vMerge w:val="continue"/>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w:t>
            </w:r>
          </w:p>
        </w:tc>
        <w:tc>
          <w:tcPr>
            <w:tcW w:w="1097" w:type="dxa"/>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白竹洞河</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35580</w:t>
            </w:r>
          </w:p>
        </w:tc>
        <w:tc>
          <w:tcPr>
            <w:tcW w:w="12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12330</w:t>
            </w:r>
          </w:p>
        </w:tc>
        <w:tc>
          <w:tcPr>
            <w:tcW w:w="12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2810</w:t>
            </w:r>
          </w:p>
        </w:tc>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50720</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972</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w:t>
            </w:r>
          </w:p>
        </w:tc>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51690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w:t>
            </w:r>
          </w:p>
        </w:tc>
        <w:tc>
          <w:tcPr>
            <w:tcW w:w="1097" w:type="dxa"/>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大湾河</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20490</w:t>
            </w:r>
          </w:p>
        </w:tc>
        <w:tc>
          <w:tcPr>
            <w:tcW w:w="12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7590</w:t>
            </w:r>
          </w:p>
        </w:tc>
        <w:tc>
          <w:tcPr>
            <w:tcW w:w="12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1240</w:t>
            </w:r>
          </w:p>
        </w:tc>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29320</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320</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w:t>
            </w:r>
          </w:p>
        </w:tc>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29640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w:t>
            </w:r>
          </w:p>
        </w:tc>
        <w:tc>
          <w:tcPr>
            <w:tcW w:w="1097" w:type="dxa"/>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木厂水</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16750</w:t>
            </w:r>
          </w:p>
        </w:tc>
        <w:tc>
          <w:tcPr>
            <w:tcW w:w="12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2440</w:t>
            </w:r>
          </w:p>
        </w:tc>
        <w:tc>
          <w:tcPr>
            <w:tcW w:w="12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6540</w:t>
            </w:r>
          </w:p>
        </w:tc>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25740</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1110</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w:t>
            </w:r>
          </w:p>
        </w:tc>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26850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w:t>
            </w:r>
          </w:p>
        </w:tc>
        <w:tc>
          <w:tcPr>
            <w:tcW w:w="1097" w:type="dxa"/>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瓜里河</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4710</w:t>
            </w:r>
          </w:p>
        </w:tc>
        <w:tc>
          <w:tcPr>
            <w:tcW w:w="12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984</w:t>
            </w:r>
          </w:p>
        </w:tc>
        <w:tc>
          <w:tcPr>
            <w:tcW w:w="12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1580</w:t>
            </w:r>
          </w:p>
        </w:tc>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7280</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118</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0</w:t>
            </w:r>
          </w:p>
        </w:tc>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w:t>
            </w:r>
          </w:p>
        </w:tc>
        <w:tc>
          <w:tcPr>
            <w:tcW w:w="1097"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ascii="Times New Roman" w:hAnsi="Times New Roman" w:eastAsia="仿宋" w:cs="Times New Roman"/>
                <w:color w:val="auto"/>
                <w:sz w:val="21"/>
                <w:szCs w:val="21"/>
              </w:rPr>
              <w:t>干流</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74860</w:t>
            </w:r>
          </w:p>
        </w:tc>
        <w:tc>
          <w:tcPr>
            <w:tcW w:w="12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40490</w:t>
            </w:r>
          </w:p>
        </w:tc>
        <w:tc>
          <w:tcPr>
            <w:tcW w:w="12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30500</w:t>
            </w:r>
          </w:p>
        </w:tc>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145850</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2530</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205</w:t>
            </w:r>
          </w:p>
        </w:tc>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148590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w:t>
            </w:r>
          </w:p>
        </w:tc>
        <w:tc>
          <w:tcPr>
            <w:tcW w:w="1097" w:type="dxa"/>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资江</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152390</w:t>
            </w:r>
          </w:p>
        </w:tc>
        <w:tc>
          <w:tcPr>
            <w:tcW w:w="12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63840</w:t>
            </w:r>
          </w:p>
        </w:tc>
        <w:tc>
          <w:tcPr>
            <w:tcW w:w="122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42680</w:t>
            </w:r>
          </w:p>
        </w:tc>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258910</w:t>
            </w:r>
          </w:p>
        </w:tc>
        <w:tc>
          <w:tcPr>
            <w:tcW w:w="1129"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5050</w:t>
            </w:r>
          </w:p>
        </w:tc>
        <w:tc>
          <w:tcPr>
            <w:tcW w:w="108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205</w:t>
            </w:r>
          </w:p>
        </w:tc>
        <w:tc>
          <w:tcPr>
            <w:tcW w:w="90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264170</w:t>
            </w:r>
          </w:p>
        </w:tc>
      </w:tr>
    </w:tbl>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（3） 水资源开发利用率赋分 </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根据上述水资源量和供水量的统计分析</w:t>
      </w:r>
      <w:r>
        <w:rPr>
          <w:rFonts w:ascii="Times New Roman" w:hAnsi="Times New Roman" w:eastAsia="宋体" w:cs="Times New Roman"/>
          <w:color w:val="auto"/>
          <w:kern w:val="0"/>
          <w:sz w:val="28"/>
          <w:szCs w:val="28"/>
        </w:rPr>
        <w:t>，</w:t>
      </w:r>
      <w:r>
        <w:rPr>
          <w:rFonts w:hint="eastAsia" w:ascii="Times New Roman" w:hAnsi="Times New Roman" w:eastAsia="仿宋" w:cs="Times New Roman"/>
          <w:color w:val="auto"/>
          <w:kern w:val="0"/>
          <w:sz w:val="28"/>
          <w:szCs w:val="28"/>
        </w:rPr>
        <w:t>资源县</w:t>
      </w:r>
      <w:r>
        <w:rPr>
          <w:rFonts w:ascii="Times New Roman" w:hAnsi="Times New Roman" w:eastAsia="仿宋" w:cs="Times New Roman"/>
          <w:color w:val="auto"/>
          <w:kern w:val="0"/>
          <w:sz w:val="28"/>
          <w:szCs w:val="28"/>
        </w:rPr>
        <w:t>水资源开发利用程度见下表5.2.2-2。</w:t>
      </w:r>
    </w:p>
    <w:p>
      <w:pPr>
        <w:spacing w:line="360" w:lineRule="auto"/>
        <w:ind w:firstLine="560" w:firstLineChars="200"/>
        <w:rPr>
          <w:rFonts w:ascii="Times New Roman" w:hAnsi="Times New Roman" w:eastAsia="仿宋" w:cs="Times New Roman"/>
          <w:color w:val="auto"/>
          <w:kern w:val="0"/>
          <w:sz w:val="28"/>
          <w:szCs w:val="28"/>
        </w:rPr>
      </w:pPr>
    </w:p>
    <w:p>
      <w:pPr>
        <w:ind w:firstLine="562" w:firstLineChars="200"/>
        <w:rPr>
          <w:rFonts w:ascii="Times New Roman" w:hAnsi="Times New Roman" w:eastAsia="仿宋" w:cs="Times New Roman"/>
          <w:b/>
          <w:color w:val="auto"/>
          <w:kern w:val="0"/>
          <w:sz w:val="28"/>
          <w:szCs w:val="28"/>
        </w:rPr>
      </w:pPr>
      <w:r>
        <w:rPr>
          <w:rFonts w:ascii="Times New Roman" w:hAnsi="Times New Roman" w:eastAsia="仿宋" w:cs="Times New Roman"/>
          <w:b/>
          <w:color w:val="auto"/>
          <w:kern w:val="0"/>
          <w:sz w:val="28"/>
          <w:szCs w:val="28"/>
        </w:rPr>
        <w:t xml:space="preserve">表5.2.2-2     </w:t>
      </w:r>
      <w:r>
        <w:rPr>
          <w:rFonts w:hint="eastAsia" w:ascii="Times New Roman" w:hAnsi="Times New Roman" w:eastAsia="仿宋" w:cs="Times New Roman"/>
          <w:b/>
          <w:color w:val="auto"/>
          <w:kern w:val="0"/>
          <w:sz w:val="28"/>
          <w:szCs w:val="28"/>
        </w:rPr>
        <w:t xml:space="preserve">  </w:t>
      </w:r>
      <w:r>
        <w:rPr>
          <w:rFonts w:ascii="Times New Roman" w:hAnsi="Times New Roman" w:eastAsia="仿宋" w:cs="Times New Roman"/>
          <w:b/>
          <w:color w:val="auto"/>
          <w:kern w:val="0"/>
          <w:sz w:val="28"/>
          <w:szCs w:val="28"/>
        </w:rPr>
        <w:t>广西</w:t>
      </w:r>
      <w:r>
        <w:rPr>
          <w:rFonts w:hint="eastAsia" w:ascii="Times New Roman" w:hAnsi="Times New Roman" w:eastAsia="仿宋" w:cs="Times New Roman"/>
          <w:b/>
          <w:color w:val="auto"/>
          <w:kern w:val="0"/>
          <w:sz w:val="28"/>
          <w:szCs w:val="28"/>
          <w:lang w:eastAsia="zh-CN"/>
        </w:rPr>
        <w:t>资江流域</w:t>
      </w:r>
      <w:r>
        <w:rPr>
          <w:rFonts w:ascii="Times New Roman" w:hAnsi="Times New Roman" w:eastAsia="仿宋" w:cs="Times New Roman"/>
          <w:b/>
          <w:color w:val="auto"/>
          <w:kern w:val="0"/>
          <w:sz w:val="28"/>
          <w:szCs w:val="28"/>
        </w:rPr>
        <w:t>水资源现状开发利用调查统计表</w:t>
      </w:r>
    </w:p>
    <w:tbl>
      <w:tblPr>
        <w:tblStyle w:val="15"/>
        <w:tblW w:w="9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2349"/>
        <w:gridCol w:w="2810"/>
        <w:gridCol w:w="2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0"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流域</w:t>
            </w:r>
          </w:p>
        </w:tc>
        <w:tc>
          <w:tcPr>
            <w:tcW w:w="2349"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水资源量（亿m</w:t>
            </w:r>
            <w:r>
              <w:rPr>
                <w:rFonts w:ascii="Times New Roman" w:hAnsi="Times New Roman" w:eastAsia="仿宋" w:cs="Times New Roman"/>
                <w:color w:val="auto"/>
                <w:kern w:val="0"/>
                <w:sz w:val="21"/>
                <w:szCs w:val="21"/>
                <w:vertAlign w:val="superscript"/>
              </w:rPr>
              <w:t>3</w:t>
            </w:r>
            <w:r>
              <w:rPr>
                <w:rFonts w:ascii="Times New Roman" w:hAnsi="Times New Roman" w:eastAsia="仿宋" w:cs="Times New Roman"/>
                <w:color w:val="auto"/>
                <w:kern w:val="0"/>
                <w:sz w:val="21"/>
                <w:szCs w:val="21"/>
              </w:rPr>
              <w:t>）</w:t>
            </w:r>
          </w:p>
        </w:tc>
        <w:tc>
          <w:tcPr>
            <w:tcW w:w="2810"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2019年供水量（亿m</w:t>
            </w:r>
            <w:r>
              <w:rPr>
                <w:rFonts w:ascii="Times New Roman" w:hAnsi="Times New Roman" w:eastAsia="仿宋" w:cs="Times New Roman"/>
                <w:color w:val="auto"/>
                <w:kern w:val="0"/>
                <w:sz w:val="21"/>
                <w:szCs w:val="21"/>
                <w:vertAlign w:val="superscript"/>
              </w:rPr>
              <w:t>3</w:t>
            </w:r>
            <w:r>
              <w:rPr>
                <w:rFonts w:ascii="Times New Roman" w:hAnsi="Times New Roman" w:eastAsia="仿宋" w:cs="Times New Roman"/>
                <w:color w:val="auto"/>
                <w:kern w:val="0"/>
                <w:sz w:val="21"/>
                <w:szCs w:val="21"/>
              </w:rPr>
              <w:t>）</w:t>
            </w:r>
          </w:p>
        </w:tc>
        <w:tc>
          <w:tcPr>
            <w:tcW w:w="2814"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水资源开发利用率（%）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0" w:type="dxa"/>
            <w:shd w:val="clear" w:color="auto" w:fill="auto"/>
            <w:vAlign w:val="center"/>
          </w:tcPr>
          <w:p>
            <w:pPr>
              <w:autoSpaceDE w:val="0"/>
              <w:autoSpaceDN w:val="0"/>
              <w:adjustRightInd w:val="0"/>
              <w:spacing w:line="380" w:lineRule="exact"/>
              <w:jc w:val="center"/>
              <w:rPr>
                <w:rFonts w:hint="eastAsia" w:ascii="Times New Roman" w:hAnsi="Times New Roman" w:eastAsia="仿宋" w:cs="Times New Roman"/>
                <w:color w:val="auto"/>
                <w:kern w:val="0"/>
                <w:sz w:val="21"/>
                <w:szCs w:val="21"/>
                <w:lang w:eastAsia="zh-CN"/>
              </w:rPr>
            </w:pPr>
            <w:r>
              <w:rPr>
                <w:rFonts w:hint="eastAsia" w:ascii="Times New Roman" w:hAnsi="Times New Roman" w:eastAsia="仿宋" w:cs="Times New Roman"/>
                <w:color w:val="auto"/>
                <w:kern w:val="0"/>
                <w:sz w:val="21"/>
                <w:szCs w:val="21"/>
                <w:lang w:eastAsia="zh-CN"/>
              </w:rPr>
              <w:t>资江流域</w:t>
            </w:r>
          </w:p>
        </w:tc>
        <w:tc>
          <w:tcPr>
            <w:tcW w:w="2349"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26.3</w:t>
            </w:r>
          </w:p>
        </w:tc>
        <w:tc>
          <w:tcPr>
            <w:tcW w:w="2810"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1.24</w:t>
            </w:r>
          </w:p>
        </w:tc>
        <w:tc>
          <w:tcPr>
            <w:tcW w:w="2814"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4.17</w:t>
            </w:r>
          </w:p>
        </w:tc>
      </w:tr>
    </w:tbl>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p>
    <w:p>
      <w:pPr>
        <w:autoSpaceDE w:val="0"/>
        <w:autoSpaceDN w:val="0"/>
        <w:adjustRightInd w:val="0"/>
        <w:spacing w:line="360" w:lineRule="auto"/>
        <w:ind w:firstLine="560" w:firstLineChars="200"/>
        <w:jc w:val="left"/>
        <w:rPr>
          <w:rFonts w:ascii="Times New Roman" w:hAnsi="Times New Roman" w:eastAsia="仿宋" w:cs="Times New Roman"/>
          <w:color w:val="auto"/>
        </w:rPr>
      </w:pPr>
      <w:r>
        <w:rPr>
          <w:rFonts w:ascii="Times New Roman" w:hAnsi="Times New Roman" w:eastAsia="仿宋" w:cs="Times New Roman"/>
          <w:color w:val="auto"/>
          <w:kern w:val="0"/>
          <w:sz w:val="28"/>
          <w:szCs w:val="28"/>
        </w:rPr>
        <w:t>由上表可知，广西</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多年平均水资源总量26.3亿m</w:t>
      </w:r>
      <w:r>
        <w:rPr>
          <w:rFonts w:ascii="Times New Roman" w:hAnsi="Times New Roman" w:eastAsia="仿宋" w:cs="Times New Roman"/>
          <w:color w:val="auto"/>
          <w:kern w:val="0"/>
          <w:sz w:val="28"/>
          <w:szCs w:val="28"/>
          <w:vertAlign w:val="superscript"/>
        </w:rPr>
        <w:t>3</w:t>
      </w:r>
      <w:r>
        <w:rPr>
          <w:rFonts w:ascii="Times New Roman" w:hAnsi="Times New Roman" w:eastAsia="仿宋" w:cs="Times New Roman"/>
          <w:color w:val="auto"/>
          <w:kern w:val="0"/>
          <w:sz w:val="28"/>
          <w:szCs w:val="28"/>
        </w:rPr>
        <w:t>，2019年总供水量1.24亿m</w:t>
      </w:r>
      <w:r>
        <w:rPr>
          <w:rFonts w:ascii="Times New Roman" w:hAnsi="Times New Roman" w:eastAsia="仿宋" w:cs="Times New Roman"/>
          <w:color w:val="auto"/>
          <w:kern w:val="0"/>
          <w:sz w:val="28"/>
          <w:szCs w:val="28"/>
          <w:vertAlign w:val="superscript"/>
        </w:rPr>
        <w:t>3</w:t>
      </w:r>
      <w:r>
        <w:rPr>
          <w:rFonts w:ascii="Times New Roman" w:hAnsi="Times New Roman" w:eastAsia="仿宋" w:cs="Times New Roman"/>
          <w:color w:val="auto"/>
          <w:kern w:val="0"/>
          <w:sz w:val="28"/>
          <w:szCs w:val="28"/>
        </w:rPr>
        <w:t>，2019年广西</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的水资源开发利用率为4.17%，远低于国际公认的40%的警示</w:t>
      </w:r>
      <w:r>
        <w:rPr>
          <w:rFonts w:ascii="Times New Roman" w:hAnsi="Times New Roman" w:eastAsia="仿宋" w:cs="Times New Roman"/>
          <w:color w:val="auto"/>
          <w:sz w:val="28"/>
          <w:szCs w:val="28"/>
        </w:rPr>
        <w:t>线。按照3.7.2节中的评估赋分模型，赋分结果为WRUr=100。</w:t>
      </w:r>
    </w:p>
    <w:p>
      <w:pPr>
        <w:autoSpaceDE w:val="0"/>
        <w:autoSpaceDN w:val="0"/>
        <w:adjustRightInd w:val="0"/>
        <w:spacing w:line="360" w:lineRule="auto"/>
        <w:jc w:val="left"/>
        <w:outlineLvl w:val="2"/>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 xml:space="preserve">5.2.3 防洪达标率评估 </w:t>
      </w:r>
    </w:p>
    <w:p>
      <w:pPr>
        <w:autoSpaceDE w:val="0"/>
        <w:autoSpaceDN w:val="0"/>
        <w:adjustRightInd w:val="0"/>
        <w:spacing w:line="360" w:lineRule="auto"/>
        <w:ind w:firstLine="560" w:firstLineChars="200"/>
        <w:jc w:val="lef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根据收集得到桂林市、贺州市和梧州市防洪堤调查表，本次</w:t>
      </w:r>
      <w:r>
        <w:rPr>
          <w:rFonts w:hint="eastAsia" w:ascii="Times New Roman" w:hAnsi="Times New Roman" w:eastAsia="仿宋" w:cs="Times New Roman"/>
          <w:color w:val="auto"/>
          <w:sz w:val="28"/>
          <w:szCs w:val="28"/>
          <w:lang w:eastAsia="zh-CN"/>
        </w:rPr>
        <w:t>资江流域</w:t>
      </w:r>
      <w:r>
        <w:rPr>
          <w:rFonts w:ascii="Times New Roman" w:hAnsi="Times New Roman" w:eastAsia="仿宋" w:cs="Times New Roman"/>
          <w:color w:val="auto"/>
          <w:sz w:val="28"/>
          <w:szCs w:val="28"/>
        </w:rPr>
        <w:t>评估范围内的河流有</w:t>
      </w:r>
      <w:r>
        <w:rPr>
          <w:rFonts w:hint="eastAsia" w:ascii="Times New Roman" w:hAnsi="Times New Roman" w:eastAsia="仿宋" w:cs="Times New Roman"/>
          <w:color w:val="auto"/>
          <w:sz w:val="28"/>
          <w:szCs w:val="28"/>
          <w:lang w:eastAsia="zh-CN"/>
        </w:rPr>
        <w:t>资江</w:t>
      </w:r>
      <w:r>
        <w:rPr>
          <w:rFonts w:ascii="Times New Roman" w:hAnsi="Times New Roman" w:eastAsia="仿宋" w:cs="Times New Roman"/>
          <w:color w:val="auto"/>
          <w:sz w:val="28"/>
          <w:szCs w:val="28"/>
        </w:rPr>
        <w:t>、</w:t>
      </w:r>
      <w:r>
        <w:rPr>
          <w:rFonts w:hint="eastAsia" w:ascii="Times New Roman" w:hAnsi="Times New Roman" w:eastAsia="仿宋" w:cs="Times New Roman"/>
          <w:color w:val="auto"/>
          <w:sz w:val="28"/>
          <w:szCs w:val="28"/>
          <w:lang w:eastAsia="zh-CN"/>
        </w:rPr>
        <w:t>白竹洞河</w:t>
      </w:r>
      <w:r>
        <w:rPr>
          <w:rFonts w:ascii="Times New Roman" w:hAnsi="Times New Roman" w:eastAsia="仿宋" w:cs="Times New Roman"/>
          <w:color w:val="auto"/>
          <w:sz w:val="28"/>
          <w:szCs w:val="28"/>
        </w:rPr>
        <w:t>、</w:t>
      </w:r>
      <w:r>
        <w:rPr>
          <w:rFonts w:hint="eastAsia" w:ascii="Times New Roman" w:hAnsi="Times New Roman" w:eastAsia="仿宋" w:cs="Times New Roman"/>
          <w:color w:val="auto"/>
          <w:sz w:val="28"/>
          <w:szCs w:val="28"/>
          <w:lang w:eastAsia="zh-CN"/>
        </w:rPr>
        <w:t>大湾河</w:t>
      </w:r>
      <w:r>
        <w:rPr>
          <w:rFonts w:ascii="Times New Roman" w:hAnsi="Times New Roman" w:eastAsia="仿宋" w:cs="Times New Roman"/>
          <w:color w:val="auto"/>
          <w:sz w:val="28"/>
          <w:szCs w:val="28"/>
        </w:rPr>
        <w:t>、</w:t>
      </w:r>
      <w:r>
        <w:rPr>
          <w:rFonts w:hint="eastAsia" w:ascii="Times New Roman" w:hAnsi="Times New Roman" w:eastAsia="仿宋" w:cs="Times New Roman"/>
          <w:color w:val="auto"/>
          <w:sz w:val="28"/>
          <w:szCs w:val="28"/>
          <w:lang w:eastAsia="zh-CN"/>
        </w:rPr>
        <w:t>瓜里河</w:t>
      </w:r>
      <w:r>
        <w:rPr>
          <w:rFonts w:ascii="Times New Roman" w:hAnsi="Times New Roman" w:eastAsia="仿宋" w:cs="Times New Roman"/>
          <w:color w:val="auto"/>
          <w:sz w:val="28"/>
          <w:szCs w:val="28"/>
        </w:rPr>
        <w:t>、</w:t>
      </w:r>
      <w:r>
        <w:rPr>
          <w:rFonts w:hint="eastAsia" w:ascii="Times New Roman" w:hAnsi="Times New Roman" w:eastAsia="仿宋" w:cs="Times New Roman"/>
          <w:color w:val="auto"/>
          <w:sz w:val="28"/>
          <w:szCs w:val="28"/>
          <w:lang w:eastAsia="zh-CN"/>
        </w:rPr>
        <w:t>木厂水</w:t>
      </w:r>
      <w:r>
        <w:rPr>
          <w:rFonts w:ascii="Times New Roman" w:hAnsi="Times New Roman" w:eastAsia="仿宋" w:cs="Times New Roman"/>
          <w:color w:val="auto"/>
          <w:sz w:val="28"/>
          <w:szCs w:val="28"/>
        </w:rPr>
        <w:t xml:space="preserve">等5条河流。 </w:t>
      </w:r>
    </w:p>
    <w:p>
      <w:pPr>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根据现场踏勘及收集到的</w:t>
      </w:r>
      <w:r>
        <w:rPr>
          <w:rFonts w:hint="eastAsia" w:ascii="Times New Roman" w:hAnsi="Times New Roman" w:eastAsia="仿宋" w:cs="Times New Roman"/>
          <w:color w:val="auto"/>
          <w:sz w:val="28"/>
          <w:szCs w:val="28"/>
          <w:lang w:eastAsia="zh-CN"/>
        </w:rPr>
        <w:t>资江流域</w:t>
      </w:r>
      <w:r>
        <w:rPr>
          <w:rFonts w:ascii="Times New Roman" w:hAnsi="Times New Roman" w:eastAsia="仿宋" w:cs="Times New Roman"/>
          <w:color w:val="auto"/>
          <w:sz w:val="28"/>
          <w:szCs w:val="28"/>
        </w:rPr>
        <w:t>两岸水利工程资料统计，按已在建达标防洪堤长度占规划防洪堤长度的比例确定达标河段的长度，然后按3.7.4节计算河流防洪指标指数（FLD），防洪指标指数计算公式如下：</w:t>
      </w:r>
    </w:p>
    <w:p>
      <w:pPr>
        <w:spacing w:line="360" w:lineRule="auto"/>
        <w:ind w:firstLine="560" w:firstLineChars="200"/>
        <w:jc w:val="center"/>
        <w:rPr>
          <w:rFonts w:ascii="Times New Roman" w:hAnsi="Times New Roman" w:eastAsia="仿宋" w:cs="Times New Roman"/>
          <w:color w:val="auto"/>
        </w:rPr>
      </w:pPr>
      <w:r>
        <w:rPr>
          <w:rFonts w:ascii="Times New Roman" w:hAnsi="Times New Roman" w:eastAsia="仿宋" w:cs="Times New Roman"/>
          <w:color w:val="auto"/>
          <w:position w:val="-38"/>
        </w:rPr>
        <w:drawing>
          <wp:inline distT="0" distB="0" distL="0" distR="0">
            <wp:extent cx="2486025" cy="5619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486025" cy="561975"/>
                    </a:xfrm>
                    <a:prstGeom prst="rect">
                      <a:avLst/>
                    </a:prstGeom>
                    <a:noFill/>
                    <a:ln>
                      <a:noFill/>
                    </a:ln>
                  </pic:spPr>
                </pic:pic>
              </a:graphicData>
            </a:graphic>
          </wp:inline>
        </w:drawing>
      </w:r>
    </w:p>
    <w:p>
      <w:pPr>
        <w:spacing w:line="360" w:lineRule="auto"/>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式中， FLD为河流防洪指标； RIVLn为河段n的长度，评估河流根据防洪规划划分；RIVBn 根据河段防洪工程是否满足规划要求进行；RIVBn=1，不达标，RIVBn=0；RIVWFn 为河段规划防洪标准重现期（如100年） 。</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sz w:val="28"/>
          <w:szCs w:val="28"/>
        </w:rPr>
        <w:t>根据计算得到的防洪指标数进行赋分</w:t>
      </w:r>
      <w:r>
        <w:rPr>
          <w:rFonts w:ascii="Times New Roman" w:hAnsi="Times New Roman" w:cs="Times New Roman"/>
          <w:color w:val="auto"/>
          <w:sz w:val="28"/>
          <w:szCs w:val="28"/>
        </w:rPr>
        <w:t>，</w:t>
      </w:r>
      <w:r>
        <w:rPr>
          <w:rFonts w:ascii="Times New Roman" w:hAnsi="Times New Roman" w:eastAsia="仿宋" w:cs="Times New Roman"/>
          <w:color w:val="auto"/>
          <w:sz w:val="28"/>
          <w:szCs w:val="28"/>
        </w:rPr>
        <w:t>各评估河流防洪指标分值（FLDr）如表5.2.3-1所示。</w:t>
      </w:r>
    </w:p>
    <w:p>
      <w:pPr>
        <w:spacing w:line="360" w:lineRule="auto"/>
        <w:ind w:firstLine="560" w:firstLineChars="200"/>
        <w:rPr>
          <w:rFonts w:ascii="Times New Roman" w:hAnsi="Times New Roman" w:eastAsia="仿宋" w:cs="Times New Roman"/>
          <w:color w:val="auto"/>
          <w:kern w:val="0"/>
          <w:sz w:val="28"/>
          <w:szCs w:val="28"/>
        </w:rPr>
      </w:pPr>
    </w:p>
    <w:p>
      <w:pPr>
        <w:spacing w:line="360" w:lineRule="auto"/>
        <w:ind w:firstLine="560" w:firstLineChars="200"/>
        <w:rPr>
          <w:rFonts w:ascii="Times New Roman" w:hAnsi="Times New Roman" w:eastAsia="仿宋" w:cs="Times New Roman"/>
          <w:color w:val="auto"/>
          <w:kern w:val="0"/>
          <w:sz w:val="28"/>
          <w:szCs w:val="28"/>
        </w:rPr>
      </w:pPr>
    </w:p>
    <w:p>
      <w:pPr>
        <w:spacing w:line="360" w:lineRule="auto"/>
        <w:ind w:firstLine="560" w:firstLineChars="200"/>
        <w:rPr>
          <w:rFonts w:ascii="Times New Roman" w:hAnsi="Times New Roman" w:eastAsia="仿宋" w:cs="Times New Roman"/>
          <w:color w:val="auto"/>
          <w:kern w:val="0"/>
          <w:sz w:val="28"/>
          <w:szCs w:val="28"/>
        </w:rPr>
      </w:pPr>
    </w:p>
    <w:p>
      <w:pPr>
        <w:spacing w:line="360" w:lineRule="auto"/>
        <w:ind w:firstLine="560" w:firstLineChars="200"/>
        <w:rPr>
          <w:rFonts w:ascii="Times New Roman" w:hAnsi="Times New Roman" w:eastAsia="仿宋" w:cs="Times New Roman"/>
          <w:color w:val="auto"/>
          <w:kern w:val="0"/>
          <w:sz w:val="28"/>
          <w:szCs w:val="28"/>
        </w:rPr>
      </w:pPr>
    </w:p>
    <w:p>
      <w:pPr>
        <w:spacing w:line="360" w:lineRule="auto"/>
        <w:ind w:firstLine="560" w:firstLineChars="200"/>
        <w:rPr>
          <w:rFonts w:ascii="Times New Roman" w:hAnsi="Times New Roman" w:eastAsia="仿宋" w:cs="Times New Roman"/>
          <w:color w:val="auto"/>
          <w:kern w:val="0"/>
          <w:sz w:val="28"/>
          <w:szCs w:val="28"/>
        </w:rPr>
      </w:pPr>
    </w:p>
    <w:p>
      <w:pPr>
        <w:spacing w:line="360" w:lineRule="auto"/>
        <w:ind w:firstLine="560" w:firstLineChars="200"/>
        <w:rPr>
          <w:rFonts w:ascii="Times New Roman" w:hAnsi="Times New Roman" w:eastAsia="仿宋" w:cs="Times New Roman"/>
          <w:color w:val="auto"/>
          <w:kern w:val="0"/>
          <w:sz w:val="28"/>
          <w:szCs w:val="28"/>
        </w:rPr>
      </w:pPr>
    </w:p>
    <w:p>
      <w:pPr>
        <w:spacing w:line="360" w:lineRule="auto"/>
        <w:ind w:firstLine="560" w:firstLineChars="200"/>
        <w:rPr>
          <w:rFonts w:ascii="Times New Roman" w:hAnsi="Times New Roman" w:eastAsia="仿宋" w:cs="Times New Roman"/>
          <w:color w:val="auto"/>
          <w:kern w:val="0"/>
          <w:sz w:val="28"/>
          <w:szCs w:val="28"/>
        </w:rPr>
      </w:pPr>
    </w:p>
    <w:p>
      <w:pPr>
        <w:spacing w:line="360" w:lineRule="auto"/>
        <w:ind w:firstLine="560" w:firstLineChars="200"/>
        <w:rPr>
          <w:rFonts w:ascii="Times New Roman" w:hAnsi="Times New Roman" w:eastAsia="仿宋" w:cs="Times New Roman"/>
          <w:color w:val="auto"/>
          <w:kern w:val="0"/>
          <w:sz w:val="28"/>
          <w:szCs w:val="28"/>
        </w:rPr>
      </w:pPr>
    </w:p>
    <w:p>
      <w:pPr>
        <w:spacing w:line="360" w:lineRule="auto"/>
        <w:ind w:firstLine="560" w:firstLineChars="200"/>
        <w:rPr>
          <w:rFonts w:ascii="Times New Roman" w:hAnsi="Times New Roman" w:eastAsia="仿宋" w:cs="Times New Roman"/>
          <w:color w:val="auto"/>
          <w:kern w:val="0"/>
          <w:sz w:val="28"/>
          <w:szCs w:val="28"/>
        </w:rPr>
      </w:pPr>
    </w:p>
    <w:p>
      <w:pPr>
        <w:spacing w:line="360" w:lineRule="auto"/>
        <w:ind w:firstLine="560" w:firstLineChars="200"/>
        <w:rPr>
          <w:rFonts w:ascii="Times New Roman" w:hAnsi="Times New Roman" w:eastAsia="仿宋" w:cs="Times New Roman"/>
          <w:color w:val="auto"/>
          <w:kern w:val="0"/>
          <w:sz w:val="28"/>
          <w:szCs w:val="28"/>
        </w:rPr>
      </w:pPr>
    </w:p>
    <w:p>
      <w:pPr>
        <w:spacing w:line="360" w:lineRule="auto"/>
        <w:ind w:firstLine="560" w:firstLineChars="200"/>
        <w:rPr>
          <w:rFonts w:ascii="Times New Roman" w:hAnsi="Times New Roman" w:eastAsia="仿宋" w:cs="Times New Roman"/>
          <w:color w:val="auto"/>
          <w:kern w:val="0"/>
          <w:sz w:val="28"/>
          <w:szCs w:val="28"/>
        </w:rPr>
      </w:pPr>
    </w:p>
    <w:p>
      <w:pPr>
        <w:spacing w:line="360" w:lineRule="auto"/>
        <w:ind w:firstLine="560" w:firstLineChars="200"/>
        <w:rPr>
          <w:rFonts w:ascii="Times New Roman" w:hAnsi="Times New Roman" w:eastAsia="仿宋" w:cs="Times New Roman"/>
          <w:color w:val="auto"/>
          <w:kern w:val="0"/>
          <w:sz w:val="28"/>
          <w:szCs w:val="28"/>
        </w:rPr>
      </w:pPr>
    </w:p>
    <w:p>
      <w:pPr>
        <w:spacing w:line="360" w:lineRule="auto"/>
        <w:ind w:firstLine="560" w:firstLineChars="200"/>
        <w:rPr>
          <w:rFonts w:ascii="Times New Roman" w:hAnsi="Times New Roman" w:eastAsia="仿宋" w:cs="Times New Roman"/>
          <w:color w:val="auto"/>
          <w:kern w:val="0"/>
          <w:sz w:val="28"/>
          <w:szCs w:val="28"/>
        </w:rPr>
      </w:pPr>
    </w:p>
    <w:p>
      <w:pPr>
        <w:spacing w:line="360" w:lineRule="auto"/>
        <w:ind w:firstLine="560" w:firstLineChars="200"/>
        <w:rPr>
          <w:rFonts w:ascii="Times New Roman" w:hAnsi="Times New Roman" w:eastAsia="仿宋" w:cs="Times New Roman"/>
          <w:color w:val="auto"/>
          <w:kern w:val="0"/>
          <w:sz w:val="28"/>
          <w:szCs w:val="28"/>
        </w:rPr>
      </w:pPr>
    </w:p>
    <w:p>
      <w:pPr>
        <w:spacing w:line="360" w:lineRule="auto"/>
        <w:ind w:firstLine="560" w:firstLineChars="200"/>
        <w:rPr>
          <w:rFonts w:ascii="Times New Roman" w:hAnsi="Times New Roman" w:eastAsia="仿宋" w:cs="Times New Roman"/>
          <w:color w:val="auto"/>
          <w:kern w:val="0"/>
          <w:sz w:val="28"/>
          <w:szCs w:val="28"/>
        </w:rPr>
      </w:pPr>
    </w:p>
    <w:p>
      <w:pPr>
        <w:spacing w:line="360" w:lineRule="auto"/>
        <w:ind w:firstLine="560" w:firstLineChars="200"/>
        <w:rPr>
          <w:rFonts w:ascii="Times New Roman" w:hAnsi="Times New Roman" w:eastAsia="仿宋" w:cs="Times New Roman"/>
          <w:color w:val="auto"/>
          <w:kern w:val="0"/>
          <w:sz w:val="28"/>
          <w:szCs w:val="28"/>
        </w:rPr>
      </w:pPr>
    </w:p>
    <w:p>
      <w:pPr>
        <w:spacing w:line="360" w:lineRule="auto"/>
        <w:ind w:firstLine="560" w:firstLineChars="200"/>
        <w:rPr>
          <w:rFonts w:ascii="Times New Roman" w:hAnsi="Times New Roman" w:eastAsia="仿宋" w:cs="Times New Roman"/>
          <w:color w:val="auto"/>
          <w:kern w:val="0"/>
          <w:sz w:val="28"/>
          <w:szCs w:val="28"/>
        </w:rPr>
      </w:pPr>
    </w:p>
    <w:p>
      <w:pPr>
        <w:spacing w:line="360" w:lineRule="auto"/>
        <w:ind w:firstLine="560" w:firstLineChars="200"/>
        <w:rPr>
          <w:rFonts w:ascii="Times New Roman" w:hAnsi="Times New Roman" w:eastAsia="仿宋" w:cs="Times New Roman"/>
          <w:color w:val="auto"/>
          <w:kern w:val="0"/>
          <w:sz w:val="28"/>
          <w:szCs w:val="28"/>
        </w:rPr>
        <w:sectPr>
          <w:headerReference r:id="rId18" w:type="default"/>
          <w:pgSz w:w="11906" w:h="16838"/>
          <w:pgMar w:top="1361" w:right="1361" w:bottom="1474" w:left="1418" w:header="1021" w:footer="964" w:gutter="0"/>
          <w:cols w:space="425" w:num="1"/>
          <w:docGrid w:linePitch="312" w:charSpace="0"/>
        </w:sectPr>
      </w:pPr>
    </w:p>
    <w:p>
      <w:pPr>
        <w:ind w:firstLine="562" w:firstLineChars="200"/>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w:t xml:space="preserve">表5.2.3-1         </w:t>
      </w:r>
      <w:r>
        <w:rPr>
          <w:rFonts w:hint="eastAsia" w:ascii="Times New Roman" w:hAnsi="Times New Roman" w:eastAsia="宋体" w:cs="Times New Roman"/>
          <w:b/>
          <w:color w:val="auto"/>
          <w:sz w:val="28"/>
          <w:szCs w:val="28"/>
        </w:rPr>
        <w:t xml:space="preserve">               </w:t>
      </w:r>
      <w:r>
        <w:rPr>
          <w:rFonts w:ascii="Times New Roman" w:hAnsi="Times New Roman" w:eastAsia="宋体" w:cs="Times New Roman"/>
          <w:b/>
          <w:color w:val="auto"/>
          <w:sz w:val="28"/>
          <w:szCs w:val="28"/>
        </w:rPr>
        <w:t xml:space="preserve">           </w:t>
      </w:r>
      <w:r>
        <w:rPr>
          <w:rFonts w:hint="eastAsia" w:ascii="Times New Roman" w:hAnsi="Times New Roman" w:cs="Times New Roman"/>
          <w:b/>
          <w:color w:val="auto"/>
          <w:sz w:val="28"/>
          <w:szCs w:val="28"/>
          <w:lang w:eastAsia="zh-CN"/>
        </w:rPr>
        <w:t>资江流域</w:t>
      </w:r>
      <w:r>
        <w:rPr>
          <w:rFonts w:ascii="Times New Roman" w:hAnsi="Times New Roman" w:eastAsia="宋体" w:cs="Times New Roman"/>
          <w:b/>
          <w:color w:val="auto"/>
          <w:sz w:val="28"/>
          <w:szCs w:val="28"/>
        </w:rPr>
        <w:t>防洪达标评估结果表</w:t>
      </w:r>
    </w:p>
    <w:tbl>
      <w:tblPr>
        <w:tblStyle w:val="15"/>
        <w:tblW w:w="139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286"/>
        <w:gridCol w:w="2835"/>
        <w:gridCol w:w="1090"/>
        <w:gridCol w:w="1090"/>
        <w:gridCol w:w="1090"/>
        <w:gridCol w:w="1090"/>
        <w:gridCol w:w="1090"/>
        <w:gridCol w:w="1091"/>
        <w:gridCol w:w="1091"/>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0"/>
                <w:szCs w:val="20"/>
              </w:rPr>
              <w:t>序号</w:t>
            </w:r>
          </w:p>
        </w:tc>
        <w:tc>
          <w:tcPr>
            <w:tcW w:w="1286" w:type="dxa"/>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0"/>
                <w:szCs w:val="20"/>
              </w:rPr>
              <w:t>河流名称</w:t>
            </w:r>
          </w:p>
        </w:tc>
        <w:tc>
          <w:tcPr>
            <w:tcW w:w="2835" w:type="dxa"/>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0"/>
                <w:szCs w:val="20"/>
              </w:rPr>
              <w:t>防洪区</w:t>
            </w:r>
          </w:p>
        </w:tc>
        <w:tc>
          <w:tcPr>
            <w:tcW w:w="1090" w:type="dxa"/>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0"/>
                <w:szCs w:val="20"/>
              </w:rPr>
              <w:t>河段总长（km）</w:t>
            </w:r>
          </w:p>
        </w:tc>
        <w:tc>
          <w:tcPr>
            <w:tcW w:w="1090" w:type="dxa"/>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0"/>
                <w:szCs w:val="20"/>
              </w:rPr>
              <w:t>城区段已建堤防(km)</w:t>
            </w:r>
          </w:p>
        </w:tc>
        <w:tc>
          <w:tcPr>
            <w:tcW w:w="1090" w:type="dxa"/>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0"/>
                <w:szCs w:val="20"/>
              </w:rPr>
              <w:t>乡村已建堤防（km）</w:t>
            </w:r>
          </w:p>
        </w:tc>
        <w:tc>
          <w:tcPr>
            <w:tcW w:w="1090" w:type="dxa"/>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0"/>
                <w:szCs w:val="20"/>
              </w:rPr>
              <w:t>城区段达标长度（km）</w:t>
            </w:r>
          </w:p>
        </w:tc>
        <w:tc>
          <w:tcPr>
            <w:tcW w:w="1090" w:type="dxa"/>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0"/>
                <w:szCs w:val="20"/>
              </w:rPr>
              <w:t>乡村段达标长度（km）</w:t>
            </w:r>
          </w:p>
        </w:tc>
        <w:tc>
          <w:tcPr>
            <w:tcW w:w="1091" w:type="dxa"/>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0"/>
                <w:szCs w:val="20"/>
              </w:rPr>
              <w:t>重现期（年）</w:t>
            </w:r>
          </w:p>
        </w:tc>
        <w:tc>
          <w:tcPr>
            <w:tcW w:w="1091" w:type="dxa"/>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0"/>
                <w:szCs w:val="20"/>
              </w:rPr>
              <w:t>河流防洪指标FLD（%）</w:t>
            </w:r>
          </w:p>
        </w:tc>
        <w:tc>
          <w:tcPr>
            <w:tcW w:w="1091" w:type="dxa"/>
            <w:shd w:val="clear" w:color="auto" w:fill="auto"/>
            <w:vAlign w:val="center"/>
          </w:tcPr>
          <w:p>
            <w:pPr>
              <w:autoSpaceDE w:val="0"/>
              <w:autoSpaceDN w:val="0"/>
              <w:adjustRightInd w:val="0"/>
              <w:spacing w:line="360" w:lineRule="exact"/>
              <w:jc w:val="center"/>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0"/>
                <w:szCs w:val="20"/>
              </w:rPr>
              <w:t>防洪指标赋分FLDr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 </w:t>
            </w:r>
          </w:p>
        </w:tc>
        <w:tc>
          <w:tcPr>
            <w:tcW w:w="1286" w:type="dxa"/>
            <w:shd w:val="clear" w:color="auto" w:fill="auto"/>
            <w:vAlign w:val="center"/>
          </w:tcPr>
          <w:p>
            <w:pPr>
              <w:spacing w:line="360" w:lineRule="exact"/>
              <w:jc w:val="center"/>
              <w:rPr>
                <w:rFonts w:hint="eastAsia" w:ascii="Times New Roman" w:hAnsi="Times New Roman" w:eastAsia="仿宋" w:cs="Times New Roman"/>
                <w:color w:val="auto"/>
                <w:sz w:val="22"/>
                <w:lang w:eastAsia="zh-CN"/>
              </w:rPr>
            </w:pPr>
            <w:r>
              <w:rPr>
                <w:rFonts w:hint="eastAsia" w:ascii="Times New Roman" w:hAnsi="Times New Roman" w:eastAsia="仿宋" w:cs="Times New Roman"/>
                <w:color w:val="auto"/>
                <w:sz w:val="22"/>
                <w:lang w:eastAsia="zh-CN"/>
              </w:rPr>
              <w:t>资江</w:t>
            </w:r>
          </w:p>
        </w:tc>
        <w:tc>
          <w:tcPr>
            <w:tcW w:w="2835" w:type="dxa"/>
            <w:shd w:val="clear" w:color="auto" w:fill="auto"/>
            <w:vAlign w:val="center"/>
          </w:tcPr>
          <w:p>
            <w:pPr>
              <w:spacing w:line="360" w:lineRule="exact"/>
              <w:jc w:val="center"/>
              <w:rPr>
                <w:rFonts w:ascii="Times New Roman" w:hAnsi="Times New Roman" w:eastAsia="仿宋" w:cs="Times New Roman"/>
                <w:color w:val="auto"/>
                <w:sz w:val="22"/>
              </w:rPr>
            </w:pPr>
            <w:r>
              <w:rPr>
                <w:rFonts w:hint="eastAsia" w:ascii="Times New Roman" w:hAnsi="Times New Roman" w:eastAsia="仿宋" w:cs="Times New Roman"/>
                <w:color w:val="auto"/>
                <w:sz w:val="22"/>
                <w:lang w:eastAsia="zh-CN"/>
              </w:rPr>
              <w:t>资江</w:t>
            </w:r>
            <w:r>
              <w:rPr>
                <w:rFonts w:ascii="Times New Roman" w:hAnsi="Times New Roman" w:eastAsia="仿宋" w:cs="Times New Roman"/>
                <w:color w:val="auto"/>
                <w:sz w:val="22"/>
              </w:rPr>
              <w:t>保护段</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34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34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95.8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2 </w:t>
            </w:r>
          </w:p>
        </w:tc>
        <w:tc>
          <w:tcPr>
            <w:tcW w:w="1286" w:type="dxa"/>
            <w:shd w:val="clear" w:color="auto" w:fill="auto"/>
            <w:vAlign w:val="center"/>
          </w:tcPr>
          <w:p>
            <w:pPr>
              <w:spacing w:line="360" w:lineRule="exact"/>
              <w:jc w:val="center"/>
              <w:rPr>
                <w:rFonts w:hint="eastAsia" w:ascii="Times New Roman" w:hAnsi="Times New Roman" w:eastAsia="仿宋" w:cs="Times New Roman"/>
                <w:color w:val="auto"/>
                <w:sz w:val="22"/>
                <w:lang w:eastAsia="zh-CN"/>
              </w:rPr>
            </w:pPr>
            <w:r>
              <w:rPr>
                <w:rFonts w:hint="eastAsia" w:ascii="Times New Roman" w:hAnsi="Times New Roman" w:eastAsia="仿宋" w:cs="Times New Roman"/>
                <w:color w:val="auto"/>
                <w:sz w:val="22"/>
                <w:lang w:eastAsia="zh-CN"/>
              </w:rPr>
              <w:t>资江</w:t>
            </w:r>
          </w:p>
        </w:tc>
        <w:tc>
          <w:tcPr>
            <w:tcW w:w="2835" w:type="dxa"/>
            <w:shd w:val="clear" w:color="auto" w:fill="auto"/>
            <w:vAlign w:val="center"/>
          </w:tcPr>
          <w:p>
            <w:pPr>
              <w:spacing w:line="360" w:lineRule="exact"/>
              <w:jc w:val="center"/>
              <w:rPr>
                <w:rFonts w:ascii="Times New Roman" w:hAnsi="Times New Roman" w:eastAsia="仿宋" w:cs="Times New Roman"/>
                <w:color w:val="auto"/>
                <w:sz w:val="22"/>
              </w:rPr>
            </w:pPr>
            <w:r>
              <w:rPr>
                <w:rFonts w:hint="eastAsia" w:ascii="Times New Roman" w:hAnsi="Times New Roman" w:eastAsia="仿宋" w:cs="Times New Roman"/>
                <w:color w:val="auto"/>
                <w:sz w:val="22"/>
                <w:lang w:eastAsia="zh-CN"/>
              </w:rPr>
              <w:t>资江保护段</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20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8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18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95.8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3 </w:t>
            </w:r>
          </w:p>
        </w:tc>
        <w:tc>
          <w:tcPr>
            <w:tcW w:w="1286" w:type="dxa"/>
            <w:shd w:val="clear" w:color="auto" w:fill="auto"/>
            <w:vAlign w:val="center"/>
          </w:tcPr>
          <w:p>
            <w:pPr>
              <w:spacing w:line="360" w:lineRule="exact"/>
              <w:jc w:val="center"/>
              <w:rPr>
                <w:rFonts w:hint="eastAsia" w:ascii="Times New Roman" w:hAnsi="Times New Roman" w:eastAsia="仿宋" w:cs="Times New Roman"/>
                <w:color w:val="auto"/>
                <w:sz w:val="22"/>
                <w:lang w:eastAsia="zh-CN"/>
              </w:rPr>
            </w:pPr>
            <w:r>
              <w:rPr>
                <w:rFonts w:hint="eastAsia" w:ascii="Times New Roman" w:hAnsi="Times New Roman" w:eastAsia="仿宋" w:cs="Times New Roman"/>
                <w:color w:val="auto"/>
                <w:sz w:val="22"/>
                <w:lang w:eastAsia="zh-CN"/>
              </w:rPr>
              <w:t>资江</w:t>
            </w:r>
          </w:p>
        </w:tc>
        <w:tc>
          <w:tcPr>
            <w:tcW w:w="2835" w:type="dxa"/>
            <w:shd w:val="clear" w:color="auto" w:fill="auto"/>
            <w:vAlign w:val="center"/>
          </w:tcPr>
          <w:p>
            <w:pPr>
              <w:spacing w:line="360" w:lineRule="exact"/>
              <w:jc w:val="center"/>
              <w:rPr>
                <w:rFonts w:ascii="Times New Roman" w:hAnsi="Times New Roman" w:eastAsia="仿宋" w:cs="Times New Roman"/>
                <w:color w:val="auto"/>
                <w:sz w:val="22"/>
              </w:rPr>
            </w:pPr>
            <w:r>
              <w:rPr>
                <w:rFonts w:hint="eastAsia" w:ascii="Times New Roman" w:hAnsi="Times New Roman" w:eastAsia="仿宋" w:cs="Times New Roman"/>
                <w:color w:val="auto"/>
                <w:sz w:val="22"/>
                <w:lang w:eastAsia="zh-CN"/>
              </w:rPr>
              <w:t>资江枫木段</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39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2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37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20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95.8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4 </w:t>
            </w:r>
          </w:p>
        </w:tc>
        <w:tc>
          <w:tcPr>
            <w:tcW w:w="1286" w:type="dxa"/>
            <w:shd w:val="clear" w:color="auto" w:fill="auto"/>
            <w:vAlign w:val="center"/>
          </w:tcPr>
          <w:p>
            <w:pPr>
              <w:spacing w:line="360" w:lineRule="exact"/>
              <w:jc w:val="center"/>
              <w:rPr>
                <w:rFonts w:hint="eastAsia" w:ascii="Times New Roman" w:hAnsi="Times New Roman" w:eastAsia="仿宋" w:cs="Times New Roman"/>
                <w:color w:val="auto"/>
                <w:sz w:val="22"/>
                <w:lang w:eastAsia="zh-CN"/>
              </w:rPr>
            </w:pPr>
            <w:r>
              <w:rPr>
                <w:rFonts w:hint="eastAsia" w:ascii="Times New Roman" w:hAnsi="Times New Roman" w:eastAsia="仿宋" w:cs="Times New Roman"/>
                <w:color w:val="auto"/>
                <w:sz w:val="22"/>
                <w:lang w:eastAsia="zh-CN"/>
              </w:rPr>
              <w:t>资江</w:t>
            </w:r>
          </w:p>
        </w:tc>
        <w:tc>
          <w:tcPr>
            <w:tcW w:w="2835" w:type="dxa"/>
            <w:shd w:val="clear" w:color="auto" w:fill="auto"/>
            <w:vAlign w:val="center"/>
          </w:tcPr>
          <w:p>
            <w:pPr>
              <w:spacing w:line="360" w:lineRule="exact"/>
              <w:jc w:val="center"/>
              <w:rPr>
                <w:rFonts w:ascii="Times New Roman" w:hAnsi="Times New Roman" w:eastAsia="仿宋" w:cs="Times New Roman"/>
                <w:color w:val="auto"/>
                <w:sz w:val="22"/>
              </w:rPr>
            </w:pPr>
            <w:r>
              <w:rPr>
                <w:rFonts w:hint="eastAsia" w:ascii="Times New Roman" w:hAnsi="Times New Roman" w:eastAsia="仿宋" w:cs="Times New Roman"/>
                <w:color w:val="auto"/>
                <w:sz w:val="22"/>
                <w:lang w:eastAsia="zh-CN"/>
              </w:rPr>
              <w:t>资江县城段</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52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18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5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37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16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20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95.8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5 </w:t>
            </w:r>
          </w:p>
        </w:tc>
        <w:tc>
          <w:tcPr>
            <w:tcW w:w="1286" w:type="dxa"/>
            <w:shd w:val="clear" w:color="auto" w:fill="auto"/>
            <w:vAlign w:val="center"/>
          </w:tcPr>
          <w:p>
            <w:pPr>
              <w:spacing w:line="360" w:lineRule="exact"/>
              <w:jc w:val="center"/>
              <w:rPr>
                <w:rFonts w:hint="eastAsia" w:ascii="Times New Roman" w:hAnsi="Times New Roman" w:eastAsia="仿宋" w:cs="Times New Roman"/>
                <w:color w:val="auto"/>
                <w:sz w:val="22"/>
                <w:lang w:eastAsia="zh-CN"/>
              </w:rPr>
            </w:pPr>
            <w:r>
              <w:rPr>
                <w:rFonts w:hint="eastAsia" w:ascii="Times New Roman" w:hAnsi="Times New Roman" w:eastAsia="仿宋" w:cs="Times New Roman"/>
                <w:color w:val="auto"/>
                <w:sz w:val="22"/>
                <w:lang w:eastAsia="zh-CN"/>
              </w:rPr>
              <w:t>资江</w:t>
            </w:r>
          </w:p>
        </w:tc>
        <w:tc>
          <w:tcPr>
            <w:tcW w:w="2835" w:type="dxa"/>
            <w:shd w:val="clear" w:color="auto" w:fill="auto"/>
            <w:vAlign w:val="center"/>
          </w:tcPr>
          <w:p>
            <w:pPr>
              <w:spacing w:line="360" w:lineRule="exact"/>
              <w:jc w:val="center"/>
              <w:rPr>
                <w:rFonts w:ascii="Times New Roman" w:hAnsi="Times New Roman" w:eastAsia="仿宋" w:cs="Times New Roman"/>
                <w:color w:val="auto"/>
                <w:sz w:val="22"/>
              </w:rPr>
            </w:pPr>
            <w:r>
              <w:rPr>
                <w:rFonts w:hint="eastAsia" w:ascii="Times New Roman" w:hAnsi="Times New Roman" w:eastAsia="仿宋" w:cs="Times New Roman"/>
                <w:color w:val="auto"/>
                <w:sz w:val="22"/>
                <w:lang w:eastAsia="zh-CN"/>
              </w:rPr>
              <w:t>资江县城段</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55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3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8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3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52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20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95.8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6 </w:t>
            </w:r>
          </w:p>
        </w:tc>
        <w:tc>
          <w:tcPr>
            <w:tcW w:w="1286" w:type="dxa"/>
            <w:shd w:val="clear" w:color="auto" w:fill="auto"/>
            <w:vAlign w:val="center"/>
          </w:tcPr>
          <w:p>
            <w:pPr>
              <w:spacing w:line="360" w:lineRule="exact"/>
              <w:jc w:val="center"/>
              <w:rPr>
                <w:rFonts w:hint="eastAsia" w:ascii="Times New Roman" w:hAnsi="Times New Roman" w:eastAsia="仿宋" w:cs="Times New Roman"/>
                <w:color w:val="auto"/>
                <w:sz w:val="22"/>
                <w:lang w:eastAsia="zh-CN"/>
              </w:rPr>
            </w:pPr>
            <w:r>
              <w:rPr>
                <w:rFonts w:hint="eastAsia" w:ascii="Times New Roman" w:hAnsi="Times New Roman" w:eastAsia="仿宋" w:cs="Times New Roman"/>
                <w:color w:val="auto"/>
                <w:sz w:val="22"/>
                <w:lang w:eastAsia="zh-CN"/>
              </w:rPr>
              <w:t>资江</w:t>
            </w:r>
          </w:p>
        </w:tc>
        <w:tc>
          <w:tcPr>
            <w:tcW w:w="2835" w:type="dxa"/>
            <w:shd w:val="clear" w:color="auto" w:fill="auto"/>
            <w:vAlign w:val="center"/>
          </w:tcPr>
          <w:p>
            <w:pPr>
              <w:spacing w:line="360" w:lineRule="exact"/>
              <w:jc w:val="center"/>
              <w:rPr>
                <w:rFonts w:ascii="Times New Roman" w:hAnsi="Times New Roman" w:eastAsia="仿宋" w:cs="Times New Roman"/>
                <w:color w:val="auto"/>
                <w:sz w:val="22"/>
              </w:rPr>
            </w:pPr>
            <w:r>
              <w:rPr>
                <w:rFonts w:hint="eastAsia" w:ascii="Times New Roman" w:hAnsi="Times New Roman" w:eastAsia="仿宋" w:cs="Times New Roman"/>
                <w:color w:val="auto"/>
                <w:sz w:val="22"/>
                <w:lang w:eastAsia="zh-CN"/>
              </w:rPr>
              <w:t>资江梅溪</w:t>
            </w:r>
            <w:r>
              <w:rPr>
                <w:rFonts w:ascii="Times New Roman" w:hAnsi="Times New Roman" w:eastAsia="仿宋" w:cs="Times New Roman"/>
                <w:color w:val="auto"/>
                <w:sz w:val="22"/>
              </w:rPr>
              <w:t>开发段</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37.0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4.1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13.2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4.1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33.0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20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95.8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11 </w:t>
            </w:r>
          </w:p>
        </w:tc>
        <w:tc>
          <w:tcPr>
            <w:tcW w:w="1286" w:type="dxa"/>
            <w:shd w:val="clear" w:color="auto" w:fill="auto"/>
            <w:vAlign w:val="center"/>
          </w:tcPr>
          <w:p>
            <w:pPr>
              <w:spacing w:line="360" w:lineRule="exact"/>
              <w:jc w:val="center"/>
              <w:rPr>
                <w:rFonts w:hint="eastAsia" w:ascii="Times New Roman" w:hAnsi="Times New Roman" w:eastAsia="仿宋" w:cs="Times New Roman"/>
                <w:color w:val="auto"/>
                <w:sz w:val="22"/>
                <w:lang w:eastAsia="zh-CN"/>
              </w:rPr>
            </w:pPr>
            <w:r>
              <w:rPr>
                <w:rFonts w:hint="eastAsia" w:ascii="Times New Roman" w:hAnsi="Times New Roman" w:eastAsia="仿宋" w:cs="Times New Roman"/>
                <w:color w:val="auto"/>
                <w:sz w:val="22"/>
                <w:lang w:eastAsia="zh-CN"/>
              </w:rPr>
              <w:t>白竹洞河</w:t>
            </w:r>
          </w:p>
        </w:tc>
        <w:tc>
          <w:tcPr>
            <w:tcW w:w="2835" w:type="dxa"/>
            <w:shd w:val="clear" w:color="auto" w:fill="auto"/>
            <w:vAlign w:val="center"/>
          </w:tcPr>
          <w:p>
            <w:pPr>
              <w:spacing w:line="360" w:lineRule="exact"/>
              <w:jc w:val="center"/>
              <w:rPr>
                <w:rFonts w:ascii="Times New Roman" w:hAnsi="Times New Roman" w:eastAsia="仿宋" w:cs="Times New Roman"/>
                <w:color w:val="auto"/>
                <w:sz w:val="22"/>
              </w:rPr>
            </w:pPr>
            <w:r>
              <w:rPr>
                <w:rFonts w:hint="eastAsia" w:ascii="Times New Roman" w:hAnsi="Times New Roman" w:eastAsia="仿宋" w:cs="Times New Roman"/>
                <w:color w:val="auto"/>
                <w:sz w:val="22"/>
                <w:lang w:eastAsia="zh-CN"/>
              </w:rPr>
              <w:t>白竹洞河</w:t>
            </w:r>
            <w:r>
              <w:rPr>
                <w:rFonts w:ascii="Times New Roman" w:hAnsi="Times New Roman" w:eastAsia="仿宋" w:cs="Times New Roman"/>
                <w:color w:val="auto"/>
                <w:sz w:val="22"/>
              </w:rPr>
              <w:t>保护段</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41.0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41.0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96.2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12 </w:t>
            </w:r>
          </w:p>
        </w:tc>
        <w:tc>
          <w:tcPr>
            <w:tcW w:w="1286" w:type="dxa"/>
            <w:shd w:val="clear" w:color="auto" w:fill="auto"/>
            <w:vAlign w:val="center"/>
          </w:tcPr>
          <w:p>
            <w:pPr>
              <w:spacing w:line="360" w:lineRule="exact"/>
              <w:jc w:val="center"/>
              <w:rPr>
                <w:rFonts w:hint="eastAsia" w:ascii="Times New Roman" w:hAnsi="Times New Roman" w:eastAsia="仿宋" w:cs="Times New Roman"/>
                <w:color w:val="auto"/>
                <w:sz w:val="22"/>
                <w:lang w:eastAsia="zh-CN"/>
              </w:rPr>
            </w:pPr>
            <w:r>
              <w:rPr>
                <w:rFonts w:hint="eastAsia" w:ascii="Times New Roman" w:hAnsi="Times New Roman" w:eastAsia="仿宋" w:cs="Times New Roman"/>
                <w:color w:val="auto"/>
                <w:sz w:val="22"/>
                <w:lang w:eastAsia="zh-CN"/>
              </w:rPr>
              <w:t>白竹洞河</w:t>
            </w:r>
          </w:p>
        </w:tc>
        <w:tc>
          <w:tcPr>
            <w:tcW w:w="2835" w:type="dxa"/>
            <w:shd w:val="clear" w:color="auto" w:fill="auto"/>
            <w:vAlign w:val="center"/>
          </w:tcPr>
          <w:p>
            <w:pPr>
              <w:spacing w:line="360" w:lineRule="exact"/>
              <w:jc w:val="center"/>
              <w:rPr>
                <w:rFonts w:ascii="Times New Roman" w:hAnsi="Times New Roman" w:eastAsia="仿宋" w:cs="Times New Roman"/>
                <w:color w:val="auto"/>
                <w:sz w:val="22"/>
              </w:rPr>
            </w:pPr>
            <w:r>
              <w:rPr>
                <w:rFonts w:hint="eastAsia" w:ascii="Times New Roman" w:hAnsi="Times New Roman" w:eastAsia="仿宋" w:cs="Times New Roman"/>
                <w:color w:val="auto"/>
                <w:sz w:val="22"/>
                <w:lang w:eastAsia="zh-CN"/>
              </w:rPr>
              <w:t>白竹洞河</w:t>
            </w:r>
            <w:r>
              <w:rPr>
                <w:rFonts w:ascii="Times New Roman" w:hAnsi="Times New Roman" w:eastAsia="仿宋" w:cs="Times New Roman"/>
                <w:color w:val="auto"/>
                <w:sz w:val="22"/>
              </w:rPr>
              <w:t>保留段</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30.0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30.0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96.2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13 </w:t>
            </w:r>
          </w:p>
        </w:tc>
        <w:tc>
          <w:tcPr>
            <w:tcW w:w="1286" w:type="dxa"/>
            <w:shd w:val="clear" w:color="auto" w:fill="auto"/>
            <w:vAlign w:val="center"/>
          </w:tcPr>
          <w:p>
            <w:pPr>
              <w:spacing w:line="360" w:lineRule="exact"/>
              <w:jc w:val="center"/>
              <w:rPr>
                <w:rFonts w:hint="eastAsia" w:ascii="Times New Roman" w:hAnsi="Times New Roman" w:eastAsia="仿宋" w:cs="Times New Roman"/>
                <w:color w:val="auto"/>
                <w:sz w:val="22"/>
                <w:lang w:eastAsia="zh-CN"/>
              </w:rPr>
            </w:pPr>
            <w:r>
              <w:rPr>
                <w:rFonts w:hint="eastAsia" w:ascii="Times New Roman" w:hAnsi="Times New Roman" w:eastAsia="仿宋" w:cs="Times New Roman"/>
                <w:color w:val="auto"/>
                <w:sz w:val="22"/>
                <w:lang w:eastAsia="zh-CN"/>
              </w:rPr>
              <w:t>白竹洞河</w:t>
            </w:r>
          </w:p>
        </w:tc>
        <w:tc>
          <w:tcPr>
            <w:tcW w:w="2835" w:type="dxa"/>
            <w:shd w:val="clear" w:color="auto" w:fill="auto"/>
            <w:vAlign w:val="center"/>
          </w:tcPr>
          <w:p>
            <w:pPr>
              <w:spacing w:line="360" w:lineRule="exact"/>
              <w:jc w:val="center"/>
              <w:rPr>
                <w:rFonts w:ascii="Times New Roman" w:hAnsi="Times New Roman" w:eastAsia="仿宋" w:cs="Times New Roman"/>
                <w:color w:val="auto"/>
                <w:sz w:val="22"/>
              </w:rPr>
            </w:pPr>
            <w:r>
              <w:rPr>
                <w:rFonts w:hint="eastAsia" w:ascii="Times New Roman" w:hAnsi="Times New Roman" w:eastAsia="仿宋" w:cs="Times New Roman"/>
                <w:color w:val="auto"/>
                <w:sz w:val="22"/>
                <w:lang w:eastAsia="zh-CN"/>
              </w:rPr>
              <w:t>白竹洞河开发段</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81.0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2.2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5.6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2.2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73.7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20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96.2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14 </w:t>
            </w:r>
          </w:p>
        </w:tc>
        <w:tc>
          <w:tcPr>
            <w:tcW w:w="1286" w:type="dxa"/>
            <w:shd w:val="clear" w:color="auto" w:fill="auto"/>
            <w:vAlign w:val="center"/>
          </w:tcPr>
          <w:p>
            <w:pPr>
              <w:spacing w:line="360" w:lineRule="exact"/>
              <w:jc w:val="center"/>
              <w:rPr>
                <w:rFonts w:hint="eastAsia" w:ascii="Times New Roman" w:hAnsi="Times New Roman" w:eastAsia="仿宋" w:cs="Times New Roman"/>
                <w:color w:val="auto"/>
                <w:sz w:val="22"/>
                <w:lang w:eastAsia="zh-CN"/>
              </w:rPr>
            </w:pPr>
            <w:r>
              <w:rPr>
                <w:rFonts w:hint="eastAsia" w:ascii="Times New Roman" w:hAnsi="Times New Roman" w:eastAsia="仿宋" w:cs="Times New Roman"/>
                <w:color w:val="auto"/>
                <w:sz w:val="22"/>
                <w:lang w:eastAsia="zh-CN"/>
              </w:rPr>
              <w:t>大湾河</w:t>
            </w:r>
          </w:p>
        </w:tc>
        <w:tc>
          <w:tcPr>
            <w:tcW w:w="2835" w:type="dxa"/>
            <w:shd w:val="clear" w:color="auto" w:fill="auto"/>
            <w:vAlign w:val="center"/>
          </w:tcPr>
          <w:p>
            <w:pPr>
              <w:spacing w:line="360" w:lineRule="exact"/>
              <w:jc w:val="center"/>
              <w:rPr>
                <w:rFonts w:ascii="Times New Roman" w:hAnsi="Times New Roman" w:eastAsia="仿宋" w:cs="Times New Roman"/>
                <w:color w:val="auto"/>
                <w:sz w:val="22"/>
              </w:rPr>
            </w:pPr>
            <w:r>
              <w:rPr>
                <w:rFonts w:hint="eastAsia" w:ascii="Times New Roman" w:hAnsi="Times New Roman" w:eastAsia="仿宋" w:cs="Times New Roman"/>
                <w:color w:val="auto"/>
                <w:sz w:val="22"/>
                <w:lang w:eastAsia="zh-CN"/>
              </w:rPr>
              <w:t>大湾河</w:t>
            </w:r>
            <w:r>
              <w:rPr>
                <w:rFonts w:ascii="Times New Roman" w:hAnsi="Times New Roman" w:eastAsia="仿宋" w:cs="Times New Roman"/>
                <w:color w:val="auto"/>
                <w:sz w:val="22"/>
              </w:rPr>
              <w:t>保护段</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35.0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35.0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94.2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96.2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15 </w:t>
            </w:r>
          </w:p>
        </w:tc>
        <w:tc>
          <w:tcPr>
            <w:tcW w:w="1286" w:type="dxa"/>
            <w:shd w:val="clear" w:color="auto" w:fill="auto"/>
            <w:vAlign w:val="center"/>
          </w:tcPr>
          <w:p>
            <w:pPr>
              <w:spacing w:line="360" w:lineRule="exact"/>
              <w:jc w:val="center"/>
              <w:rPr>
                <w:rFonts w:hint="eastAsia" w:ascii="Times New Roman" w:hAnsi="Times New Roman" w:eastAsia="仿宋" w:cs="Times New Roman"/>
                <w:color w:val="auto"/>
                <w:sz w:val="22"/>
                <w:lang w:eastAsia="zh-CN"/>
              </w:rPr>
            </w:pPr>
            <w:r>
              <w:rPr>
                <w:rFonts w:hint="eastAsia" w:ascii="Times New Roman" w:hAnsi="Times New Roman" w:eastAsia="仿宋" w:cs="Times New Roman"/>
                <w:color w:val="auto"/>
                <w:sz w:val="22"/>
                <w:lang w:eastAsia="zh-CN"/>
              </w:rPr>
              <w:t>大湾河</w:t>
            </w:r>
          </w:p>
        </w:tc>
        <w:tc>
          <w:tcPr>
            <w:tcW w:w="2835" w:type="dxa"/>
            <w:shd w:val="clear" w:color="auto" w:fill="auto"/>
            <w:vAlign w:val="center"/>
          </w:tcPr>
          <w:p>
            <w:pPr>
              <w:spacing w:line="360" w:lineRule="exact"/>
              <w:jc w:val="center"/>
              <w:rPr>
                <w:rFonts w:ascii="Times New Roman" w:hAnsi="Times New Roman" w:eastAsia="仿宋" w:cs="Times New Roman"/>
                <w:color w:val="auto"/>
                <w:sz w:val="22"/>
              </w:rPr>
            </w:pPr>
            <w:r>
              <w:rPr>
                <w:rFonts w:hint="eastAsia" w:ascii="Times New Roman" w:hAnsi="Times New Roman" w:eastAsia="仿宋" w:cs="Times New Roman"/>
                <w:color w:val="auto"/>
                <w:sz w:val="22"/>
                <w:lang w:eastAsia="zh-CN"/>
              </w:rPr>
              <w:t>大湾河开发段</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87.0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2.2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4.9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2.2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77.9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20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94.2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96.2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16 </w:t>
            </w:r>
          </w:p>
        </w:tc>
        <w:tc>
          <w:tcPr>
            <w:tcW w:w="1286" w:type="dxa"/>
            <w:shd w:val="clear" w:color="auto" w:fill="auto"/>
            <w:vAlign w:val="center"/>
          </w:tcPr>
          <w:p>
            <w:pPr>
              <w:spacing w:line="360" w:lineRule="exact"/>
              <w:jc w:val="center"/>
              <w:rPr>
                <w:rFonts w:hint="eastAsia" w:ascii="Times New Roman" w:hAnsi="Times New Roman" w:eastAsia="仿宋" w:cs="Times New Roman"/>
                <w:color w:val="auto"/>
                <w:sz w:val="22"/>
                <w:lang w:eastAsia="zh-CN"/>
              </w:rPr>
            </w:pPr>
            <w:r>
              <w:rPr>
                <w:rFonts w:hint="eastAsia" w:ascii="Times New Roman" w:hAnsi="Times New Roman" w:eastAsia="仿宋" w:cs="Times New Roman"/>
                <w:color w:val="auto"/>
                <w:sz w:val="22"/>
                <w:lang w:eastAsia="zh-CN"/>
              </w:rPr>
              <w:t>瓜里河</w:t>
            </w:r>
          </w:p>
        </w:tc>
        <w:tc>
          <w:tcPr>
            <w:tcW w:w="2835" w:type="dxa"/>
            <w:shd w:val="clear" w:color="auto" w:fill="auto"/>
            <w:vAlign w:val="center"/>
          </w:tcPr>
          <w:p>
            <w:pPr>
              <w:spacing w:line="360" w:lineRule="exact"/>
              <w:jc w:val="center"/>
              <w:rPr>
                <w:rFonts w:ascii="Times New Roman" w:hAnsi="Times New Roman" w:eastAsia="仿宋" w:cs="Times New Roman"/>
                <w:color w:val="auto"/>
                <w:sz w:val="22"/>
              </w:rPr>
            </w:pPr>
            <w:r>
              <w:rPr>
                <w:rFonts w:hint="eastAsia" w:ascii="Times New Roman" w:hAnsi="Times New Roman" w:eastAsia="仿宋" w:cs="Times New Roman"/>
                <w:color w:val="auto"/>
                <w:sz w:val="22"/>
                <w:lang w:eastAsia="zh-CN"/>
              </w:rPr>
              <w:t>瓜里河</w:t>
            </w:r>
            <w:r>
              <w:rPr>
                <w:rFonts w:ascii="Times New Roman" w:hAnsi="Times New Roman" w:eastAsia="仿宋" w:cs="Times New Roman"/>
                <w:color w:val="auto"/>
                <w:sz w:val="22"/>
              </w:rPr>
              <w:t>保护段</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15.0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15.0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97.0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17</w:t>
            </w:r>
          </w:p>
        </w:tc>
        <w:tc>
          <w:tcPr>
            <w:tcW w:w="1286" w:type="dxa"/>
            <w:shd w:val="clear" w:color="auto" w:fill="auto"/>
            <w:vAlign w:val="center"/>
          </w:tcPr>
          <w:p>
            <w:pPr>
              <w:spacing w:line="360" w:lineRule="exact"/>
              <w:jc w:val="center"/>
              <w:rPr>
                <w:rFonts w:hint="eastAsia" w:ascii="Times New Roman" w:hAnsi="Times New Roman" w:eastAsia="仿宋" w:cs="Times New Roman"/>
                <w:color w:val="auto"/>
                <w:sz w:val="22"/>
                <w:lang w:eastAsia="zh-CN"/>
              </w:rPr>
            </w:pPr>
            <w:r>
              <w:rPr>
                <w:rFonts w:hint="eastAsia" w:ascii="Times New Roman" w:hAnsi="Times New Roman" w:eastAsia="仿宋" w:cs="Times New Roman"/>
                <w:color w:val="auto"/>
                <w:sz w:val="22"/>
                <w:lang w:eastAsia="zh-CN"/>
              </w:rPr>
              <w:t>瓜里河</w:t>
            </w:r>
          </w:p>
        </w:tc>
        <w:tc>
          <w:tcPr>
            <w:tcW w:w="2835" w:type="dxa"/>
            <w:shd w:val="clear" w:color="auto" w:fill="auto"/>
            <w:vAlign w:val="center"/>
          </w:tcPr>
          <w:p>
            <w:pPr>
              <w:spacing w:line="360" w:lineRule="exact"/>
              <w:jc w:val="center"/>
              <w:rPr>
                <w:rFonts w:ascii="Times New Roman" w:hAnsi="Times New Roman" w:eastAsia="仿宋" w:cs="Times New Roman"/>
                <w:color w:val="auto"/>
                <w:sz w:val="22"/>
              </w:rPr>
            </w:pPr>
            <w:r>
              <w:rPr>
                <w:rFonts w:hint="eastAsia" w:ascii="Times New Roman" w:hAnsi="Times New Roman" w:eastAsia="仿宋" w:cs="Times New Roman"/>
                <w:color w:val="auto"/>
                <w:sz w:val="22"/>
                <w:lang w:eastAsia="zh-CN"/>
              </w:rPr>
              <w:t>瓜里河保留段</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49.0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49.0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97.0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18</w:t>
            </w:r>
          </w:p>
        </w:tc>
        <w:tc>
          <w:tcPr>
            <w:tcW w:w="1286" w:type="dxa"/>
            <w:shd w:val="clear" w:color="auto" w:fill="auto"/>
            <w:vAlign w:val="center"/>
          </w:tcPr>
          <w:p>
            <w:pPr>
              <w:spacing w:line="360" w:lineRule="exact"/>
              <w:jc w:val="center"/>
              <w:rPr>
                <w:rFonts w:hint="eastAsia" w:ascii="Times New Roman" w:hAnsi="Times New Roman" w:eastAsia="仿宋" w:cs="Times New Roman"/>
                <w:color w:val="auto"/>
                <w:sz w:val="22"/>
                <w:lang w:eastAsia="zh-CN"/>
              </w:rPr>
            </w:pPr>
            <w:r>
              <w:rPr>
                <w:rFonts w:hint="eastAsia" w:ascii="Times New Roman" w:hAnsi="Times New Roman" w:eastAsia="仿宋" w:cs="Times New Roman"/>
                <w:color w:val="auto"/>
                <w:sz w:val="22"/>
                <w:lang w:eastAsia="zh-CN"/>
              </w:rPr>
              <w:t>瓜里河</w:t>
            </w:r>
          </w:p>
        </w:tc>
        <w:tc>
          <w:tcPr>
            <w:tcW w:w="2835" w:type="dxa"/>
            <w:shd w:val="clear" w:color="auto" w:fill="auto"/>
            <w:vAlign w:val="center"/>
          </w:tcPr>
          <w:p>
            <w:pPr>
              <w:spacing w:line="360" w:lineRule="exact"/>
              <w:jc w:val="center"/>
              <w:rPr>
                <w:rFonts w:ascii="Times New Roman" w:hAnsi="Times New Roman" w:eastAsia="仿宋" w:cs="Times New Roman"/>
                <w:color w:val="auto"/>
                <w:sz w:val="22"/>
              </w:rPr>
            </w:pPr>
            <w:r>
              <w:rPr>
                <w:rFonts w:hint="eastAsia" w:ascii="Times New Roman" w:hAnsi="Times New Roman" w:eastAsia="仿宋" w:cs="Times New Roman"/>
                <w:color w:val="auto"/>
                <w:sz w:val="22"/>
                <w:lang w:eastAsia="zh-CN"/>
              </w:rPr>
              <w:t>瓜里河开发段</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50.0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46.6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97.0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19</w:t>
            </w:r>
          </w:p>
        </w:tc>
        <w:tc>
          <w:tcPr>
            <w:tcW w:w="1286" w:type="dxa"/>
            <w:shd w:val="clear" w:color="auto" w:fill="auto"/>
            <w:vAlign w:val="center"/>
          </w:tcPr>
          <w:p>
            <w:pPr>
              <w:spacing w:line="360" w:lineRule="exact"/>
              <w:jc w:val="center"/>
              <w:rPr>
                <w:rFonts w:hint="eastAsia" w:ascii="Times New Roman" w:hAnsi="Times New Roman" w:eastAsia="仿宋" w:cs="Times New Roman"/>
                <w:color w:val="auto"/>
                <w:sz w:val="22"/>
                <w:lang w:eastAsia="zh-CN"/>
              </w:rPr>
            </w:pPr>
            <w:r>
              <w:rPr>
                <w:rFonts w:hint="eastAsia" w:ascii="Times New Roman" w:hAnsi="Times New Roman" w:eastAsia="仿宋" w:cs="Times New Roman"/>
                <w:color w:val="auto"/>
                <w:sz w:val="22"/>
                <w:lang w:eastAsia="zh-CN"/>
              </w:rPr>
              <w:t>木厂水</w:t>
            </w:r>
          </w:p>
        </w:tc>
        <w:tc>
          <w:tcPr>
            <w:tcW w:w="2835" w:type="dxa"/>
            <w:shd w:val="clear" w:color="auto" w:fill="auto"/>
            <w:vAlign w:val="center"/>
          </w:tcPr>
          <w:p>
            <w:pPr>
              <w:spacing w:line="360" w:lineRule="exact"/>
              <w:jc w:val="center"/>
              <w:rPr>
                <w:rFonts w:ascii="Times New Roman" w:hAnsi="Times New Roman" w:eastAsia="仿宋" w:cs="Times New Roman"/>
                <w:color w:val="auto"/>
                <w:sz w:val="22"/>
              </w:rPr>
            </w:pPr>
            <w:r>
              <w:rPr>
                <w:rFonts w:hint="eastAsia" w:ascii="Times New Roman" w:hAnsi="Times New Roman" w:eastAsia="仿宋" w:cs="Times New Roman"/>
                <w:color w:val="auto"/>
                <w:sz w:val="22"/>
                <w:lang w:eastAsia="zh-CN"/>
              </w:rPr>
              <w:t>木厂水</w:t>
            </w:r>
            <w:r>
              <w:rPr>
                <w:rFonts w:ascii="Times New Roman" w:hAnsi="Times New Roman" w:eastAsia="仿宋" w:cs="Times New Roman"/>
                <w:color w:val="auto"/>
                <w:sz w:val="22"/>
              </w:rPr>
              <w:t>平桂昭平保留段</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16.2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0.0 </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16.2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98.2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20</w:t>
            </w:r>
          </w:p>
        </w:tc>
        <w:tc>
          <w:tcPr>
            <w:tcW w:w="1286" w:type="dxa"/>
            <w:shd w:val="clear" w:color="auto" w:fill="auto"/>
            <w:vAlign w:val="center"/>
          </w:tcPr>
          <w:p>
            <w:pPr>
              <w:spacing w:line="360" w:lineRule="exact"/>
              <w:jc w:val="center"/>
              <w:rPr>
                <w:rFonts w:hint="eastAsia" w:ascii="Times New Roman" w:hAnsi="Times New Roman" w:eastAsia="仿宋" w:cs="Times New Roman"/>
                <w:color w:val="auto"/>
                <w:sz w:val="22"/>
                <w:lang w:eastAsia="zh-CN"/>
              </w:rPr>
            </w:pPr>
            <w:r>
              <w:rPr>
                <w:rFonts w:hint="eastAsia" w:ascii="Times New Roman" w:hAnsi="Times New Roman" w:eastAsia="仿宋" w:cs="Times New Roman"/>
                <w:color w:val="auto"/>
                <w:sz w:val="22"/>
                <w:lang w:eastAsia="zh-CN"/>
              </w:rPr>
              <w:t>木厂水</w:t>
            </w:r>
          </w:p>
        </w:tc>
        <w:tc>
          <w:tcPr>
            <w:tcW w:w="2835" w:type="dxa"/>
            <w:shd w:val="clear" w:color="auto" w:fill="auto"/>
            <w:vAlign w:val="center"/>
          </w:tcPr>
          <w:p>
            <w:pPr>
              <w:spacing w:line="360" w:lineRule="exact"/>
              <w:jc w:val="center"/>
              <w:rPr>
                <w:rFonts w:ascii="Times New Roman" w:hAnsi="Times New Roman" w:eastAsia="仿宋" w:cs="Times New Roman"/>
                <w:color w:val="auto"/>
                <w:sz w:val="22"/>
              </w:rPr>
            </w:pPr>
            <w:r>
              <w:rPr>
                <w:rFonts w:hint="eastAsia" w:ascii="Times New Roman" w:hAnsi="Times New Roman" w:eastAsia="仿宋" w:cs="Times New Roman"/>
                <w:color w:val="auto"/>
                <w:sz w:val="22"/>
                <w:lang w:eastAsia="zh-CN"/>
              </w:rPr>
              <w:t>木厂水开发段</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77.8</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0</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0</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0</w:t>
            </w:r>
          </w:p>
        </w:tc>
        <w:tc>
          <w:tcPr>
            <w:tcW w:w="1090"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76.2</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10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98.2 </w:t>
            </w:r>
          </w:p>
        </w:tc>
        <w:tc>
          <w:tcPr>
            <w:tcW w:w="1091" w:type="dxa"/>
            <w:shd w:val="clear" w:color="auto" w:fill="auto"/>
            <w:vAlign w:val="center"/>
          </w:tcPr>
          <w:p>
            <w:pPr>
              <w:spacing w:line="360" w:lineRule="exact"/>
              <w:jc w:val="center"/>
              <w:rPr>
                <w:rFonts w:ascii="Times New Roman" w:hAnsi="Times New Roman" w:eastAsia="仿宋" w:cs="Times New Roman"/>
                <w:color w:val="auto"/>
                <w:sz w:val="22"/>
              </w:rPr>
            </w:pPr>
            <w:r>
              <w:rPr>
                <w:rFonts w:ascii="Times New Roman" w:hAnsi="Times New Roman" w:eastAsia="仿宋" w:cs="Times New Roman"/>
                <w:color w:val="auto"/>
                <w:sz w:val="22"/>
              </w:rPr>
              <w:t xml:space="preserve">100.0 </w:t>
            </w:r>
          </w:p>
        </w:tc>
      </w:tr>
    </w:tbl>
    <w:p>
      <w:pPr>
        <w:spacing w:line="360" w:lineRule="auto"/>
        <w:outlineLvl w:val="9"/>
        <w:rPr>
          <w:rFonts w:ascii="Times New Roman" w:hAnsi="Times New Roman" w:eastAsia="仿宋" w:cs="Times New Roman"/>
          <w:color w:val="auto"/>
          <w:kern w:val="0"/>
          <w:sz w:val="28"/>
          <w:szCs w:val="28"/>
        </w:rPr>
        <w:sectPr>
          <w:headerReference r:id="rId19" w:type="default"/>
          <w:pgSz w:w="16838" w:h="11906" w:orient="landscape"/>
          <w:pgMar w:top="1361" w:right="1361" w:bottom="1474" w:left="1418" w:header="1021" w:footer="964" w:gutter="0"/>
          <w:cols w:space="425" w:num="1"/>
          <w:docGrid w:linePitch="312" w:charSpace="0"/>
        </w:sectPr>
      </w:pPr>
    </w:p>
    <w:p>
      <w:pPr>
        <w:spacing w:line="360" w:lineRule="auto"/>
        <w:outlineLvl w:val="2"/>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5.2.4 公众满意度评估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公众满意度评估采取发放调查表方式进行。调查表样式如附表3所示。20</w:t>
      </w:r>
      <w:r>
        <w:rPr>
          <w:rFonts w:hint="eastAsia" w:ascii="Times New Roman" w:hAnsi="Times New Roman" w:eastAsia="仿宋" w:cs="Times New Roman"/>
          <w:color w:val="auto"/>
          <w:kern w:val="0"/>
          <w:sz w:val="28"/>
          <w:szCs w:val="28"/>
          <w:lang w:val="en-US" w:eastAsia="zh-CN"/>
        </w:rPr>
        <w:t>21</w:t>
      </w:r>
      <w:r>
        <w:rPr>
          <w:rFonts w:ascii="Times New Roman" w:hAnsi="Times New Roman" w:eastAsia="仿宋" w:cs="Times New Roman"/>
          <w:color w:val="auto"/>
          <w:kern w:val="0"/>
          <w:sz w:val="28"/>
          <w:szCs w:val="28"/>
        </w:rPr>
        <w:t>年9月~</w:t>
      </w:r>
      <w:r>
        <w:rPr>
          <w:rFonts w:hint="eastAsia" w:ascii="Times New Roman" w:hAnsi="Times New Roman" w:eastAsia="仿宋" w:cs="Times New Roman"/>
          <w:color w:val="auto"/>
          <w:kern w:val="0"/>
          <w:sz w:val="28"/>
          <w:szCs w:val="28"/>
          <w:lang w:val="en-US" w:eastAsia="zh-CN"/>
        </w:rPr>
        <w:t>2021</w:t>
      </w:r>
      <w:r>
        <w:rPr>
          <w:rFonts w:ascii="Times New Roman" w:hAnsi="Times New Roman" w:eastAsia="仿宋" w:cs="Times New Roman"/>
          <w:color w:val="auto"/>
          <w:kern w:val="0"/>
          <w:sz w:val="28"/>
          <w:szCs w:val="28"/>
        </w:rPr>
        <w:t>年</w:t>
      </w:r>
      <w:r>
        <w:rPr>
          <w:rFonts w:hint="eastAsia" w:ascii="Times New Roman" w:hAnsi="Times New Roman" w:eastAsia="仿宋" w:cs="Times New Roman"/>
          <w:color w:val="auto"/>
          <w:kern w:val="0"/>
          <w:sz w:val="28"/>
          <w:szCs w:val="28"/>
          <w:lang w:val="en-US" w:eastAsia="zh-CN"/>
        </w:rPr>
        <w:t>12</w:t>
      </w:r>
      <w:r>
        <w:rPr>
          <w:rFonts w:ascii="Times New Roman" w:hAnsi="Times New Roman" w:eastAsia="仿宋" w:cs="Times New Roman"/>
          <w:color w:val="auto"/>
          <w:kern w:val="0"/>
          <w:sz w:val="28"/>
          <w:szCs w:val="28"/>
        </w:rPr>
        <w:t>月在</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 xml:space="preserve">发放公众参与调查问卷172份，回收163份，回收率达94.8%。通过收集分析公众调查表，统计有效调查表成果如下：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（1） 调查对象统计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主要调查的内容是：调查对象与河流的关系以及他们的文化程度、职业特征还有年龄。具体信息见下表5.2.4-1。</w:t>
      </w:r>
    </w:p>
    <w:p>
      <w:pPr>
        <w:rPr>
          <w:color w:val="auto"/>
        </w:rPr>
      </w:pPr>
      <w:r>
        <w:rPr>
          <w:color w:val="auto"/>
        </w:rPr>
        <w:t xml:space="preserve"> </w:t>
      </w:r>
    </w:p>
    <w:p>
      <w:pPr>
        <w:tabs>
          <w:tab w:val="left" w:pos="3980"/>
        </w:tabs>
        <w:spacing w:line="360" w:lineRule="auto"/>
        <w:ind w:firstLine="984" w:firstLineChars="350"/>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 xml:space="preserve">表5.2.4-1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 xml:space="preserve">  调查问卷统计的调查对象信息表</w:t>
      </w:r>
    </w:p>
    <w:tbl>
      <w:tblPr>
        <w:tblStyle w:val="15"/>
        <w:tblW w:w="9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2126"/>
        <w:gridCol w:w="3119"/>
        <w:gridCol w:w="2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序号</w:t>
            </w:r>
          </w:p>
        </w:tc>
        <w:tc>
          <w:tcPr>
            <w:tcW w:w="5245" w:type="dxa"/>
            <w:gridSpan w:val="2"/>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调查对象统计</w:t>
            </w:r>
          </w:p>
        </w:tc>
        <w:tc>
          <w:tcPr>
            <w:tcW w:w="2373"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restart"/>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1</w:t>
            </w:r>
          </w:p>
        </w:tc>
        <w:tc>
          <w:tcPr>
            <w:tcW w:w="2126" w:type="dxa"/>
            <w:vMerge w:val="restart"/>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与河流的关系</w:t>
            </w: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沿河居民</w:t>
            </w:r>
          </w:p>
        </w:tc>
        <w:tc>
          <w:tcPr>
            <w:tcW w:w="2373" w:type="dxa"/>
            <w:shd w:val="clear" w:color="auto" w:fill="auto"/>
            <w:vAlign w:val="center"/>
          </w:tcPr>
          <w:p>
            <w:pPr>
              <w:spacing w:line="34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2126"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河道管理者</w:t>
            </w:r>
          </w:p>
        </w:tc>
        <w:tc>
          <w:tcPr>
            <w:tcW w:w="2373" w:type="dxa"/>
            <w:shd w:val="clear" w:color="auto" w:fill="auto"/>
            <w:vAlign w:val="center"/>
          </w:tcPr>
          <w:p>
            <w:pPr>
              <w:spacing w:line="34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2126"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河道周边从事生产活动</w:t>
            </w:r>
          </w:p>
        </w:tc>
        <w:tc>
          <w:tcPr>
            <w:tcW w:w="2373" w:type="dxa"/>
            <w:shd w:val="clear" w:color="auto" w:fill="auto"/>
            <w:vAlign w:val="center"/>
          </w:tcPr>
          <w:p>
            <w:pPr>
              <w:spacing w:line="34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2126"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旅游经常来河道</w:t>
            </w:r>
          </w:p>
        </w:tc>
        <w:tc>
          <w:tcPr>
            <w:tcW w:w="2373" w:type="dxa"/>
            <w:shd w:val="clear" w:color="auto" w:fill="auto"/>
            <w:vAlign w:val="center"/>
          </w:tcPr>
          <w:p>
            <w:pPr>
              <w:spacing w:line="34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2126"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旅游偶尔来河道</w:t>
            </w:r>
          </w:p>
        </w:tc>
        <w:tc>
          <w:tcPr>
            <w:tcW w:w="2373" w:type="dxa"/>
            <w:shd w:val="clear" w:color="auto" w:fill="auto"/>
            <w:vAlign w:val="center"/>
          </w:tcPr>
          <w:p>
            <w:pPr>
              <w:spacing w:line="34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2126"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未填写</w:t>
            </w:r>
          </w:p>
        </w:tc>
        <w:tc>
          <w:tcPr>
            <w:tcW w:w="2373"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restart"/>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w:t>
            </w:r>
          </w:p>
        </w:tc>
        <w:tc>
          <w:tcPr>
            <w:tcW w:w="2126" w:type="dxa"/>
            <w:vMerge w:val="restart"/>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文化程度</w:t>
            </w: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本科</w:t>
            </w:r>
          </w:p>
        </w:tc>
        <w:tc>
          <w:tcPr>
            <w:tcW w:w="2373" w:type="dxa"/>
            <w:shd w:val="clear" w:color="auto" w:fill="auto"/>
            <w:vAlign w:val="center"/>
          </w:tcPr>
          <w:p>
            <w:pPr>
              <w:spacing w:line="34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continue"/>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p>
        </w:tc>
        <w:tc>
          <w:tcPr>
            <w:tcW w:w="2126" w:type="dxa"/>
            <w:vMerge w:val="continue"/>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大专</w:t>
            </w:r>
          </w:p>
        </w:tc>
        <w:tc>
          <w:tcPr>
            <w:tcW w:w="2373" w:type="dxa"/>
            <w:shd w:val="clear" w:color="auto" w:fill="auto"/>
            <w:vAlign w:val="center"/>
          </w:tcPr>
          <w:p>
            <w:pPr>
              <w:spacing w:line="34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continue"/>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p>
        </w:tc>
        <w:tc>
          <w:tcPr>
            <w:tcW w:w="2126" w:type="dxa"/>
            <w:vMerge w:val="continue"/>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中专</w:t>
            </w:r>
          </w:p>
        </w:tc>
        <w:tc>
          <w:tcPr>
            <w:tcW w:w="2373" w:type="dxa"/>
            <w:shd w:val="clear" w:color="auto" w:fill="auto"/>
            <w:vAlign w:val="center"/>
          </w:tcPr>
          <w:p>
            <w:pPr>
              <w:spacing w:line="34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2126"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高中</w:t>
            </w:r>
          </w:p>
        </w:tc>
        <w:tc>
          <w:tcPr>
            <w:tcW w:w="2373" w:type="dxa"/>
            <w:shd w:val="clear" w:color="auto" w:fill="auto"/>
            <w:vAlign w:val="center"/>
          </w:tcPr>
          <w:p>
            <w:pPr>
              <w:spacing w:line="34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2126"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初中</w:t>
            </w:r>
          </w:p>
        </w:tc>
        <w:tc>
          <w:tcPr>
            <w:tcW w:w="2373" w:type="dxa"/>
            <w:shd w:val="clear" w:color="auto" w:fill="auto"/>
            <w:vAlign w:val="center"/>
          </w:tcPr>
          <w:p>
            <w:pPr>
              <w:spacing w:line="34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2126"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小学</w:t>
            </w:r>
          </w:p>
        </w:tc>
        <w:tc>
          <w:tcPr>
            <w:tcW w:w="2373" w:type="dxa"/>
            <w:shd w:val="clear" w:color="auto" w:fill="auto"/>
            <w:vAlign w:val="center"/>
          </w:tcPr>
          <w:p>
            <w:pPr>
              <w:spacing w:line="34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2126"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未填写</w:t>
            </w:r>
          </w:p>
        </w:tc>
        <w:tc>
          <w:tcPr>
            <w:tcW w:w="2373"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restart"/>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3</w:t>
            </w:r>
          </w:p>
        </w:tc>
        <w:tc>
          <w:tcPr>
            <w:tcW w:w="2126" w:type="dxa"/>
            <w:vMerge w:val="restart"/>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职业特征</w:t>
            </w: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水利相关工作人员</w:t>
            </w:r>
          </w:p>
        </w:tc>
        <w:tc>
          <w:tcPr>
            <w:tcW w:w="2373" w:type="dxa"/>
            <w:shd w:val="clear" w:color="auto" w:fill="auto"/>
            <w:vAlign w:val="center"/>
          </w:tcPr>
          <w:p>
            <w:pPr>
              <w:spacing w:line="34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2126"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工人</w:t>
            </w:r>
          </w:p>
        </w:tc>
        <w:tc>
          <w:tcPr>
            <w:tcW w:w="2373" w:type="dxa"/>
            <w:shd w:val="clear" w:color="auto" w:fill="auto"/>
            <w:vAlign w:val="center"/>
          </w:tcPr>
          <w:p>
            <w:pPr>
              <w:spacing w:line="34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2126"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农民</w:t>
            </w:r>
          </w:p>
        </w:tc>
        <w:tc>
          <w:tcPr>
            <w:tcW w:w="2373" w:type="dxa"/>
            <w:shd w:val="clear" w:color="auto" w:fill="auto"/>
            <w:vAlign w:val="center"/>
          </w:tcPr>
          <w:p>
            <w:pPr>
              <w:spacing w:line="34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2126"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个体</w:t>
            </w:r>
          </w:p>
        </w:tc>
        <w:tc>
          <w:tcPr>
            <w:tcW w:w="2373" w:type="dxa"/>
            <w:shd w:val="clear" w:color="auto" w:fill="auto"/>
            <w:vAlign w:val="center"/>
          </w:tcPr>
          <w:p>
            <w:pPr>
              <w:spacing w:line="34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2126"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学生</w:t>
            </w:r>
          </w:p>
        </w:tc>
        <w:tc>
          <w:tcPr>
            <w:tcW w:w="2373" w:type="dxa"/>
            <w:shd w:val="clear" w:color="auto" w:fill="auto"/>
            <w:vAlign w:val="center"/>
          </w:tcPr>
          <w:p>
            <w:pPr>
              <w:spacing w:line="34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2126"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其他</w:t>
            </w:r>
          </w:p>
        </w:tc>
        <w:tc>
          <w:tcPr>
            <w:tcW w:w="2373"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restart"/>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4</w:t>
            </w:r>
          </w:p>
        </w:tc>
        <w:tc>
          <w:tcPr>
            <w:tcW w:w="2126" w:type="dxa"/>
            <w:vMerge w:val="restart"/>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年龄组成</w:t>
            </w: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20岁以下</w:t>
            </w:r>
          </w:p>
        </w:tc>
        <w:tc>
          <w:tcPr>
            <w:tcW w:w="2373" w:type="dxa"/>
            <w:shd w:val="clear" w:color="auto" w:fill="auto"/>
            <w:vAlign w:val="center"/>
          </w:tcPr>
          <w:p>
            <w:pPr>
              <w:spacing w:line="34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2126"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21-30岁</w:t>
            </w:r>
          </w:p>
        </w:tc>
        <w:tc>
          <w:tcPr>
            <w:tcW w:w="2373" w:type="dxa"/>
            <w:shd w:val="clear" w:color="auto" w:fill="auto"/>
            <w:vAlign w:val="center"/>
          </w:tcPr>
          <w:p>
            <w:pPr>
              <w:spacing w:line="34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2126"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31-40岁</w:t>
            </w:r>
          </w:p>
        </w:tc>
        <w:tc>
          <w:tcPr>
            <w:tcW w:w="2373" w:type="dxa"/>
            <w:shd w:val="clear" w:color="auto" w:fill="auto"/>
            <w:vAlign w:val="center"/>
          </w:tcPr>
          <w:p>
            <w:pPr>
              <w:spacing w:line="34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2126"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41-50岁</w:t>
            </w:r>
          </w:p>
        </w:tc>
        <w:tc>
          <w:tcPr>
            <w:tcW w:w="2373" w:type="dxa"/>
            <w:shd w:val="clear" w:color="auto" w:fill="auto"/>
            <w:vAlign w:val="center"/>
          </w:tcPr>
          <w:p>
            <w:pPr>
              <w:spacing w:line="34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2126"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50岁以上</w:t>
            </w:r>
          </w:p>
        </w:tc>
        <w:tc>
          <w:tcPr>
            <w:tcW w:w="2373" w:type="dxa"/>
            <w:shd w:val="clear" w:color="auto" w:fill="auto"/>
            <w:vAlign w:val="center"/>
          </w:tcPr>
          <w:p>
            <w:pPr>
              <w:spacing w:line="34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2126" w:type="dxa"/>
            <w:vMerge w:val="continue"/>
            <w:shd w:val="clear" w:color="auto" w:fill="auto"/>
            <w:vAlign w:val="center"/>
          </w:tcPr>
          <w:p>
            <w:pPr>
              <w:spacing w:line="340" w:lineRule="exact"/>
              <w:jc w:val="center"/>
              <w:rPr>
                <w:rFonts w:ascii="Times New Roman" w:hAnsi="Times New Roman" w:eastAsia="仿宋" w:cs="Times New Roman"/>
                <w:color w:val="auto"/>
                <w:sz w:val="21"/>
                <w:szCs w:val="21"/>
              </w:rPr>
            </w:pPr>
          </w:p>
        </w:tc>
        <w:tc>
          <w:tcPr>
            <w:tcW w:w="3119"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未填写</w:t>
            </w:r>
          </w:p>
        </w:tc>
        <w:tc>
          <w:tcPr>
            <w:tcW w:w="2373" w:type="dxa"/>
            <w:shd w:val="clear" w:color="auto" w:fill="auto"/>
            <w:vAlign w:val="center"/>
          </w:tcPr>
          <w:p>
            <w:pPr>
              <w:autoSpaceDE w:val="0"/>
              <w:autoSpaceDN w:val="0"/>
              <w:adjustRightInd w:val="0"/>
              <w:spacing w:line="340" w:lineRule="exact"/>
              <w:jc w:val="center"/>
              <w:rPr>
                <w:rFonts w:ascii="Times New Roman" w:hAnsi="Times New Roman" w:eastAsia="仿宋" w:cs="Times New Roman"/>
                <w:color w:val="auto"/>
                <w:kern w:val="0"/>
                <w:sz w:val="21"/>
                <w:szCs w:val="21"/>
              </w:rPr>
            </w:pPr>
          </w:p>
        </w:tc>
      </w:tr>
    </w:tbl>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（2） 调查问题统计分析 </w:t>
      </w:r>
    </w:p>
    <w:p>
      <w:pPr>
        <w:autoSpaceDE w:val="0"/>
        <w:autoSpaceDN w:val="0"/>
        <w:adjustRightInd w:val="0"/>
        <w:spacing w:line="360" w:lineRule="auto"/>
        <w:ind w:firstLine="840" w:firstLineChars="3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1）河流对个人生活的重要性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 xml:space="preserve">被调查的公众中，认为河流对个人生活很重要的占49.7%，认为较重要的占26.4%，认为重要性一般的占23.3%，认为不重要的占0.6%。 </w:t>
      </w:r>
    </w:p>
    <w:p>
      <w:pPr>
        <w:autoSpaceDE w:val="0"/>
        <w:autoSpaceDN w:val="0"/>
        <w:adjustRightInd w:val="0"/>
        <w:spacing w:line="360" w:lineRule="auto"/>
        <w:ind w:firstLine="980" w:firstLineChars="35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2）河流状况评估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 xml:space="preserve">调查对象评估河流水量、河流水质、河滩上的树草状况、河滩上的垃圾堆放、鱼类数量、大鱼总量状况、本地鱼类变化情况结果。被调查的公众知道的本地鱼种类包括：大头鱼、罗非鱼、草鱼、鲶鱼、塘角鱼、鲤鱼、青鱼、黄鳝、马口鱼。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p>
    <w:p>
      <w:pPr>
        <w:tabs>
          <w:tab w:val="left" w:pos="3980"/>
        </w:tabs>
        <w:spacing w:line="360" w:lineRule="auto"/>
        <w:ind w:firstLine="984" w:firstLineChars="350"/>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 xml:space="preserve">表5.2.4-2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 xml:space="preserve"> </w:t>
      </w:r>
      <w:r>
        <w:rPr>
          <w:rFonts w:hint="eastAsia" w:ascii="Times New Roman" w:hAnsi="Times New Roman" w:eastAsia="仿宋" w:cs="Times New Roman"/>
          <w:b/>
          <w:color w:val="auto"/>
          <w:kern w:val="0"/>
          <w:sz w:val="28"/>
          <w:szCs w:val="20"/>
          <w:lang w:eastAsia="zh-CN"/>
        </w:rPr>
        <w:t>资江流域</w:t>
      </w:r>
      <w:r>
        <w:rPr>
          <w:rFonts w:ascii="Times New Roman" w:hAnsi="Times New Roman" w:eastAsia="仿宋" w:cs="Times New Roman"/>
          <w:b/>
          <w:color w:val="auto"/>
          <w:kern w:val="0"/>
          <w:sz w:val="28"/>
          <w:szCs w:val="20"/>
        </w:rPr>
        <w:t>调查对象评估河流状况结果表</w:t>
      </w:r>
    </w:p>
    <w:tbl>
      <w:tblPr>
        <w:tblStyle w:val="15"/>
        <w:tblW w:w="9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925"/>
        <w:gridCol w:w="983"/>
        <w:gridCol w:w="318"/>
        <w:gridCol w:w="2704"/>
        <w:gridCol w:w="1431"/>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restart"/>
            <w:shd w:val="clear" w:color="auto" w:fill="auto"/>
            <w:vAlign w:val="center"/>
          </w:tcPr>
          <w:p>
            <w:pPr>
              <w:autoSpaceDE w:val="0"/>
              <w:autoSpaceDN w:val="0"/>
              <w:adjustRightInd w:val="0"/>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序号</w:t>
            </w:r>
          </w:p>
        </w:tc>
        <w:tc>
          <w:tcPr>
            <w:tcW w:w="4930" w:type="dxa"/>
            <w:gridSpan w:val="4"/>
            <w:vMerge w:val="restart"/>
            <w:shd w:val="clear" w:color="auto" w:fill="auto"/>
            <w:vAlign w:val="center"/>
          </w:tcPr>
          <w:p>
            <w:pPr>
              <w:autoSpaceDE w:val="0"/>
              <w:autoSpaceDN w:val="0"/>
              <w:adjustRightInd w:val="0"/>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调查内容</w:t>
            </w:r>
          </w:p>
        </w:tc>
        <w:tc>
          <w:tcPr>
            <w:tcW w:w="3021" w:type="dxa"/>
            <w:gridSpan w:val="2"/>
            <w:shd w:val="clear" w:color="auto" w:fill="auto"/>
            <w:vAlign w:val="center"/>
          </w:tcPr>
          <w:p>
            <w:pPr>
              <w:autoSpaceDE w:val="0"/>
              <w:autoSpaceDN w:val="0"/>
              <w:adjustRightInd w:val="0"/>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评估范围（调查总人数163）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4930" w:type="dxa"/>
            <w:gridSpan w:val="4"/>
            <w:vMerge w:val="continue"/>
            <w:shd w:val="clear" w:color="auto" w:fill="auto"/>
            <w:vAlign w:val="center"/>
          </w:tcPr>
          <w:p>
            <w:pPr>
              <w:jc w:val="center"/>
              <w:rPr>
                <w:rFonts w:ascii="Times New Roman" w:hAnsi="Times New Roman" w:eastAsia="仿宋" w:cs="Times New Roman"/>
                <w:color w:val="auto"/>
                <w:sz w:val="21"/>
                <w:szCs w:val="21"/>
              </w:rPr>
            </w:pPr>
          </w:p>
        </w:tc>
        <w:tc>
          <w:tcPr>
            <w:tcW w:w="1431" w:type="dxa"/>
            <w:shd w:val="clear" w:color="auto" w:fill="auto"/>
            <w:vAlign w:val="center"/>
          </w:tcPr>
          <w:p>
            <w:pPr>
              <w:autoSpaceDE w:val="0"/>
              <w:autoSpaceDN w:val="0"/>
              <w:adjustRightInd w:val="0"/>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人数</w:t>
            </w:r>
          </w:p>
        </w:tc>
        <w:tc>
          <w:tcPr>
            <w:tcW w:w="1590" w:type="dxa"/>
            <w:shd w:val="clear" w:color="auto" w:fill="auto"/>
            <w:vAlign w:val="center"/>
          </w:tcPr>
          <w:p>
            <w:pPr>
              <w:autoSpaceDE w:val="0"/>
              <w:autoSpaceDN w:val="0"/>
              <w:adjustRightInd w:val="0"/>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restart"/>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w:t>
            </w:r>
          </w:p>
        </w:tc>
        <w:tc>
          <w:tcPr>
            <w:tcW w:w="1908" w:type="dxa"/>
            <w:gridSpan w:val="2"/>
            <w:vMerge w:val="restart"/>
            <w:shd w:val="clear" w:color="auto" w:fill="auto"/>
            <w:vAlign w:val="center"/>
          </w:tcPr>
          <w:p>
            <w:pPr>
              <w:autoSpaceDE w:val="0"/>
              <w:autoSpaceDN w:val="0"/>
              <w:adjustRightInd w:val="0"/>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河流水量 </w:t>
            </w:r>
          </w:p>
        </w:tc>
        <w:tc>
          <w:tcPr>
            <w:tcW w:w="3022" w:type="dxa"/>
            <w:gridSpan w:val="2"/>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太少 </w:t>
            </w:r>
          </w:p>
        </w:tc>
        <w:tc>
          <w:tcPr>
            <w:tcW w:w="1431"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23 </w:t>
            </w:r>
          </w:p>
        </w:tc>
        <w:tc>
          <w:tcPr>
            <w:tcW w:w="1590"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1908" w:type="dxa"/>
            <w:gridSpan w:val="2"/>
            <w:vMerge w:val="continue"/>
            <w:shd w:val="clear" w:color="auto" w:fill="auto"/>
            <w:vAlign w:val="center"/>
          </w:tcPr>
          <w:p>
            <w:pPr>
              <w:jc w:val="center"/>
              <w:rPr>
                <w:rFonts w:ascii="Times New Roman" w:hAnsi="Times New Roman" w:eastAsia="仿宋" w:cs="Times New Roman"/>
                <w:color w:val="auto"/>
                <w:sz w:val="21"/>
                <w:szCs w:val="21"/>
              </w:rPr>
            </w:pPr>
          </w:p>
        </w:tc>
        <w:tc>
          <w:tcPr>
            <w:tcW w:w="3022" w:type="dxa"/>
            <w:gridSpan w:val="2"/>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还可以 </w:t>
            </w:r>
          </w:p>
        </w:tc>
        <w:tc>
          <w:tcPr>
            <w:tcW w:w="1431"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137 </w:t>
            </w:r>
          </w:p>
        </w:tc>
        <w:tc>
          <w:tcPr>
            <w:tcW w:w="1590"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84.0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1908" w:type="dxa"/>
            <w:gridSpan w:val="2"/>
            <w:vMerge w:val="continue"/>
            <w:shd w:val="clear" w:color="auto" w:fill="auto"/>
            <w:vAlign w:val="center"/>
          </w:tcPr>
          <w:p>
            <w:pPr>
              <w:jc w:val="center"/>
              <w:rPr>
                <w:rFonts w:ascii="Times New Roman" w:hAnsi="Times New Roman" w:eastAsia="仿宋" w:cs="Times New Roman"/>
                <w:color w:val="auto"/>
                <w:sz w:val="21"/>
                <w:szCs w:val="21"/>
              </w:rPr>
            </w:pPr>
          </w:p>
        </w:tc>
        <w:tc>
          <w:tcPr>
            <w:tcW w:w="3022" w:type="dxa"/>
            <w:gridSpan w:val="2"/>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太多 </w:t>
            </w:r>
          </w:p>
        </w:tc>
        <w:tc>
          <w:tcPr>
            <w:tcW w:w="1431"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3 </w:t>
            </w:r>
          </w:p>
        </w:tc>
        <w:tc>
          <w:tcPr>
            <w:tcW w:w="1590"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1908" w:type="dxa"/>
            <w:gridSpan w:val="2"/>
            <w:vMerge w:val="continue"/>
            <w:shd w:val="clear" w:color="auto" w:fill="auto"/>
            <w:vAlign w:val="center"/>
          </w:tcPr>
          <w:p>
            <w:pPr>
              <w:jc w:val="center"/>
              <w:rPr>
                <w:rFonts w:ascii="Times New Roman" w:hAnsi="Times New Roman" w:eastAsia="仿宋" w:cs="Times New Roman"/>
                <w:color w:val="auto"/>
                <w:sz w:val="21"/>
                <w:szCs w:val="21"/>
              </w:rPr>
            </w:pPr>
          </w:p>
        </w:tc>
        <w:tc>
          <w:tcPr>
            <w:tcW w:w="3022" w:type="dxa"/>
            <w:gridSpan w:val="2"/>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不好判断 </w:t>
            </w:r>
          </w:p>
        </w:tc>
        <w:tc>
          <w:tcPr>
            <w:tcW w:w="1431" w:type="dxa"/>
            <w:shd w:val="clear" w:color="auto" w:fill="auto"/>
          </w:tcPr>
          <w:p>
            <w:pPr>
              <w:autoSpaceDE w:val="0"/>
              <w:autoSpaceDN w:val="0"/>
              <w:adjustRightInd w:val="0"/>
              <w:jc w:val="left"/>
              <w:rPr>
                <w:rFonts w:ascii="Times New Roman" w:hAnsi="Times New Roman" w:eastAsia="仿宋" w:cs="Times New Roman"/>
                <w:color w:val="auto"/>
                <w:kern w:val="0"/>
                <w:sz w:val="21"/>
                <w:szCs w:val="21"/>
              </w:rPr>
            </w:pPr>
          </w:p>
        </w:tc>
        <w:tc>
          <w:tcPr>
            <w:tcW w:w="1590" w:type="dxa"/>
            <w:shd w:val="clear" w:color="auto" w:fill="auto"/>
          </w:tcPr>
          <w:p>
            <w:pPr>
              <w:autoSpaceDE w:val="0"/>
              <w:autoSpaceDN w:val="0"/>
              <w:adjustRightInd w:val="0"/>
              <w:jc w:val="left"/>
              <w:rPr>
                <w:rFonts w:ascii="Times New Roman" w:hAnsi="Times New Roman" w:eastAsia="仿宋"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restart"/>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w:t>
            </w:r>
          </w:p>
        </w:tc>
        <w:tc>
          <w:tcPr>
            <w:tcW w:w="1908" w:type="dxa"/>
            <w:gridSpan w:val="2"/>
            <w:vMerge w:val="restart"/>
            <w:shd w:val="clear" w:color="auto" w:fill="auto"/>
            <w:vAlign w:val="center"/>
          </w:tcPr>
          <w:p>
            <w:pPr>
              <w:autoSpaceDE w:val="0"/>
              <w:autoSpaceDN w:val="0"/>
              <w:adjustRightInd w:val="0"/>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河流水质 </w:t>
            </w:r>
          </w:p>
        </w:tc>
        <w:tc>
          <w:tcPr>
            <w:tcW w:w="3022" w:type="dxa"/>
            <w:gridSpan w:val="2"/>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清洁 </w:t>
            </w:r>
          </w:p>
        </w:tc>
        <w:tc>
          <w:tcPr>
            <w:tcW w:w="1431"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99 </w:t>
            </w:r>
          </w:p>
        </w:tc>
        <w:tc>
          <w:tcPr>
            <w:tcW w:w="1590"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60.7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1908" w:type="dxa"/>
            <w:gridSpan w:val="2"/>
            <w:vMerge w:val="continue"/>
            <w:shd w:val="clear" w:color="auto" w:fill="auto"/>
            <w:vAlign w:val="center"/>
          </w:tcPr>
          <w:p>
            <w:pPr>
              <w:jc w:val="center"/>
              <w:rPr>
                <w:rFonts w:ascii="Times New Roman" w:hAnsi="Times New Roman" w:eastAsia="仿宋" w:cs="Times New Roman"/>
                <w:color w:val="auto"/>
                <w:sz w:val="21"/>
                <w:szCs w:val="21"/>
              </w:rPr>
            </w:pPr>
          </w:p>
        </w:tc>
        <w:tc>
          <w:tcPr>
            <w:tcW w:w="3022" w:type="dxa"/>
            <w:gridSpan w:val="2"/>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一般 </w:t>
            </w:r>
          </w:p>
        </w:tc>
        <w:tc>
          <w:tcPr>
            <w:tcW w:w="1431"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52 </w:t>
            </w:r>
          </w:p>
        </w:tc>
        <w:tc>
          <w:tcPr>
            <w:tcW w:w="1590"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31.9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1908" w:type="dxa"/>
            <w:gridSpan w:val="2"/>
            <w:vMerge w:val="continue"/>
            <w:shd w:val="clear" w:color="auto" w:fill="auto"/>
            <w:vAlign w:val="center"/>
          </w:tcPr>
          <w:p>
            <w:pPr>
              <w:jc w:val="center"/>
              <w:rPr>
                <w:rFonts w:ascii="Times New Roman" w:hAnsi="Times New Roman" w:eastAsia="仿宋" w:cs="Times New Roman"/>
                <w:color w:val="auto"/>
                <w:sz w:val="21"/>
                <w:szCs w:val="21"/>
              </w:rPr>
            </w:pPr>
          </w:p>
        </w:tc>
        <w:tc>
          <w:tcPr>
            <w:tcW w:w="3022" w:type="dxa"/>
            <w:gridSpan w:val="2"/>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比较脏 </w:t>
            </w:r>
          </w:p>
        </w:tc>
        <w:tc>
          <w:tcPr>
            <w:tcW w:w="1431"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11 </w:t>
            </w:r>
          </w:p>
        </w:tc>
        <w:tc>
          <w:tcPr>
            <w:tcW w:w="1590"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1908" w:type="dxa"/>
            <w:gridSpan w:val="2"/>
            <w:vMerge w:val="continue"/>
            <w:shd w:val="clear" w:color="auto" w:fill="auto"/>
            <w:vAlign w:val="center"/>
          </w:tcPr>
          <w:p>
            <w:pPr>
              <w:jc w:val="center"/>
              <w:rPr>
                <w:rFonts w:ascii="Times New Roman" w:hAnsi="Times New Roman" w:eastAsia="仿宋" w:cs="Times New Roman"/>
                <w:color w:val="auto"/>
                <w:sz w:val="21"/>
                <w:szCs w:val="21"/>
              </w:rPr>
            </w:pPr>
          </w:p>
        </w:tc>
        <w:tc>
          <w:tcPr>
            <w:tcW w:w="3022" w:type="dxa"/>
            <w:gridSpan w:val="2"/>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太脏 </w:t>
            </w:r>
          </w:p>
        </w:tc>
        <w:tc>
          <w:tcPr>
            <w:tcW w:w="1431"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 </w:t>
            </w:r>
          </w:p>
        </w:tc>
        <w:tc>
          <w:tcPr>
            <w:tcW w:w="1590"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restart"/>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w:t>
            </w:r>
          </w:p>
        </w:tc>
        <w:tc>
          <w:tcPr>
            <w:tcW w:w="1908" w:type="dxa"/>
            <w:gridSpan w:val="2"/>
            <w:vMerge w:val="restart"/>
            <w:shd w:val="clear" w:color="auto" w:fill="auto"/>
            <w:vAlign w:val="center"/>
          </w:tcPr>
          <w:p>
            <w:pPr>
              <w:autoSpaceDE w:val="0"/>
              <w:autoSpaceDN w:val="0"/>
              <w:adjustRightInd w:val="0"/>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河滩树草状况 </w:t>
            </w:r>
          </w:p>
        </w:tc>
        <w:tc>
          <w:tcPr>
            <w:tcW w:w="3022" w:type="dxa"/>
            <w:gridSpan w:val="2"/>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河滩上树草太少 </w:t>
            </w:r>
          </w:p>
        </w:tc>
        <w:tc>
          <w:tcPr>
            <w:tcW w:w="1431"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48 </w:t>
            </w:r>
          </w:p>
        </w:tc>
        <w:tc>
          <w:tcPr>
            <w:tcW w:w="1590"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1908" w:type="dxa"/>
            <w:gridSpan w:val="2"/>
            <w:vMerge w:val="continue"/>
            <w:shd w:val="clear" w:color="auto" w:fill="auto"/>
            <w:vAlign w:val="center"/>
          </w:tcPr>
          <w:p>
            <w:pPr>
              <w:jc w:val="center"/>
              <w:rPr>
                <w:rFonts w:ascii="Times New Roman" w:hAnsi="Times New Roman" w:eastAsia="仿宋" w:cs="Times New Roman"/>
                <w:color w:val="auto"/>
                <w:sz w:val="21"/>
                <w:szCs w:val="21"/>
              </w:rPr>
            </w:pPr>
          </w:p>
        </w:tc>
        <w:tc>
          <w:tcPr>
            <w:tcW w:w="3022" w:type="dxa"/>
            <w:gridSpan w:val="2"/>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河滩上树草数量还可以 </w:t>
            </w:r>
          </w:p>
        </w:tc>
        <w:tc>
          <w:tcPr>
            <w:tcW w:w="1431"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115 </w:t>
            </w:r>
          </w:p>
        </w:tc>
        <w:tc>
          <w:tcPr>
            <w:tcW w:w="1590"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restart"/>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w:t>
            </w:r>
          </w:p>
        </w:tc>
        <w:tc>
          <w:tcPr>
            <w:tcW w:w="1908" w:type="dxa"/>
            <w:gridSpan w:val="2"/>
            <w:vMerge w:val="restart"/>
            <w:shd w:val="clear" w:color="auto" w:fill="auto"/>
            <w:vAlign w:val="center"/>
          </w:tcPr>
          <w:p>
            <w:pPr>
              <w:autoSpaceDE w:val="0"/>
              <w:autoSpaceDN w:val="0"/>
              <w:adjustRightInd w:val="0"/>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河滩垃圾情况</w:t>
            </w:r>
          </w:p>
        </w:tc>
        <w:tc>
          <w:tcPr>
            <w:tcW w:w="3022" w:type="dxa"/>
            <w:gridSpan w:val="2"/>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无垃圾堆放 </w:t>
            </w:r>
          </w:p>
        </w:tc>
        <w:tc>
          <w:tcPr>
            <w:tcW w:w="1431"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139 </w:t>
            </w:r>
          </w:p>
        </w:tc>
        <w:tc>
          <w:tcPr>
            <w:tcW w:w="1590"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1908" w:type="dxa"/>
            <w:gridSpan w:val="2"/>
            <w:vMerge w:val="continue"/>
            <w:shd w:val="clear" w:color="auto" w:fill="auto"/>
            <w:vAlign w:val="center"/>
          </w:tcPr>
          <w:p>
            <w:pPr>
              <w:jc w:val="center"/>
              <w:rPr>
                <w:rFonts w:ascii="Times New Roman" w:hAnsi="Times New Roman" w:eastAsia="仿宋" w:cs="Times New Roman"/>
                <w:color w:val="auto"/>
                <w:sz w:val="21"/>
                <w:szCs w:val="21"/>
              </w:rPr>
            </w:pPr>
          </w:p>
        </w:tc>
        <w:tc>
          <w:tcPr>
            <w:tcW w:w="3022" w:type="dxa"/>
            <w:gridSpan w:val="2"/>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有垃圾堆放 </w:t>
            </w:r>
          </w:p>
        </w:tc>
        <w:tc>
          <w:tcPr>
            <w:tcW w:w="1431"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24 </w:t>
            </w:r>
          </w:p>
        </w:tc>
        <w:tc>
          <w:tcPr>
            <w:tcW w:w="1590"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restart"/>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w:t>
            </w:r>
          </w:p>
        </w:tc>
        <w:tc>
          <w:tcPr>
            <w:tcW w:w="1908" w:type="dxa"/>
            <w:gridSpan w:val="2"/>
            <w:vMerge w:val="restart"/>
            <w:shd w:val="clear" w:color="auto" w:fill="auto"/>
            <w:vAlign w:val="center"/>
          </w:tcPr>
          <w:p>
            <w:pPr>
              <w:autoSpaceDE w:val="0"/>
              <w:autoSpaceDN w:val="0"/>
              <w:adjustRightInd w:val="0"/>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鱼类数量 </w:t>
            </w:r>
          </w:p>
        </w:tc>
        <w:tc>
          <w:tcPr>
            <w:tcW w:w="3022" w:type="dxa"/>
            <w:gridSpan w:val="2"/>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数量少很多 </w:t>
            </w:r>
          </w:p>
        </w:tc>
        <w:tc>
          <w:tcPr>
            <w:tcW w:w="1431"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22 </w:t>
            </w:r>
          </w:p>
        </w:tc>
        <w:tc>
          <w:tcPr>
            <w:tcW w:w="1590"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1908" w:type="dxa"/>
            <w:gridSpan w:val="2"/>
            <w:vMerge w:val="continue"/>
            <w:shd w:val="clear" w:color="auto" w:fill="auto"/>
            <w:vAlign w:val="center"/>
          </w:tcPr>
          <w:p>
            <w:pPr>
              <w:jc w:val="center"/>
              <w:rPr>
                <w:rFonts w:ascii="Times New Roman" w:hAnsi="Times New Roman" w:eastAsia="仿宋" w:cs="Times New Roman"/>
                <w:color w:val="auto"/>
                <w:sz w:val="21"/>
                <w:szCs w:val="21"/>
              </w:rPr>
            </w:pPr>
          </w:p>
        </w:tc>
        <w:tc>
          <w:tcPr>
            <w:tcW w:w="3022" w:type="dxa"/>
            <w:gridSpan w:val="2"/>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数量少了一些 </w:t>
            </w:r>
          </w:p>
        </w:tc>
        <w:tc>
          <w:tcPr>
            <w:tcW w:w="1431"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67 </w:t>
            </w:r>
          </w:p>
        </w:tc>
        <w:tc>
          <w:tcPr>
            <w:tcW w:w="1590"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1908" w:type="dxa"/>
            <w:gridSpan w:val="2"/>
            <w:vMerge w:val="continue"/>
            <w:shd w:val="clear" w:color="auto" w:fill="auto"/>
            <w:vAlign w:val="center"/>
          </w:tcPr>
          <w:p>
            <w:pPr>
              <w:jc w:val="center"/>
              <w:rPr>
                <w:rFonts w:ascii="Times New Roman" w:hAnsi="Times New Roman" w:eastAsia="仿宋" w:cs="Times New Roman"/>
                <w:color w:val="auto"/>
                <w:sz w:val="21"/>
                <w:szCs w:val="21"/>
              </w:rPr>
            </w:pPr>
          </w:p>
        </w:tc>
        <w:tc>
          <w:tcPr>
            <w:tcW w:w="3022" w:type="dxa"/>
            <w:gridSpan w:val="2"/>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没有变化 </w:t>
            </w:r>
          </w:p>
        </w:tc>
        <w:tc>
          <w:tcPr>
            <w:tcW w:w="1431"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63 </w:t>
            </w:r>
          </w:p>
        </w:tc>
        <w:tc>
          <w:tcPr>
            <w:tcW w:w="1590"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1908" w:type="dxa"/>
            <w:gridSpan w:val="2"/>
            <w:vMerge w:val="continue"/>
            <w:shd w:val="clear" w:color="auto" w:fill="auto"/>
            <w:vAlign w:val="center"/>
          </w:tcPr>
          <w:p>
            <w:pPr>
              <w:jc w:val="center"/>
              <w:rPr>
                <w:rFonts w:ascii="Times New Roman" w:hAnsi="Times New Roman" w:eastAsia="仿宋" w:cs="Times New Roman"/>
                <w:color w:val="auto"/>
                <w:sz w:val="21"/>
                <w:szCs w:val="21"/>
              </w:rPr>
            </w:pPr>
          </w:p>
        </w:tc>
        <w:tc>
          <w:tcPr>
            <w:tcW w:w="3022" w:type="dxa"/>
            <w:gridSpan w:val="2"/>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数量少很多 </w:t>
            </w:r>
          </w:p>
        </w:tc>
        <w:tc>
          <w:tcPr>
            <w:tcW w:w="1431"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11 </w:t>
            </w:r>
          </w:p>
        </w:tc>
        <w:tc>
          <w:tcPr>
            <w:tcW w:w="1590"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restart"/>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w:t>
            </w:r>
          </w:p>
        </w:tc>
        <w:tc>
          <w:tcPr>
            <w:tcW w:w="1908" w:type="dxa"/>
            <w:gridSpan w:val="2"/>
            <w:vMerge w:val="restart"/>
            <w:shd w:val="clear" w:color="auto" w:fill="auto"/>
            <w:vAlign w:val="center"/>
          </w:tcPr>
          <w:p>
            <w:pPr>
              <w:autoSpaceDE w:val="0"/>
              <w:autoSpaceDN w:val="0"/>
              <w:adjustRightInd w:val="0"/>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大鱼重量状况</w:t>
            </w:r>
          </w:p>
        </w:tc>
        <w:tc>
          <w:tcPr>
            <w:tcW w:w="3022" w:type="dxa"/>
            <w:gridSpan w:val="2"/>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重量少很多 </w:t>
            </w:r>
          </w:p>
        </w:tc>
        <w:tc>
          <w:tcPr>
            <w:tcW w:w="1431"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44 </w:t>
            </w:r>
          </w:p>
        </w:tc>
        <w:tc>
          <w:tcPr>
            <w:tcW w:w="1590"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1908" w:type="dxa"/>
            <w:gridSpan w:val="2"/>
            <w:vMerge w:val="continue"/>
            <w:shd w:val="clear" w:color="auto" w:fill="auto"/>
            <w:vAlign w:val="center"/>
          </w:tcPr>
          <w:p>
            <w:pPr>
              <w:jc w:val="center"/>
              <w:rPr>
                <w:rFonts w:ascii="Times New Roman" w:hAnsi="Times New Roman" w:eastAsia="仿宋" w:cs="Times New Roman"/>
                <w:color w:val="auto"/>
                <w:sz w:val="21"/>
                <w:szCs w:val="21"/>
              </w:rPr>
            </w:pPr>
          </w:p>
        </w:tc>
        <w:tc>
          <w:tcPr>
            <w:tcW w:w="3022" w:type="dxa"/>
            <w:gridSpan w:val="2"/>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重量少了一些 </w:t>
            </w:r>
          </w:p>
        </w:tc>
        <w:tc>
          <w:tcPr>
            <w:tcW w:w="1431"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24 </w:t>
            </w:r>
          </w:p>
        </w:tc>
        <w:tc>
          <w:tcPr>
            <w:tcW w:w="1590"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1908" w:type="dxa"/>
            <w:gridSpan w:val="2"/>
            <w:vMerge w:val="continue"/>
            <w:shd w:val="clear" w:color="auto" w:fill="auto"/>
            <w:vAlign w:val="center"/>
          </w:tcPr>
          <w:p>
            <w:pPr>
              <w:jc w:val="center"/>
              <w:rPr>
                <w:rFonts w:ascii="Times New Roman" w:hAnsi="Times New Roman" w:eastAsia="仿宋" w:cs="Times New Roman"/>
                <w:color w:val="auto"/>
                <w:sz w:val="21"/>
                <w:szCs w:val="21"/>
              </w:rPr>
            </w:pPr>
          </w:p>
        </w:tc>
        <w:tc>
          <w:tcPr>
            <w:tcW w:w="3022" w:type="dxa"/>
            <w:gridSpan w:val="2"/>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没有变化 </w:t>
            </w:r>
          </w:p>
        </w:tc>
        <w:tc>
          <w:tcPr>
            <w:tcW w:w="1431"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95 </w:t>
            </w:r>
          </w:p>
        </w:tc>
        <w:tc>
          <w:tcPr>
            <w:tcW w:w="1590"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1908" w:type="dxa"/>
            <w:gridSpan w:val="2"/>
            <w:vMerge w:val="continue"/>
            <w:shd w:val="clear" w:color="auto" w:fill="auto"/>
            <w:vAlign w:val="center"/>
          </w:tcPr>
          <w:p>
            <w:pPr>
              <w:jc w:val="center"/>
              <w:rPr>
                <w:rFonts w:ascii="Times New Roman" w:hAnsi="Times New Roman" w:eastAsia="仿宋" w:cs="Times New Roman"/>
                <w:color w:val="auto"/>
                <w:sz w:val="21"/>
                <w:szCs w:val="21"/>
              </w:rPr>
            </w:pPr>
          </w:p>
        </w:tc>
        <w:tc>
          <w:tcPr>
            <w:tcW w:w="3022" w:type="dxa"/>
            <w:gridSpan w:val="2"/>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重量大了 </w:t>
            </w:r>
          </w:p>
        </w:tc>
        <w:tc>
          <w:tcPr>
            <w:tcW w:w="1431" w:type="dxa"/>
            <w:shd w:val="clear" w:color="auto" w:fill="auto"/>
          </w:tcPr>
          <w:p>
            <w:pPr>
              <w:autoSpaceDE w:val="0"/>
              <w:autoSpaceDN w:val="0"/>
              <w:adjustRightInd w:val="0"/>
              <w:jc w:val="left"/>
              <w:rPr>
                <w:rFonts w:ascii="Times New Roman" w:hAnsi="Times New Roman" w:eastAsia="仿宋" w:cs="Times New Roman"/>
                <w:color w:val="auto"/>
                <w:kern w:val="0"/>
                <w:sz w:val="21"/>
                <w:szCs w:val="21"/>
              </w:rPr>
            </w:pPr>
          </w:p>
        </w:tc>
        <w:tc>
          <w:tcPr>
            <w:tcW w:w="1590" w:type="dxa"/>
            <w:shd w:val="clear" w:color="auto" w:fill="auto"/>
          </w:tcPr>
          <w:p>
            <w:pPr>
              <w:autoSpaceDE w:val="0"/>
              <w:autoSpaceDN w:val="0"/>
              <w:adjustRightInd w:val="0"/>
              <w:jc w:val="left"/>
              <w:rPr>
                <w:rFonts w:ascii="Times New Roman" w:hAnsi="Times New Roman" w:eastAsia="仿宋"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restart"/>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w:t>
            </w:r>
          </w:p>
        </w:tc>
        <w:tc>
          <w:tcPr>
            <w:tcW w:w="925" w:type="dxa"/>
            <w:vMerge w:val="restart"/>
            <w:shd w:val="clear" w:color="auto" w:fill="auto"/>
            <w:vAlign w:val="center"/>
          </w:tcPr>
          <w:p>
            <w:pPr>
              <w:autoSpaceDE w:val="0"/>
              <w:autoSpaceDN w:val="0"/>
              <w:adjustRightInd w:val="0"/>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本地鱼类情况</w:t>
            </w:r>
          </w:p>
        </w:tc>
        <w:tc>
          <w:tcPr>
            <w:tcW w:w="1301" w:type="dxa"/>
            <w:gridSpan w:val="2"/>
            <w:vMerge w:val="restart"/>
            <w:shd w:val="clear" w:color="auto" w:fill="auto"/>
            <w:vAlign w:val="center"/>
          </w:tcPr>
          <w:p>
            <w:pPr>
              <w:autoSpaceDE w:val="0"/>
              <w:autoSpaceDN w:val="0"/>
              <w:adjustRightInd w:val="0"/>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对本地鱼类了解情况 </w:t>
            </w:r>
          </w:p>
        </w:tc>
        <w:tc>
          <w:tcPr>
            <w:tcW w:w="2704" w:type="dxa"/>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了解一些 </w:t>
            </w:r>
          </w:p>
        </w:tc>
        <w:tc>
          <w:tcPr>
            <w:tcW w:w="1431" w:type="dxa"/>
            <w:shd w:val="clear" w:color="auto" w:fill="auto"/>
          </w:tcPr>
          <w:p>
            <w:pPr>
              <w:autoSpaceDE w:val="0"/>
              <w:autoSpaceDN w:val="0"/>
              <w:adjustRightInd w:val="0"/>
              <w:jc w:val="left"/>
              <w:rPr>
                <w:rFonts w:ascii="Times New Roman" w:hAnsi="Times New Roman" w:eastAsia="仿宋" w:cs="Times New Roman"/>
                <w:color w:val="auto"/>
                <w:kern w:val="0"/>
                <w:sz w:val="21"/>
                <w:szCs w:val="21"/>
              </w:rPr>
            </w:pPr>
          </w:p>
        </w:tc>
        <w:tc>
          <w:tcPr>
            <w:tcW w:w="1590" w:type="dxa"/>
            <w:shd w:val="clear" w:color="auto" w:fill="auto"/>
          </w:tcPr>
          <w:p>
            <w:pPr>
              <w:autoSpaceDE w:val="0"/>
              <w:autoSpaceDN w:val="0"/>
              <w:adjustRightInd w:val="0"/>
              <w:jc w:val="left"/>
              <w:rPr>
                <w:rFonts w:ascii="Times New Roman" w:hAnsi="Times New Roman" w:eastAsia="仿宋"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925"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1301" w:type="dxa"/>
            <w:gridSpan w:val="2"/>
            <w:vMerge w:val="continue"/>
            <w:shd w:val="clear" w:color="auto" w:fill="auto"/>
            <w:vAlign w:val="center"/>
          </w:tcPr>
          <w:p>
            <w:pPr>
              <w:jc w:val="center"/>
              <w:rPr>
                <w:rFonts w:ascii="Times New Roman" w:hAnsi="Times New Roman" w:eastAsia="仿宋" w:cs="Times New Roman"/>
                <w:color w:val="auto"/>
                <w:sz w:val="21"/>
                <w:szCs w:val="21"/>
              </w:rPr>
            </w:pPr>
          </w:p>
        </w:tc>
        <w:tc>
          <w:tcPr>
            <w:tcW w:w="2704" w:type="dxa"/>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未表态 </w:t>
            </w:r>
          </w:p>
        </w:tc>
        <w:tc>
          <w:tcPr>
            <w:tcW w:w="1431" w:type="dxa"/>
            <w:shd w:val="clear" w:color="auto" w:fill="auto"/>
          </w:tcPr>
          <w:p>
            <w:pPr>
              <w:autoSpaceDE w:val="0"/>
              <w:autoSpaceDN w:val="0"/>
              <w:adjustRightInd w:val="0"/>
              <w:jc w:val="left"/>
              <w:rPr>
                <w:rFonts w:ascii="Times New Roman" w:hAnsi="Times New Roman" w:eastAsia="仿宋" w:cs="Times New Roman"/>
                <w:color w:val="auto"/>
                <w:kern w:val="0"/>
                <w:sz w:val="21"/>
                <w:szCs w:val="21"/>
              </w:rPr>
            </w:pPr>
          </w:p>
        </w:tc>
        <w:tc>
          <w:tcPr>
            <w:tcW w:w="1590" w:type="dxa"/>
            <w:shd w:val="clear" w:color="auto" w:fill="auto"/>
          </w:tcPr>
          <w:p>
            <w:pPr>
              <w:autoSpaceDE w:val="0"/>
              <w:autoSpaceDN w:val="0"/>
              <w:adjustRightInd w:val="0"/>
              <w:jc w:val="left"/>
              <w:rPr>
                <w:rFonts w:ascii="Times New Roman" w:hAnsi="Times New Roman" w:eastAsia="仿宋"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925"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1301" w:type="dxa"/>
            <w:gridSpan w:val="2"/>
            <w:vMerge w:val="restart"/>
            <w:shd w:val="clear" w:color="auto" w:fill="auto"/>
            <w:vAlign w:val="center"/>
          </w:tcPr>
          <w:p>
            <w:pPr>
              <w:autoSpaceDE w:val="0"/>
              <w:autoSpaceDN w:val="0"/>
              <w:adjustRightInd w:val="0"/>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本地鱼类种类变化情况 </w:t>
            </w:r>
          </w:p>
        </w:tc>
        <w:tc>
          <w:tcPr>
            <w:tcW w:w="2704" w:type="dxa"/>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以前有，现在完全没有 </w:t>
            </w:r>
          </w:p>
        </w:tc>
        <w:tc>
          <w:tcPr>
            <w:tcW w:w="1431"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24 </w:t>
            </w:r>
          </w:p>
        </w:tc>
        <w:tc>
          <w:tcPr>
            <w:tcW w:w="1590"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925"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1301" w:type="dxa"/>
            <w:gridSpan w:val="2"/>
            <w:vMerge w:val="continue"/>
            <w:shd w:val="clear" w:color="auto" w:fill="auto"/>
            <w:vAlign w:val="center"/>
          </w:tcPr>
          <w:p>
            <w:pPr>
              <w:jc w:val="center"/>
              <w:rPr>
                <w:rFonts w:ascii="Times New Roman" w:hAnsi="Times New Roman" w:eastAsia="仿宋" w:cs="Times New Roman"/>
                <w:color w:val="auto"/>
                <w:sz w:val="21"/>
                <w:szCs w:val="21"/>
              </w:rPr>
            </w:pPr>
          </w:p>
        </w:tc>
        <w:tc>
          <w:tcPr>
            <w:tcW w:w="2704" w:type="dxa"/>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以前有，现在部分没有 </w:t>
            </w:r>
          </w:p>
        </w:tc>
        <w:tc>
          <w:tcPr>
            <w:tcW w:w="1431"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3 </w:t>
            </w:r>
          </w:p>
        </w:tc>
        <w:tc>
          <w:tcPr>
            <w:tcW w:w="1590"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925"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1301" w:type="dxa"/>
            <w:gridSpan w:val="2"/>
            <w:vMerge w:val="continue"/>
            <w:shd w:val="clear" w:color="auto" w:fill="auto"/>
            <w:vAlign w:val="center"/>
          </w:tcPr>
          <w:p>
            <w:pPr>
              <w:jc w:val="center"/>
              <w:rPr>
                <w:rFonts w:ascii="Times New Roman" w:hAnsi="Times New Roman" w:eastAsia="仿宋" w:cs="Times New Roman"/>
                <w:color w:val="auto"/>
                <w:sz w:val="21"/>
                <w:szCs w:val="21"/>
              </w:rPr>
            </w:pPr>
          </w:p>
        </w:tc>
        <w:tc>
          <w:tcPr>
            <w:tcW w:w="2704" w:type="dxa"/>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没有变化 </w:t>
            </w:r>
          </w:p>
        </w:tc>
        <w:tc>
          <w:tcPr>
            <w:tcW w:w="1431"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136 </w:t>
            </w:r>
          </w:p>
        </w:tc>
        <w:tc>
          <w:tcPr>
            <w:tcW w:w="1590" w:type="dxa"/>
            <w:shd w:val="clear" w:color="auto" w:fill="auto"/>
            <w:vAlign w:val="center"/>
          </w:tcPr>
          <w:p>
            <w:pPr>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83.4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925" w:type="dxa"/>
            <w:vMerge w:val="continue"/>
            <w:shd w:val="clear" w:color="auto" w:fill="auto"/>
            <w:vAlign w:val="center"/>
          </w:tcPr>
          <w:p>
            <w:pPr>
              <w:jc w:val="center"/>
              <w:rPr>
                <w:rFonts w:ascii="Times New Roman" w:hAnsi="Times New Roman" w:eastAsia="仿宋" w:cs="Times New Roman"/>
                <w:color w:val="auto"/>
                <w:sz w:val="21"/>
                <w:szCs w:val="21"/>
              </w:rPr>
            </w:pPr>
          </w:p>
        </w:tc>
        <w:tc>
          <w:tcPr>
            <w:tcW w:w="1301" w:type="dxa"/>
            <w:gridSpan w:val="2"/>
            <w:vMerge w:val="continue"/>
            <w:shd w:val="clear" w:color="auto" w:fill="auto"/>
            <w:vAlign w:val="center"/>
          </w:tcPr>
          <w:p>
            <w:pPr>
              <w:jc w:val="center"/>
              <w:rPr>
                <w:rFonts w:ascii="Times New Roman" w:hAnsi="Times New Roman" w:eastAsia="仿宋" w:cs="Times New Roman"/>
                <w:color w:val="auto"/>
                <w:sz w:val="21"/>
                <w:szCs w:val="21"/>
              </w:rPr>
            </w:pPr>
          </w:p>
        </w:tc>
        <w:tc>
          <w:tcPr>
            <w:tcW w:w="2704" w:type="dxa"/>
            <w:shd w:val="clear" w:color="auto" w:fill="auto"/>
          </w:tcPr>
          <w:p>
            <w:pPr>
              <w:autoSpaceDE w:val="0"/>
              <w:autoSpaceDN w:val="0"/>
              <w:adjustRightInd w:val="0"/>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未表态 </w:t>
            </w:r>
          </w:p>
        </w:tc>
        <w:tc>
          <w:tcPr>
            <w:tcW w:w="1431" w:type="dxa"/>
            <w:shd w:val="clear" w:color="auto" w:fill="auto"/>
          </w:tcPr>
          <w:p>
            <w:pPr>
              <w:autoSpaceDE w:val="0"/>
              <w:autoSpaceDN w:val="0"/>
              <w:adjustRightInd w:val="0"/>
              <w:jc w:val="left"/>
              <w:rPr>
                <w:rFonts w:ascii="Times New Roman" w:hAnsi="Times New Roman" w:eastAsia="仿宋" w:cs="Times New Roman"/>
                <w:color w:val="auto"/>
                <w:kern w:val="0"/>
                <w:sz w:val="21"/>
                <w:szCs w:val="21"/>
              </w:rPr>
            </w:pPr>
          </w:p>
        </w:tc>
        <w:tc>
          <w:tcPr>
            <w:tcW w:w="1590" w:type="dxa"/>
            <w:shd w:val="clear" w:color="auto" w:fill="auto"/>
          </w:tcPr>
          <w:p>
            <w:pPr>
              <w:autoSpaceDE w:val="0"/>
              <w:autoSpaceDN w:val="0"/>
              <w:adjustRightInd w:val="0"/>
              <w:jc w:val="left"/>
              <w:rPr>
                <w:rFonts w:ascii="Times New Roman" w:hAnsi="Times New Roman" w:eastAsia="仿宋" w:cs="Times New Roman"/>
                <w:color w:val="auto"/>
                <w:kern w:val="0"/>
                <w:sz w:val="21"/>
                <w:szCs w:val="21"/>
              </w:rPr>
            </w:pPr>
          </w:p>
        </w:tc>
      </w:tr>
    </w:tbl>
    <w:p>
      <w:pPr>
        <w:autoSpaceDE w:val="0"/>
        <w:autoSpaceDN w:val="0"/>
        <w:adjustRightInd w:val="0"/>
        <w:spacing w:line="560" w:lineRule="exact"/>
        <w:ind w:firstLine="840" w:firstLineChars="3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3）河流适宜性状况和历史及文化保护程度 </w:t>
      </w:r>
    </w:p>
    <w:p>
      <w:pPr>
        <w:autoSpaceDE w:val="0"/>
        <w:autoSpaceDN w:val="0"/>
        <w:adjustRightInd w:val="0"/>
        <w:spacing w:line="560" w:lineRule="exact"/>
        <w:ind w:firstLine="560" w:firstLineChars="200"/>
        <w:jc w:val="left"/>
        <w:rPr>
          <w:rFonts w:ascii="Times New Roman" w:hAnsi="Times New Roman" w:eastAsia="宋体" w:cs="Times New Roman"/>
          <w:color w:val="auto"/>
          <w:kern w:val="0"/>
          <w:sz w:val="28"/>
          <w:szCs w:val="28"/>
        </w:rPr>
      </w:pP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调查对象评估河道景观、近水难易程度、散步与娱乐休闲活动及与河流相关的历史文化保护程度</w:t>
      </w:r>
      <w:r>
        <w:rPr>
          <w:rFonts w:ascii="Times New Roman" w:hAnsi="Times New Roman" w:eastAsia="宋体" w:cs="Times New Roman"/>
          <w:color w:val="auto"/>
          <w:kern w:val="0"/>
          <w:sz w:val="28"/>
          <w:szCs w:val="28"/>
        </w:rPr>
        <w:t>结果见表5.2.4-3。</w:t>
      </w:r>
    </w:p>
    <w:p>
      <w:pPr>
        <w:autoSpaceDE w:val="0"/>
        <w:autoSpaceDN w:val="0"/>
        <w:adjustRightInd w:val="0"/>
        <w:spacing w:line="560" w:lineRule="exact"/>
        <w:ind w:firstLine="560" w:firstLineChars="200"/>
        <w:jc w:val="left"/>
        <w:rPr>
          <w:rFonts w:ascii="Times New Roman" w:hAnsi="Times New Roman" w:eastAsia="宋体" w:cs="Times New Roman"/>
          <w:color w:val="auto"/>
          <w:kern w:val="0"/>
          <w:sz w:val="28"/>
          <w:szCs w:val="28"/>
        </w:rPr>
      </w:pPr>
    </w:p>
    <w:p>
      <w:pPr>
        <w:tabs>
          <w:tab w:val="left" w:pos="3980"/>
        </w:tabs>
        <w:spacing w:line="360" w:lineRule="auto"/>
        <w:ind w:firstLine="984" w:firstLineChars="350"/>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 xml:space="preserve">表5.2.4-3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 xml:space="preserve"> </w:t>
      </w:r>
      <w:r>
        <w:rPr>
          <w:rFonts w:hint="eastAsia" w:ascii="Times New Roman" w:hAnsi="Times New Roman" w:eastAsia="仿宋" w:cs="Times New Roman"/>
          <w:b/>
          <w:color w:val="auto"/>
          <w:kern w:val="0"/>
          <w:sz w:val="28"/>
          <w:szCs w:val="20"/>
          <w:lang w:eastAsia="zh-CN"/>
        </w:rPr>
        <w:t>资江流域</w:t>
      </w:r>
      <w:r>
        <w:rPr>
          <w:rFonts w:ascii="Times New Roman" w:hAnsi="Times New Roman" w:eastAsia="仿宋" w:cs="Times New Roman"/>
          <w:b/>
          <w:color w:val="auto"/>
          <w:kern w:val="0"/>
          <w:sz w:val="28"/>
          <w:szCs w:val="20"/>
        </w:rPr>
        <w:t>调查对象评估河流适宜性状况表</w:t>
      </w:r>
    </w:p>
    <w:tbl>
      <w:tblPr>
        <w:tblStyle w:val="15"/>
        <w:tblW w:w="9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945"/>
        <w:gridCol w:w="2908"/>
        <w:gridCol w:w="1945"/>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restart"/>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序号</w:t>
            </w:r>
          </w:p>
        </w:tc>
        <w:tc>
          <w:tcPr>
            <w:tcW w:w="4853" w:type="dxa"/>
            <w:gridSpan w:val="2"/>
            <w:vMerge w:val="restart"/>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调查内容</w:t>
            </w:r>
          </w:p>
        </w:tc>
        <w:tc>
          <w:tcPr>
            <w:tcW w:w="3395" w:type="dxa"/>
            <w:gridSpan w:val="2"/>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评估范围（调查总人数163）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4853" w:type="dxa"/>
            <w:gridSpan w:val="2"/>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1945"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人数</w:t>
            </w:r>
          </w:p>
        </w:tc>
        <w:tc>
          <w:tcPr>
            <w:tcW w:w="1450"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w:t>
            </w:r>
          </w:p>
        </w:tc>
        <w:tc>
          <w:tcPr>
            <w:tcW w:w="1945" w:type="dxa"/>
            <w:vMerge w:val="restart"/>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河道景观 </w:t>
            </w:r>
          </w:p>
        </w:tc>
        <w:tc>
          <w:tcPr>
            <w:tcW w:w="2908" w:type="dxa"/>
            <w:shd w:val="clear" w:color="auto" w:fill="auto"/>
          </w:tcPr>
          <w:p>
            <w:pPr>
              <w:autoSpaceDE w:val="0"/>
              <w:autoSpaceDN w:val="0"/>
              <w:adjustRightInd w:val="0"/>
              <w:spacing w:line="380" w:lineRule="exact"/>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优美 </w:t>
            </w:r>
          </w:p>
        </w:tc>
        <w:tc>
          <w:tcPr>
            <w:tcW w:w="19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113 </w:t>
            </w:r>
          </w:p>
        </w:tc>
        <w:tc>
          <w:tcPr>
            <w:tcW w:w="14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69.3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1945"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908" w:type="dxa"/>
            <w:shd w:val="clear" w:color="auto" w:fill="auto"/>
          </w:tcPr>
          <w:p>
            <w:pPr>
              <w:autoSpaceDE w:val="0"/>
              <w:autoSpaceDN w:val="0"/>
              <w:adjustRightInd w:val="0"/>
              <w:spacing w:line="380" w:lineRule="exact"/>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一般 </w:t>
            </w:r>
          </w:p>
        </w:tc>
        <w:tc>
          <w:tcPr>
            <w:tcW w:w="19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48 </w:t>
            </w:r>
          </w:p>
        </w:tc>
        <w:tc>
          <w:tcPr>
            <w:tcW w:w="14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1945"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908" w:type="dxa"/>
            <w:shd w:val="clear" w:color="auto" w:fill="auto"/>
          </w:tcPr>
          <w:p>
            <w:pPr>
              <w:autoSpaceDE w:val="0"/>
              <w:autoSpaceDN w:val="0"/>
              <w:adjustRightInd w:val="0"/>
              <w:spacing w:line="380" w:lineRule="exact"/>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丑陋 </w:t>
            </w:r>
          </w:p>
        </w:tc>
        <w:tc>
          <w:tcPr>
            <w:tcW w:w="19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 </w:t>
            </w:r>
          </w:p>
        </w:tc>
        <w:tc>
          <w:tcPr>
            <w:tcW w:w="14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w:t>
            </w:r>
          </w:p>
        </w:tc>
        <w:tc>
          <w:tcPr>
            <w:tcW w:w="1945" w:type="dxa"/>
            <w:vMerge w:val="restart"/>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近水难易程度</w:t>
            </w:r>
          </w:p>
        </w:tc>
        <w:tc>
          <w:tcPr>
            <w:tcW w:w="2908" w:type="dxa"/>
            <w:shd w:val="clear" w:color="auto" w:fill="auto"/>
          </w:tcPr>
          <w:p>
            <w:pPr>
              <w:autoSpaceDE w:val="0"/>
              <w:autoSpaceDN w:val="0"/>
              <w:adjustRightInd w:val="0"/>
              <w:spacing w:line="380" w:lineRule="exact"/>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容易且安全 </w:t>
            </w:r>
          </w:p>
        </w:tc>
        <w:tc>
          <w:tcPr>
            <w:tcW w:w="19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121 </w:t>
            </w:r>
          </w:p>
        </w:tc>
        <w:tc>
          <w:tcPr>
            <w:tcW w:w="14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1945"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908" w:type="dxa"/>
            <w:shd w:val="clear" w:color="auto" w:fill="auto"/>
          </w:tcPr>
          <w:p>
            <w:pPr>
              <w:autoSpaceDE w:val="0"/>
              <w:autoSpaceDN w:val="0"/>
              <w:adjustRightInd w:val="0"/>
              <w:spacing w:line="380" w:lineRule="exact"/>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难或不安全 </w:t>
            </w:r>
          </w:p>
        </w:tc>
        <w:tc>
          <w:tcPr>
            <w:tcW w:w="19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42 </w:t>
            </w:r>
          </w:p>
        </w:tc>
        <w:tc>
          <w:tcPr>
            <w:tcW w:w="14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w:t>
            </w:r>
          </w:p>
        </w:tc>
        <w:tc>
          <w:tcPr>
            <w:tcW w:w="1945" w:type="dxa"/>
            <w:vMerge w:val="restart"/>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散步与娱乐休闲活动 </w:t>
            </w:r>
          </w:p>
        </w:tc>
        <w:tc>
          <w:tcPr>
            <w:tcW w:w="2908" w:type="dxa"/>
            <w:shd w:val="clear" w:color="auto" w:fill="auto"/>
          </w:tcPr>
          <w:p>
            <w:pPr>
              <w:autoSpaceDE w:val="0"/>
              <w:autoSpaceDN w:val="0"/>
              <w:adjustRightInd w:val="0"/>
              <w:spacing w:line="380" w:lineRule="exact"/>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适宜 </w:t>
            </w:r>
          </w:p>
        </w:tc>
        <w:tc>
          <w:tcPr>
            <w:tcW w:w="19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141 </w:t>
            </w:r>
          </w:p>
        </w:tc>
        <w:tc>
          <w:tcPr>
            <w:tcW w:w="14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1945"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908" w:type="dxa"/>
            <w:shd w:val="clear" w:color="auto" w:fill="auto"/>
          </w:tcPr>
          <w:p>
            <w:pPr>
              <w:autoSpaceDE w:val="0"/>
              <w:autoSpaceDN w:val="0"/>
              <w:adjustRightInd w:val="0"/>
              <w:spacing w:line="380" w:lineRule="exact"/>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不适宜 </w:t>
            </w:r>
          </w:p>
        </w:tc>
        <w:tc>
          <w:tcPr>
            <w:tcW w:w="19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22 </w:t>
            </w:r>
          </w:p>
        </w:tc>
        <w:tc>
          <w:tcPr>
            <w:tcW w:w="14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w:t>
            </w:r>
          </w:p>
        </w:tc>
        <w:tc>
          <w:tcPr>
            <w:tcW w:w="1945" w:type="dxa"/>
            <w:vMerge w:val="restart"/>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历史古迹或文化名胜了解情况 </w:t>
            </w:r>
          </w:p>
        </w:tc>
        <w:tc>
          <w:tcPr>
            <w:tcW w:w="2908" w:type="dxa"/>
            <w:shd w:val="clear" w:color="auto" w:fill="auto"/>
          </w:tcPr>
          <w:p>
            <w:pPr>
              <w:autoSpaceDE w:val="0"/>
              <w:autoSpaceDN w:val="0"/>
              <w:adjustRightInd w:val="0"/>
              <w:spacing w:line="380" w:lineRule="exact"/>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不清楚 </w:t>
            </w:r>
          </w:p>
        </w:tc>
        <w:tc>
          <w:tcPr>
            <w:tcW w:w="19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113 </w:t>
            </w:r>
          </w:p>
        </w:tc>
        <w:tc>
          <w:tcPr>
            <w:tcW w:w="14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69.3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1945"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908" w:type="dxa"/>
            <w:shd w:val="clear" w:color="auto" w:fill="auto"/>
          </w:tcPr>
          <w:p>
            <w:pPr>
              <w:autoSpaceDE w:val="0"/>
              <w:autoSpaceDN w:val="0"/>
              <w:adjustRightInd w:val="0"/>
              <w:spacing w:line="380" w:lineRule="exact"/>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知道一些 </w:t>
            </w:r>
          </w:p>
        </w:tc>
        <w:tc>
          <w:tcPr>
            <w:tcW w:w="19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48 </w:t>
            </w:r>
          </w:p>
        </w:tc>
        <w:tc>
          <w:tcPr>
            <w:tcW w:w="14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1945"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908" w:type="dxa"/>
            <w:shd w:val="clear" w:color="auto" w:fill="auto"/>
          </w:tcPr>
          <w:p>
            <w:pPr>
              <w:autoSpaceDE w:val="0"/>
              <w:autoSpaceDN w:val="0"/>
              <w:adjustRightInd w:val="0"/>
              <w:spacing w:line="380" w:lineRule="exact"/>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比较了解 </w:t>
            </w:r>
          </w:p>
        </w:tc>
        <w:tc>
          <w:tcPr>
            <w:tcW w:w="19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 </w:t>
            </w:r>
          </w:p>
        </w:tc>
        <w:tc>
          <w:tcPr>
            <w:tcW w:w="14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w:t>
            </w:r>
          </w:p>
        </w:tc>
        <w:tc>
          <w:tcPr>
            <w:tcW w:w="1945" w:type="dxa"/>
            <w:vMerge w:val="restart"/>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历史古迹或文化名胜保护与开发情况 </w:t>
            </w:r>
          </w:p>
        </w:tc>
        <w:tc>
          <w:tcPr>
            <w:tcW w:w="2908" w:type="dxa"/>
            <w:shd w:val="clear" w:color="auto" w:fill="auto"/>
          </w:tcPr>
          <w:p>
            <w:pPr>
              <w:autoSpaceDE w:val="0"/>
              <w:autoSpaceDN w:val="0"/>
              <w:adjustRightInd w:val="0"/>
              <w:spacing w:line="380" w:lineRule="exact"/>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没有保护 </w:t>
            </w:r>
          </w:p>
        </w:tc>
        <w:tc>
          <w:tcPr>
            <w:tcW w:w="19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28 </w:t>
            </w:r>
          </w:p>
        </w:tc>
        <w:tc>
          <w:tcPr>
            <w:tcW w:w="14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1945"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908" w:type="dxa"/>
            <w:shd w:val="clear" w:color="auto" w:fill="auto"/>
          </w:tcPr>
          <w:p>
            <w:pPr>
              <w:autoSpaceDE w:val="0"/>
              <w:autoSpaceDN w:val="0"/>
              <w:adjustRightInd w:val="0"/>
              <w:spacing w:line="380" w:lineRule="exact"/>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有保护但不对外开放 </w:t>
            </w:r>
          </w:p>
        </w:tc>
        <w:tc>
          <w:tcPr>
            <w:tcW w:w="19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4 </w:t>
            </w:r>
          </w:p>
        </w:tc>
        <w:tc>
          <w:tcPr>
            <w:tcW w:w="14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1945"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908" w:type="dxa"/>
            <w:shd w:val="clear" w:color="auto" w:fill="auto"/>
          </w:tcPr>
          <w:p>
            <w:pPr>
              <w:autoSpaceDE w:val="0"/>
              <w:autoSpaceDN w:val="0"/>
              <w:adjustRightInd w:val="0"/>
              <w:spacing w:line="380" w:lineRule="exact"/>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有保护也对外开放 </w:t>
            </w:r>
          </w:p>
        </w:tc>
        <w:tc>
          <w:tcPr>
            <w:tcW w:w="194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131 </w:t>
            </w:r>
          </w:p>
        </w:tc>
        <w:tc>
          <w:tcPr>
            <w:tcW w:w="145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1945"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908" w:type="dxa"/>
            <w:shd w:val="clear" w:color="auto" w:fill="auto"/>
          </w:tcPr>
          <w:p>
            <w:pPr>
              <w:autoSpaceDE w:val="0"/>
              <w:autoSpaceDN w:val="0"/>
              <w:adjustRightInd w:val="0"/>
              <w:spacing w:line="380" w:lineRule="exact"/>
              <w:jc w:val="left"/>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未表态 </w:t>
            </w:r>
          </w:p>
        </w:tc>
        <w:tc>
          <w:tcPr>
            <w:tcW w:w="1945" w:type="dxa"/>
            <w:shd w:val="clear" w:color="auto" w:fill="auto"/>
          </w:tcPr>
          <w:p>
            <w:pPr>
              <w:autoSpaceDE w:val="0"/>
              <w:autoSpaceDN w:val="0"/>
              <w:adjustRightInd w:val="0"/>
              <w:spacing w:line="380" w:lineRule="exact"/>
              <w:jc w:val="left"/>
              <w:rPr>
                <w:rFonts w:ascii="Times New Roman" w:hAnsi="Times New Roman" w:eastAsia="仿宋" w:cs="Times New Roman"/>
                <w:color w:val="auto"/>
                <w:kern w:val="0"/>
                <w:sz w:val="21"/>
                <w:szCs w:val="21"/>
              </w:rPr>
            </w:pPr>
          </w:p>
        </w:tc>
        <w:tc>
          <w:tcPr>
            <w:tcW w:w="1450" w:type="dxa"/>
            <w:shd w:val="clear" w:color="auto" w:fill="auto"/>
          </w:tcPr>
          <w:p>
            <w:pPr>
              <w:autoSpaceDE w:val="0"/>
              <w:autoSpaceDN w:val="0"/>
              <w:adjustRightInd w:val="0"/>
              <w:spacing w:line="380" w:lineRule="exact"/>
              <w:jc w:val="left"/>
              <w:rPr>
                <w:rFonts w:ascii="Times New Roman" w:hAnsi="Times New Roman" w:eastAsia="仿宋" w:cs="Times New Roman"/>
                <w:color w:val="auto"/>
                <w:kern w:val="0"/>
                <w:sz w:val="21"/>
                <w:szCs w:val="21"/>
              </w:rPr>
            </w:pPr>
          </w:p>
        </w:tc>
      </w:tr>
    </w:tbl>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 </w:t>
      </w:r>
    </w:p>
    <w:p>
      <w:pPr>
        <w:autoSpaceDE w:val="0"/>
        <w:autoSpaceDN w:val="0"/>
        <w:adjustRightInd w:val="0"/>
        <w:spacing w:line="360" w:lineRule="auto"/>
        <w:ind w:firstLine="840" w:firstLineChars="3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4）对河流的满意程度 </w:t>
      </w:r>
    </w:p>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被调查的公众对</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现状满意的占54.0%，很满意的占14.7%，不满意的占14.7%，很不满意的占1.2%</w:t>
      </w:r>
      <w:r>
        <w:rPr>
          <w:rFonts w:ascii="Times New Roman" w:hAnsi="Times New Roman" w:cs="Times New Roman"/>
          <w:color w:val="auto"/>
          <w:kern w:val="0"/>
          <w:sz w:val="28"/>
          <w:szCs w:val="28"/>
        </w:rPr>
        <w:t>，具体见表5.2.4-4。</w:t>
      </w:r>
      <w:r>
        <w:rPr>
          <w:rFonts w:ascii="Times New Roman" w:hAnsi="Times New Roman" w:eastAsia="仿宋" w:cs="Times New Roman"/>
          <w:color w:val="auto"/>
          <w:kern w:val="0"/>
          <w:sz w:val="28"/>
          <w:szCs w:val="28"/>
        </w:rPr>
        <w:t xml:space="preserve">不满意的原因是来水量年内分配不均， 缺乏水利工程对来水量的调节。沿河居民环保意识不强；基础设施不完善，污水未经处理直接排放；河岸有坍塌，缺乏水利工程的保护。 </w:t>
      </w:r>
    </w:p>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公众希望的河流状况是应做好植被保护，做些水利工程，以增加灌溉面积，来水量较少，电鱼的人太多，应控制一下，水质较好，河流流量在枯水期较大，水中鱼类较多，岸边有安全的休闲场所；保持水质清洁，河岸及河库动植物多样性，相关管理规范化，杜绝电鱼、网鱼现象。</w:t>
      </w:r>
    </w:p>
    <w:p>
      <w:pPr>
        <w:tabs>
          <w:tab w:val="left" w:pos="3980"/>
        </w:tabs>
        <w:spacing w:line="360" w:lineRule="auto"/>
        <w:ind w:firstLine="984" w:firstLineChars="350"/>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 xml:space="preserve">表5.2.4-4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 xml:space="preserve"> </w:t>
      </w:r>
      <w:r>
        <w:rPr>
          <w:rFonts w:hint="eastAsia" w:ascii="Times New Roman" w:hAnsi="Times New Roman" w:eastAsia="仿宋" w:cs="Times New Roman"/>
          <w:b/>
          <w:color w:val="auto"/>
          <w:kern w:val="0"/>
          <w:sz w:val="28"/>
          <w:szCs w:val="20"/>
          <w:lang w:eastAsia="zh-CN"/>
        </w:rPr>
        <w:t>资江流域</w:t>
      </w:r>
      <w:r>
        <w:rPr>
          <w:rFonts w:ascii="Times New Roman" w:hAnsi="Times New Roman" w:eastAsia="仿宋" w:cs="Times New Roman"/>
          <w:b/>
          <w:color w:val="auto"/>
          <w:kern w:val="0"/>
          <w:sz w:val="28"/>
          <w:szCs w:val="20"/>
        </w:rPr>
        <w:t>调查对象评估河流满意程度结果表</w:t>
      </w:r>
    </w:p>
    <w:tbl>
      <w:tblPr>
        <w:tblStyle w:val="15"/>
        <w:tblW w:w="9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5"/>
        <w:gridCol w:w="2336"/>
        <w:gridCol w:w="2336"/>
        <w:gridCol w:w="2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1" w:type="dxa"/>
            <w:gridSpan w:val="2"/>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4672" w:type="dxa"/>
            <w:gridSpan w:val="2"/>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评估范围（调查总人数163）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1" w:type="dxa"/>
            <w:gridSpan w:val="2"/>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3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人数</w:t>
            </w:r>
          </w:p>
        </w:tc>
        <w:tc>
          <w:tcPr>
            <w:tcW w:w="23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满意程度</w:t>
            </w:r>
          </w:p>
        </w:tc>
        <w:tc>
          <w:tcPr>
            <w:tcW w:w="2336" w:type="dxa"/>
            <w:shd w:val="clear" w:color="auto" w:fill="auto"/>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很满意（100） </w:t>
            </w:r>
          </w:p>
        </w:tc>
        <w:tc>
          <w:tcPr>
            <w:tcW w:w="23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24 </w:t>
            </w:r>
          </w:p>
        </w:tc>
        <w:tc>
          <w:tcPr>
            <w:tcW w:w="23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336" w:type="dxa"/>
            <w:shd w:val="clear" w:color="auto" w:fill="auto"/>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满意（≥80） </w:t>
            </w:r>
          </w:p>
        </w:tc>
        <w:tc>
          <w:tcPr>
            <w:tcW w:w="23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88 </w:t>
            </w:r>
          </w:p>
        </w:tc>
        <w:tc>
          <w:tcPr>
            <w:tcW w:w="23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54.0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336" w:type="dxa"/>
            <w:shd w:val="clear" w:color="auto" w:fill="auto"/>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基本满意（≥60） </w:t>
            </w:r>
          </w:p>
        </w:tc>
        <w:tc>
          <w:tcPr>
            <w:tcW w:w="23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25 </w:t>
            </w:r>
          </w:p>
        </w:tc>
        <w:tc>
          <w:tcPr>
            <w:tcW w:w="23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336" w:type="dxa"/>
            <w:shd w:val="clear" w:color="auto" w:fill="auto"/>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不满意（≥30） </w:t>
            </w:r>
          </w:p>
        </w:tc>
        <w:tc>
          <w:tcPr>
            <w:tcW w:w="23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24 </w:t>
            </w:r>
          </w:p>
        </w:tc>
        <w:tc>
          <w:tcPr>
            <w:tcW w:w="23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336" w:type="dxa"/>
            <w:shd w:val="clear" w:color="auto" w:fill="auto"/>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很不满意（≥0） </w:t>
            </w:r>
          </w:p>
        </w:tc>
        <w:tc>
          <w:tcPr>
            <w:tcW w:w="23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2 </w:t>
            </w:r>
          </w:p>
        </w:tc>
        <w:tc>
          <w:tcPr>
            <w:tcW w:w="233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vMerge w:val="continue"/>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336" w:type="dxa"/>
            <w:shd w:val="clear" w:color="auto" w:fill="auto"/>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未表态 </w:t>
            </w:r>
          </w:p>
        </w:tc>
        <w:tc>
          <w:tcPr>
            <w:tcW w:w="2336" w:type="dxa"/>
            <w:shd w:val="clear" w:color="auto" w:fill="auto"/>
            <w:vAlign w:val="center"/>
          </w:tcPr>
          <w:p>
            <w:pPr>
              <w:spacing w:line="380" w:lineRule="exact"/>
              <w:jc w:val="center"/>
              <w:rPr>
                <w:rFonts w:ascii="Times New Roman" w:hAnsi="Times New Roman" w:eastAsia="仿宋" w:cs="Times New Roman"/>
                <w:color w:val="auto"/>
                <w:sz w:val="21"/>
                <w:szCs w:val="21"/>
              </w:rPr>
            </w:pPr>
          </w:p>
        </w:tc>
        <w:tc>
          <w:tcPr>
            <w:tcW w:w="2336" w:type="dxa"/>
            <w:shd w:val="clear" w:color="auto" w:fill="auto"/>
            <w:vAlign w:val="center"/>
          </w:tcPr>
          <w:p>
            <w:pPr>
              <w:spacing w:line="380" w:lineRule="exact"/>
              <w:jc w:val="center"/>
              <w:rPr>
                <w:rFonts w:ascii="Times New Roman" w:hAnsi="Times New Roman" w:eastAsia="仿宋" w:cs="Times New Roman"/>
                <w:color w:val="auto"/>
                <w:sz w:val="21"/>
                <w:szCs w:val="21"/>
              </w:rPr>
            </w:pPr>
          </w:p>
        </w:tc>
      </w:tr>
    </w:tbl>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（3） 公众满意度评估结果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根据收集有效调查表调查成果，根据公众总体评估赋分，按照公式和公众类型权重表计算公众满意度指标，赋分结果见下表5.2.4.3。 </w:t>
      </w:r>
    </w:p>
    <w:p>
      <w:pPr>
        <w:tabs>
          <w:tab w:val="left" w:pos="3980"/>
        </w:tabs>
        <w:spacing w:line="360" w:lineRule="auto"/>
        <w:ind w:firstLine="984" w:firstLineChars="350"/>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 xml:space="preserve">表5.2.4-5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 xml:space="preserve"> </w:t>
      </w:r>
      <w:r>
        <w:rPr>
          <w:rFonts w:hint="eastAsia" w:ascii="Times New Roman" w:hAnsi="Times New Roman" w:eastAsia="仿宋" w:cs="Times New Roman"/>
          <w:b/>
          <w:color w:val="auto"/>
          <w:kern w:val="0"/>
          <w:sz w:val="28"/>
          <w:szCs w:val="20"/>
          <w:lang w:eastAsia="zh-CN"/>
        </w:rPr>
        <w:t>资江</w:t>
      </w:r>
      <w:r>
        <w:rPr>
          <w:rFonts w:ascii="Times New Roman" w:hAnsi="Times New Roman" w:eastAsia="仿宋" w:cs="Times New Roman"/>
          <w:b/>
          <w:color w:val="auto"/>
          <w:kern w:val="0"/>
          <w:sz w:val="28"/>
          <w:szCs w:val="20"/>
        </w:rPr>
        <w:t>干支流公众满意度评估结果赋分表</w:t>
      </w:r>
    </w:p>
    <w:tbl>
      <w:tblPr>
        <w:tblStyle w:val="15"/>
        <w:tblW w:w="9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6"/>
        <w:gridCol w:w="1738"/>
        <w:gridCol w:w="1616"/>
        <w:gridCol w:w="2427"/>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6" w:type="dxa"/>
            <w:shd w:val="clear" w:color="auto" w:fill="auto"/>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评估范围</w:t>
            </w:r>
          </w:p>
        </w:tc>
        <w:tc>
          <w:tcPr>
            <w:tcW w:w="1738" w:type="dxa"/>
            <w:shd w:val="clear" w:color="auto" w:fill="auto"/>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发放问卷数</w:t>
            </w:r>
          </w:p>
        </w:tc>
        <w:tc>
          <w:tcPr>
            <w:tcW w:w="1616" w:type="dxa"/>
            <w:shd w:val="clear" w:color="auto" w:fill="auto"/>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回收问卷数</w:t>
            </w:r>
          </w:p>
        </w:tc>
        <w:tc>
          <w:tcPr>
            <w:tcW w:w="2427" w:type="dxa"/>
            <w:shd w:val="clear" w:color="auto" w:fill="auto"/>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河流综合赋分结果</w:t>
            </w:r>
          </w:p>
        </w:tc>
        <w:tc>
          <w:tcPr>
            <w:tcW w:w="1616" w:type="dxa"/>
            <w:shd w:val="clear" w:color="auto" w:fill="auto"/>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6" w:type="dxa"/>
            <w:shd w:val="clear" w:color="auto" w:fill="auto"/>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资江流域</w:t>
            </w:r>
          </w:p>
        </w:tc>
        <w:tc>
          <w:tcPr>
            <w:tcW w:w="1738"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172</w:t>
            </w:r>
          </w:p>
        </w:tc>
        <w:tc>
          <w:tcPr>
            <w:tcW w:w="1616" w:type="dxa"/>
            <w:vMerge w:val="restart"/>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163</w:t>
            </w:r>
          </w:p>
        </w:tc>
        <w:tc>
          <w:tcPr>
            <w:tcW w:w="2427" w:type="dxa"/>
            <w:shd w:val="clear" w:color="auto" w:fill="auto"/>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81.5</w:t>
            </w:r>
          </w:p>
        </w:tc>
        <w:tc>
          <w:tcPr>
            <w:tcW w:w="1616" w:type="dxa"/>
            <w:shd w:val="clear" w:color="auto" w:fill="auto"/>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6" w:type="dxa"/>
            <w:shd w:val="clear" w:color="auto" w:fill="auto"/>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白竹洞河</w:t>
            </w:r>
          </w:p>
        </w:tc>
        <w:tc>
          <w:tcPr>
            <w:tcW w:w="1738" w:type="dxa"/>
            <w:vMerge w:val="continue"/>
            <w:shd w:val="clear" w:color="auto" w:fill="auto"/>
          </w:tcPr>
          <w:p>
            <w:pPr>
              <w:spacing w:line="380" w:lineRule="exact"/>
              <w:jc w:val="center"/>
              <w:rPr>
                <w:rFonts w:ascii="Times New Roman" w:hAnsi="Times New Roman" w:eastAsia="仿宋" w:cs="Times New Roman"/>
                <w:color w:val="auto"/>
                <w:sz w:val="21"/>
                <w:szCs w:val="21"/>
              </w:rPr>
            </w:pPr>
          </w:p>
        </w:tc>
        <w:tc>
          <w:tcPr>
            <w:tcW w:w="1616" w:type="dxa"/>
            <w:vMerge w:val="continue"/>
            <w:shd w:val="clear" w:color="auto" w:fill="auto"/>
          </w:tcPr>
          <w:p>
            <w:pPr>
              <w:spacing w:line="380" w:lineRule="exact"/>
              <w:jc w:val="center"/>
              <w:rPr>
                <w:rFonts w:ascii="Times New Roman" w:hAnsi="Times New Roman" w:eastAsia="仿宋" w:cs="Times New Roman"/>
                <w:color w:val="auto"/>
                <w:sz w:val="21"/>
                <w:szCs w:val="21"/>
              </w:rPr>
            </w:pPr>
          </w:p>
        </w:tc>
        <w:tc>
          <w:tcPr>
            <w:tcW w:w="2427" w:type="dxa"/>
            <w:shd w:val="clear" w:color="auto" w:fill="auto"/>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76.6</w:t>
            </w:r>
          </w:p>
        </w:tc>
        <w:tc>
          <w:tcPr>
            <w:tcW w:w="1616" w:type="dxa"/>
            <w:shd w:val="clear" w:color="auto" w:fill="auto"/>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6" w:type="dxa"/>
            <w:shd w:val="clear" w:color="auto" w:fill="auto"/>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大湾河</w:t>
            </w:r>
          </w:p>
        </w:tc>
        <w:tc>
          <w:tcPr>
            <w:tcW w:w="1738" w:type="dxa"/>
            <w:vMerge w:val="continue"/>
            <w:shd w:val="clear" w:color="auto" w:fill="auto"/>
          </w:tcPr>
          <w:p>
            <w:pPr>
              <w:spacing w:line="380" w:lineRule="exact"/>
              <w:jc w:val="center"/>
              <w:rPr>
                <w:rFonts w:ascii="Times New Roman" w:hAnsi="Times New Roman" w:eastAsia="仿宋" w:cs="Times New Roman"/>
                <w:color w:val="auto"/>
                <w:sz w:val="21"/>
                <w:szCs w:val="21"/>
              </w:rPr>
            </w:pPr>
          </w:p>
        </w:tc>
        <w:tc>
          <w:tcPr>
            <w:tcW w:w="1616" w:type="dxa"/>
            <w:vMerge w:val="continue"/>
            <w:shd w:val="clear" w:color="auto" w:fill="auto"/>
          </w:tcPr>
          <w:p>
            <w:pPr>
              <w:spacing w:line="380" w:lineRule="exact"/>
              <w:jc w:val="center"/>
              <w:rPr>
                <w:rFonts w:ascii="Times New Roman" w:hAnsi="Times New Roman" w:eastAsia="仿宋" w:cs="Times New Roman"/>
                <w:color w:val="auto"/>
                <w:sz w:val="21"/>
                <w:szCs w:val="21"/>
              </w:rPr>
            </w:pPr>
          </w:p>
        </w:tc>
        <w:tc>
          <w:tcPr>
            <w:tcW w:w="2427" w:type="dxa"/>
            <w:shd w:val="clear" w:color="auto" w:fill="auto"/>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82.6</w:t>
            </w:r>
          </w:p>
        </w:tc>
        <w:tc>
          <w:tcPr>
            <w:tcW w:w="1616" w:type="dxa"/>
            <w:shd w:val="clear" w:color="auto" w:fill="auto"/>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6" w:type="dxa"/>
            <w:shd w:val="clear" w:color="auto" w:fill="auto"/>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瓜里河</w:t>
            </w:r>
          </w:p>
        </w:tc>
        <w:tc>
          <w:tcPr>
            <w:tcW w:w="1738" w:type="dxa"/>
            <w:vMerge w:val="continue"/>
            <w:shd w:val="clear" w:color="auto" w:fill="auto"/>
          </w:tcPr>
          <w:p>
            <w:pPr>
              <w:spacing w:line="380" w:lineRule="exact"/>
              <w:jc w:val="center"/>
              <w:rPr>
                <w:rFonts w:ascii="Times New Roman" w:hAnsi="Times New Roman" w:eastAsia="仿宋" w:cs="Times New Roman"/>
                <w:color w:val="auto"/>
                <w:sz w:val="21"/>
                <w:szCs w:val="21"/>
              </w:rPr>
            </w:pPr>
          </w:p>
        </w:tc>
        <w:tc>
          <w:tcPr>
            <w:tcW w:w="1616" w:type="dxa"/>
            <w:vMerge w:val="continue"/>
            <w:shd w:val="clear" w:color="auto" w:fill="auto"/>
          </w:tcPr>
          <w:p>
            <w:pPr>
              <w:spacing w:line="380" w:lineRule="exact"/>
              <w:jc w:val="center"/>
              <w:rPr>
                <w:rFonts w:ascii="Times New Roman" w:hAnsi="Times New Roman" w:eastAsia="仿宋" w:cs="Times New Roman"/>
                <w:color w:val="auto"/>
                <w:sz w:val="21"/>
                <w:szCs w:val="21"/>
              </w:rPr>
            </w:pPr>
          </w:p>
        </w:tc>
        <w:tc>
          <w:tcPr>
            <w:tcW w:w="2427" w:type="dxa"/>
            <w:shd w:val="clear" w:color="auto" w:fill="auto"/>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77.3</w:t>
            </w:r>
          </w:p>
        </w:tc>
        <w:tc>
          <w:tcPr>
            <w:tcW w:w="1616" w:type="dxa"/>
            <w:shd w:val="clear" w:color="auto" w:fill="auto"/>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6" w:type="dxa"/>
            <w:shd w:val="clear" w:color="auto" w:fill="auto"/>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木厂水</w:t>
            </w:r>
          </w:p>
        </w:tc>
        <w:tc>
          <w:tcPr>
            <w:tcW w:w="1738" w:type="dxa"/>
            <w:vMerge w:val="continue"/>
            <w:shd w:val="clear" w:color="auto" w:fill="auto"/>
          </w:tcPr>
          <w:p>
            <w:pPr>
              <w:spacing w:line="380" w:lineRule="exact"/>
              <w:jc w:val="center"/>
              <w:rPr>
                <w:rFonts w:ascii="Times New Roman" w:hAnsi="Times New Roman" w:eastAsia="仿宋" w:cs="Times New Roman"/>
                <w:color w:val="auto"/>
                <w:sz w:val="21"/>
                <w:szCs w:val="21"/>
              </w:rPr>
            </w:pPr>
          </w:p>
        </w:tc>
        <w:tc>
          <w:tcPr>
            <w:tcW w:w="1616" w:type="dxa"/>
            <w:vMerge w:val="continue"/>
            <w:shd w:val="clear" w:color="auto" w:fill="auto"/>
          </w:tcPr>
          <w:p>
            <w:pPr>
              <w:spacing w:line="380" w:lineRule="exact"/>
              <w:jc w:val="center"/>
              <w:rPr>
                <w:rFonts w:ascii="Times New Roman" w:hAnsi="Times New Roman" w:eastAsia="仿宋" w:cs="Times New Roman"/>
                <w:color w:val="auto"/>
                <w:sz w:val="21"/>
                <w:szCs w:val="21"/>
              </w:rPr>
            </w:pPr>
          </w:p>
        </w:tc>
        <w:tc>
          <w:tcPr>
            <w:tcW w:w="2427" w:type="dxa"/>
            <w:shd w:val="clear" w:color="auto" w:fill="auto"/>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78.8</w:t>
            </w:r>
          </w:p>
        </w:tc>
        <w:tc>
          <w:tcPr>
            <w:tcW w:w="1616" w:type="dxa"/>
            <w:shd w:val="clear" w:color="auto" w:fill="auto"/>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满意</w:t>
            </w:r>
          </w:p>
        </w:tc>
      </w:tr>
    </w:tbl>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p>
    <w:p>
      <w:pPr>
        <w:autoSpaceDE w:val="0"/>
        <w:autoSpaceDN w:val="0"/>
        <w:adjustRightInd w:val="0"/>
        <w:spacing w:line="360" w:lineRule="auto"/>
        <w:jc w:val="left"/>
        <w:outlineLvl w:val="2"/>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5.2.5 社会服务功能准则层评估 </w:t>
      </w:r>
    </w:p>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社会服务功能准则层包括4个指标，根据水功能区达标指标、水资源开发指标、防洪指标及公众满意度指标的评估结果，</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 xml:space="preserve">社会服务功能准则层社会赋分计算根据3.7.2节公式： </w:t>
      </w:r>
    </w:p>
    <w:p>
      <w:pPr>
        <w:autoSpaceDE w:val="0"/>
        <w:autoSpaceDN w:val="0"/>
        <w:adjustRightInd w:val="0"/>
        <w:spacing w:line="360" w:lineRule="auto"/>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SSr=WFZr×WFZw+WRUr×WRUw+FLDRr×FLDRw+PPr×PPw </w:t>
      </w:r>
    </w:p>
    <w:p>
      <w:pPr>
        <w:autoSpaceDE w:val="0"/>
        <w:autoSpaceDN w:val="0"/>
        <w:adjustRightInd w:val="0"/>
        <w:spacing w:line="560" w:lineRule="exact"/>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4个指标的各自权重均为0.25，计算得到社会服务功能准则层综合赋分结果见表5.2.5： </w:t>
      </w:r>
    </w:p>
    <w:p>
      <w:pPr>
        <w:autoSpaceDE w:val="0"/>
        <w:autoSpaceDN w:val="0"/>
        <w:adjustRightInd w:val="0"/>
        <w:spacing w:line="560" w:lineRule="exact"/>
        <w:ind w:firstLine="560" w:firstLineChars="200"/>
        <w:jc w:val="left"/>
        <w:rPr>
          <w:rFonts w:ascii="Times New Roman" w:hAnsi="Times New Roman" w:eastAsia="仿宋" w:cs="Times New Roman"/>
          <w:color w:val="auto"/>
          <w:kern w:val="0"/>
          <w:sz w:val="28"/>
          <w:szCs w:val="28"/>
        </w:rPr>
      </w:pPr>
    </w:p>
    <w:p>
      <w:pPr>
        <w:tabs>
          <w:tab w:val="left" w:pos="3980"/>
        </w:tabs>
        <w:spacing w:line="360" w:lineRule="auto"/>
        <w:ind w:firstLine="984" w:firstLineChars="350"/>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 xml:space="preserve">表5.2.5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 xml:space="preserve">  </w:t>
      </w:r>
      <w:r>
        <w:rPr>
          <w:rFonts w:hint="eastAsia" w:ascii="Times New Roman" w:hAnsi="Times New Roman" w:eastAsia="仿宋" w:cs="Times New Roman"/>
          <w:b/>
          <w:color w:val="auto"/>
          <w:kern w:val="0"/>
          <w:sz w:val="28"/>
          <w:szCs w:val="20"/>
          <w:lang w:eastAsia="zh-CN"/>
        </w:rPr>
        <w:t>资江流域</w:t>
      </w:r>
      <w:r>
        <w:rPr>
          <w:rFonts w:ascii="Times New Roman" w:hAnsi="Times New Roman" w:eastAsia="仿宋" w:cs="Times New Roman"/>
          <w:b/>
          <w:color w:val="auto"/>
          <w:kern w:val="0"/>
          <w:sz w:val="28"/>
          <w:szCs w:val="20"/>
        </w:rPr>
        <w:t>社会服务功能评估结果表</w:t>
      </w:r>
    </w:p>
    <w:tbl>
      <w:tblPr>
        <w:tblStyle w:val="15"/>
        <w:tblW w:w="9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2080"/>
        <w:gridCol w:w="1082"/>
        <w:gridCol w:w="1573"/>
        <w:gridCol w:w="1375"/>
        <w:gridCol w:w="1375"/>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Merge w:val="restart"/>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序号</w:t>
            </w:r>
          </w:p>
        </w:tc>
        <w:tc>
          <w:tcPr>
            <w:tcW w:w="2080" w:type="dxa"/>
            <w:vMerge w:val="restart"/>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河流名称</w:t>
            </w:r>
          </w:p>
        </w:tc>
        <w:tc>
          <w:tcPr>
            <w:tcW w:w="1082"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水功能区达标指标</w:t>
            </w:r>
          </w:p>
        </w:tc>
        <w:tc>
          <w:tcPr>
            <w:tcW w:w="1573"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水资源开发利用指标</w:t>
            </w:r>
          </w:p>
        </w:tc>
        <w:tc>
          <w:tcPr>
            <w:tcW w:w="1375"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防洪指标</w:t>
            </w:r>
          </w:p>
        </w:tc>
        <w:tc>
          <w:tcPr>
            <w:tcW w:w="1375"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公众满意度指标</w:t>
            </w:r>
          </w:p>
        </w:tc>
        <w:tc>
          <w:tcPr>
            <w:tcW w:w="1216" w:type="dxa"/>
            <w:vMerge w:val="restart"/>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社会服务功能赋分（SSr）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Merge w:val="continue"/>
            <w:shd w:val="clear" w:color="auto" w:fill="auto"/>
            <w:vAlign w:val="center"/>
          </w:tcPr>
          <w:p>
            <w:pPr>
              <w:spacing w:line="380" w:lineRule="exact"/>
              <w:jc w:val="center"/>
              <w:rPr>
                <w:rFonts w:ascii="Times New Roman" w:hAnsi="Times New Roman" w:eastAsia="仿宋" w:cs="Times New Roman"/>
                <w:color w:val="auto"/>
                <w:kern w:val="0"/>
                <w:sz w:val="21"/>
                <w:szCs w:val="21"/>
              </w:rPr>
            </w:pPr>
          </w:p>
        </w:tc>
        <w:tc>
          <w:tcPr>
            <w:tcW w:w="2080" w:type="dxa"/>
            <w:vMerge w:val="continue"/>
            <w:shd w:val="clear" w:color="auto" w:fill="auto"/>
            <w:vAlign w:val="center"/>
          </w:tcPr>
          <w:p>
            <w:pPr>
              <w:spacing w:line="380" w:lineRule="exact"/>
              <w:jc w:val="center"/>
              <w:rPr>
                <w:rFonts w:ascii="Times New Roman" w:hAnsi="Times New Roman" w:eastAsia="仿宋" w:cs="Times New Roman"/>
                <w:color w:val="auto"/>
                <w:kern w:val="0"/>
                <w:sz w:val="21"/>
                <w:szCs w:val="21"/>
              </w:rPr>
            </w:pPr>
          </w:p>
        </w:tc>
        <w:tc>
          <w:tcPr>
            <w:tcW w:w="1082"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赋分WFZr</w:t>
            </w:r>
          </w:p>
        </w:tc>
        <w:tc>
          <w:tcPr>
            <w:tcW w:w="1573"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赋分WRUr</w:t>
            </w:r>
          </w:p>
        </w:tc>
        <w:tc>
          <w:tcPr>
            <w:tcW w:w="1375"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赋分FLDr</w:t>
            </w:r>
          </w:p>
        </w:tc>
        <w:tc>
          <w:tcPr>
            <w:tcW w:w="1375"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赋分PPr</w:t>
            </w:r>
          </w:p>
        </w:tc>
        <w:tc>
          <w:tcPr>
            <w:tcW w:w="1216" w:type="dxa"/>
            <w:vMerge w:val="continue"/>
            <w:shd w:val="clear" w:color="auto" w:fill="auto"/>
            <w:vAlign w:val="center"/>
          </w:tcPr>
          <w:p>
            <w:pPr>
              <w:spacing w:line="380" w:lineRule="exact"/>
              <w:jc w:val="center"/>
              <w:rPr>
                <w:rFonts w:ascii="Times New Roman" w:hAnsi="Times New Roman" w:eastAsia="仿宋"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w:t>
            </w:r>
          </w:p>
        </w:tc>
        <w:tc>
          <w:tcPr>
            <w:tcW w:w="208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ascii="Times New Roman" w:hAnsi="Times New Roman" w:eastAsia="仿宋" w:cs="Times New Roman"/>
                <w:color w:val="auto"/>
                <w:sz w:val="21"/>
                <w:szCs w:val="21"/>
              </w:rPr>
              <w:t>保护段</w:t>
            </w:r>
          </w:p>
        </w:tc>
        <w:tc>
          <w:tcPr>
            <w:tcW w:w="108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57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81.5 </w:t>
            </w:r>
          </w:p>
        </w:tc>
        <w:tc>
          <w:tcPr>
            <w:tcW w:w="12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w:t>
            </w:r>
          </w:p>
        </w:tc>
        <w:tc>
          <w:tcPr>
            <w:tcW w:w="208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资江保护段</w:t>
            </w:r>
          </w:p>
        </w:tc>
        <w:tc>
          <w:tcPr>
            <w:tcW w:w="108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57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81.5 </w:t>
            </w:r>
          </w:p>
        </w:tc>
        <w:tc>
          <w:tcPr>
            <w:tcW w:w="12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3</w:t>
            </w:r>
          </w:p>
        </w:tc>
        <w:tc>
          <w:tcPr>
            <w:tcW w:w="208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资江枫木段</w:t>
            </w:r>
          </w:p>
        </w:tc>
        <w:tc>
          <w:tcPr>
            <w:tcW w:w="108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57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81.5 </w:t>
            </w:r>
          </w:p>
        </w:tc>
        <w:tc>
          <w:tcPr>
            <w:tcW w:w="12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4</w:t>
            </w:r>
          </w:p>
        </w:tc>
        <w:tc>
          <w:tcPr>
            <w:tcW w:w="208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108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57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81.5 </w:t>
            </w:r>
          </w:p>
        </w:tc>
        <w:tc>
          <w:tcPr>
            <w:tcW w:w="12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5</w:t>
            </w:r>
          </w:p>
        </w:tc>
        <w:tc>
          <w:tcPr>
            <w:tcW w:w="208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资江县城段</w:t>
            </w:r>
          </w:p>
        </w:tc>
        <w:tc>
          <w:tcPr>
            <w:tcW w:w="108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57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81.5 </w:t>
            </w:r>
          </w:p>
        </w:tc>
        <w:tc>
          <w:tcPr>
            <w:tcW w:w="12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6</w:t>
            </w:r>
          </w:p>
        </w:tc>
        <w:tc>
          <w:tcPr>
            <w:tcW w:w="208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资江梅溪</w:t>
            </w:r>
            <w:r>
              <w:rPr>
                <w:rFonts w:ascii="Times New Roman" w:hAnsi="Times New Roman" w:eastAsia="仿宋" w:cs="Times New Roman"/>
                <w:color w:val="auto"/>
                <w:sz w:val="21"/>
                <w:szCs w:val="21"/>
              </w:rPr>
              <w:t>开发段</w:t>
            </w:r>
          </w:p>
        </w:tc>
        <w:tc>
          <w:tcPr>
            <w:tcW w:w="108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57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81.5 </w:t>
            </w:r>
          </w:p>
        </w:tc>
        <w:tc>
          <w:tcPr>
            <w:tcW w:w="12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w:t>
            </w:r>
          </w:p>
        </w:tc>
        <w:tc>
          <w:tcPr>
            <w:tcW w:w="208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保护段</w:t>
            </w:r>
          </w:p>
        </w:tc>
        <w:tc>
          <w:tcPr>
            <w:tcW w:w="108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57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76.6 </w:t>
            </w:r>
          </w:p>
        </w:tc>
        <w:tc>
          <w:tcPr>
            <w:tcW w:w="12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w:t>
            </w:r>
          </w:p>
        </w:tc>
        <w:tc>
          <w:tcPr>
            <w:tcW w:w="208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ascii="Times New Roman" w:hAnsi="Times New Roman" w:eastAsia="仿宋" w:cs="Times New Roman"/>
                <w:color w:val="auto"/>
                <w:sz w:val="21"/>
                <w:szCs w:val="21"/>
              </w:rPr>
              <w:t>保留段</w:t>
            </w:r>
          </w:p>
        </w:tc>
        <w:tc>
          <w:tcPr>
            <w:tcW w:w="108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57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76.6 </w:t>
            </w:r>
          </w:p>
        </w:tc>
        <w:tc>
          <w:tcPr>
            <w:tcW w:w="12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13</w:t>
            </w:r>
          </w:p>
        </w:tc>
        <w:tc>
          <w:tcPr>
            <w:tcW w:w="208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白竹洞河开发段</w:t>
            </w:r>
          </w:p>
        </w:tc>
        <w:tc>
          <w:tcPr>
            <w:tcW w:w="108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57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76.6 </w:t>
            </w:r>
          </w:p>
        </w:tc>
        <w:tc>
          <w:tcPr>
            <w:tcW w:w="12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w:t>
            </w:r>
          </w:p>
        </w:tc>
        <w:tc>
          <w:tcPr>
            <w:tcW w:w="208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w:t>
            </w:r>
            <w:r>
              <w:rPr>
                <w:rFonts w:ascii="Times New Roman" w:hAnsi="Times New Roman" w:eastAsia="仿宋" w:cs="Times New Roman"/>
                <w:color w:val="auto"/>
                <w:sz w:val="21"/>
                <w:szCs w:val="21"/>
              </w:rPr>
              <w:t>保护段</w:t>
            </w:r>
          </w:p>
        </w:tc>
        <w:tc>
          <w:tcPr>
            <w:tcW w:w="108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57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96.2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82.6 </w:t>
            </w:r>
          </w:p>
        </w:tc>
        <w:tc>
          <w:tcPr>
            <w:tcW w:w="12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15</w:t>
            </w:r>
          </w:p>
        </w:tc>
        <w:tc>
          <w:tcPr>
            <w:tcW w:w="208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大湾河开发段</w:t>
            </w:r>
          </w:p>
        </w:tc>
        <w:tc>
          <w:tcPr>
            <w:tcW w:w="108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57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96.2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82.6 </w:t>
            </w:r>
          </w:p>
        </w:tc>
        <w:tc>
          <w:tcPr>
            <w:tcW w:w="12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16</w:t>
            </w:r>
          </w:p>
        </w:tc>
        <w:tc>
          <w:tcPr>
            <w:tcW w:w="208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w:t>
            </w:r>
            <w:r>
              <w:rPr>
                <w:rFonts w:ascii="Times New Roman" w:hAnsi="Times New Roman" w:eastAsia="仿宋" w:cs="Times New Roman"/>
                <w:color w:val="auto"/>
                <w:sz w:val="21"/>
                <w:szCs w:val="21"/>
              </w:rPr>
              <w:t>保护段</w:t>
            </w:r>
          </w:p>
        </w:tc>
        <w:tc>
          <w:tcPr>
            <w:tcW w:w="108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57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77.3 </w:t>
            </w:r>
          </w:p>
        </w:tc>
        <w:tc>
          <w:tcPr>
            <w:tcW w:w="12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17</w:t>
            </w:r>
          </w:p>
        </w:tc>
        <w:tc>
          <w:tcPr>
            <w:tcW w:w="208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瓜里河保留段</w:t>
            </w:r>
          </w:p>
        </w:tc>
        <w:tc>
          <w:tcPr>
            <w:tcW w:w="108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57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77.3 </w:t>
            </w:r>
          </w:p>
        </w:tc>
        <w:tc>
          <w:tcPr>
            <w:tcW w:w="12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18</w:t>
            </w:r>
          </w:p>
        </w:tc>
        <w:tc>
          <w:tcPr>
            <w:tcW w:w="208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瓜里河开发段</w:t>
            </w:r>
          </w:p>
        </w:tc>
        <w:tc>
          <w:tcPr>
            <w:tcW w:w="108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57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77.3 </w:t>
            </w:r>
          </w:p>
        </w:tc>
        <w:tc>
          <w:tcPr>
            <w:tcW w:w="12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19</w:t>
            </w:r>
          </w:p>
        </w:tc>
        <w:tc>
          <w:tcPr>
            <w:tcW w:w="208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木厂水保护段</w:t>
            </w:r>
          </w:p>
        </w:tc>
        <w:tc>
          <w:tcPr>
            <w:tcW w:w="108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57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78.8 </w:t>
            </w:r>
          </w:p>
        </w:tc>
        <w:tc>
          <w:tcPr>
            <w:tcW w:w="12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20</w:t>
            </w:r>
          </w:p>
        </w:tc>
        <w:tc>
          <w:tcPr>
            <w:tcW w:w="2080"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木厂水开发段</w:t>
            </w:r>
          </w:p>
        </w:tc>
        <w:tc>
          <w:tcPr>
            <w:tcW w:w="1082"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573"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100 </w:t>
            </w:r>
          </w:p>
        </w:tc>
        <w:tc>
          <w:tcPr>
            <w:tcW w:w="1375"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 xml:space="preserve">78.8 </w:t>
            </w:r>
          </w:p>
        </w:tc>
        <w:tc>
          <w:tcPr>
            <w:tcW w:w="1216" w:type="dxa"/>
            <w:shd w:val="clear" w:color="auto" w:fill="auto"/>
            <w:vAlign w:val="center"/>
          </w:tcPr>
          <w:p>
            <w:pPr>
              <w:spacing w:line="380"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94.7</w:t>
            </w:r>
          </w:p>
        </w:tc>
      </w:tr>
    </w:tbl>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计算得到</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社会服务功能层赋分结果：SS=94.1~94.9之间，属于</w:t>
      </w:r>
      <w:r>
        <w:rPr>
          <w:rFonts w:hint="eastAsia" w:ascii="Times New Roman" w:hAnsi="Times New Roman" w:eastAsia="仿宋" w:cs="Times New Roman"/>
          <w:color w:val="auto"/>
          <w:kern w:val="0"/>
          <w:sz w:val="28"/>
          <w:szCs w:val="28"/>
        </w:rPr>
        <w:t>理想</w:t>
      </w:r>
      <w:r>
        <w:rPr>
          <w:rFonts w:ascii="Times New Roman" w:hAnsi="Times New Roman" w:eastAsia="仿宋" w:cs="Times New Roman"/>
          <w:color w:val="auto"/>
          <w:kern w:val="0"/>
          <w:sz w:val="28"/>
          <w:szCs w:val="28"/>
        </w:rPr>
        <w:t>状态。从评估的结果来看水功能区达标率和水资源开发利用率得分均为满分说明</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水质和水量都能满足要求，属于理想的状态，从公众调查表统计结果来看，大家对</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的满意度比较高；防洪指标的赋分结果分值在96.2~100之间，满意度赋分在76.6~81.5之间，得分较低的河段是因为公众满意度指标拉低了指标层的赋分。</w:t>
      </w:r>
    </w:p>
    <w:p>
      <w:pPr>
        <w:ind w:firstLine="560" w:firstLineChars="200"/>
        <w:rPr>
          <w:rFonts w:ascii="Times New Roman" w:hAnsi="Times New Roman" w:eastAsia="宋体" w:cs="Times New Roman"/>
          <w:color w:val="auto"/>
          <w:kern w:val="0"/>
          <w:sz w:val="28"/>
          <w:szCs w:val="28"/>
        </w:rPr>
      </w:pPr>
    </w:p>
    <w:p>
      <w:pPr>
        <w:pStyle w:val="5"/>
        <w:bidi w:val="0"/>
        <w:rPr>
          <w:rFonts w:cs="Times New Roman"/>
          <w:color w:val="auto"/>
        </w:rPr>
      </w:pPr>
      <w:bookmarkStart w:id="92" w:name="_Toc19086"/>
      <w:bookmarkStart w:id="93" w:name="_Toc28157"/>
      <w:r>
        <w:rPr>
          <w:rFonts w:cs="Times New Roman"/>
          <w:color w:val="auto"/>
        </w:rPr>
        <w:t xml:space="preserve">5.3 </w:t>
      </w:r>
      <w:r>
        <w:rPr>
          <w:rFonts w:hint="eastAsia" w:cs="Times New Roman"/>
          <w:color w:val="auto"/>
        </w:rPr>
        <w:t xml:space="preserve"> </w:t>
      </w:r>
      <w:r>
        <w:rPr>
          <w:rFonts w:cs="Times New Roman"/>
          <w:color w:val="auto"/>
        </w:rPr>
        <w:t>河流综合健康评估</w:t>
      </w:r>
      <w:bookmarkEnd w:id="92"/>
      <w:bookmarkEnd w:id="93"/>
      <w:r>
        <w:rPr>
          <w:rFonts w:cs="Times New Roman"/>
          <w:color w:val="auto"/>
        </w:rPr>
        <w:t xml:space="preserve"> </w:t>
      </w:r>
    </w:p>
    <w:p>
      <w:pPr>
        <w:autoSpaceDE w:val="0"/>
        <w:autoSpaceDN w:val="0"/>
        <w:adjustRightInd w:val="0"/>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河流综合健康评估包括河流生态完整性评估赋分和社会服务功能评估赋分。按照3.8.2节，</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 xml:space="preserve">河流综合健康评估分值计算公式如下： </w:t>
      </w:r>
    </w:p>
    <w:p>
      <w:pPr>
        <w:autoSpaceDE w:val="0"/>
        <w:autoSpaceDN w:val="0"/>
        <w:adjustRightInd w:val="0"/>
        <w:spacing w:line="560" w:lineRule="exact"/>
        <w:jc w:val="center"/>
        <w:rPr>
          <w:rFonts w:ascii="Times New Roman" w:hAnsi="Times New Roman" w:eastAsia="仿宋" w:cs="Times New Roman"/>
          <w:color w:val="auto"/>
          <w:kern w:val="0"/>
          <w:sz w:val="28"/>
          <w:szCs w:val="28"/>
        </w:rPr>
      </w:pPr>
      <w:r>
        <w:rPr>
          <w:rFonts w:ascii="Times New Roman" w:hAnsi="Times New Roman" w:eastAsia="仿宋" w:cs="Times New Roman"/>
          <w:iCs/>
          <w:color w:val="auto"/>
          <w:kern w:val="0"/>
          <w:sz w:val="28"/>
          <w:szCs w:val="28"/>
        </w:rPr>
        <w:t>RHI</w:t>
      </w:r>
      <w:r>
        <w:rPr>
          <w:rFonts w:ascii="Times New Roman" w:hAnsi="Times New Roman" w:eastAsia="仿宋" w:cs="Times New Roman"/>
          <w:color w:val="auto"/>
          <w:kern w:val="0"/>
          <w:sz w:val="28"/>
          <w:szCs w:val="28"/>
        </w:rPr>
        <w:t>=</w:t>
      </w:r>
      <w:r>
        <w:rPr>
          <w:rFonts w:ascii="Times New Roman" w:hAnsi="Times New Roman" w:eastAsia="仿宋" w:cs="Times New Roman"/>
          <w:iCs/>
          <w:color w:val="auto"/>
          <w:kern w:val="0"/>
          <w:sz w:val="28"/>
          <w:szCs w:val="28"/>
        </w:rPr>
        <w:t xml:space="preserve">REI </w:t>
      </w:r>
      <w:r>
        <w:rPr>
          <w:rFonts w:ascii="Times New Roman" w:hAnsi="Times New Roman" w:eastAsia="仿宋" w:cs="Times New Roman"/>
          <w:color w:val="auto"/>
          <w:kern w:val="0"/>
          <w:sz w:val="28"/>
          <w:szCs w:val="28"/>
        </w:rPr>
        <w:t>×</w:t>
      </w:r>
      <w:r>
        <w:rPr>
          <w:rFonts w:ascii="Times New Roman" w:hAnsi="Times New Roman" w:eastAsia="仿宋" w:cs="Times New Roman"/>
          <w:iCs/>
          <w:color w:val="auto"/>
          <w:kern w:val="0"/>
          <w:sz w:val="28"/>
          <w:szCs w:val="28"/>
        </w:rPr>
        <w:t>Rew</w:t>
      </w:r>
      <w:r>
        <w:rPr>
          <w:rFonts w:ascii="Times New Roman" w:hAnsi="Times New Roman" w:eastAsia="仿宋" w:cs="Times New Roman"/>
          <w:color w:val="auto"/>
          <w:kern w:val="0"/>
          <w:sz w:val="28"/>
          <w:szCs w:val="28"/>
        </w:rPr>
        <w:t>+</w:t>
      </w:r>
      <w:r>
        <w:rPr>
          <w:rFonts w:ascii="Times New Roman" w:hAnsi="Times New Roman" w:eastAsia="仿宋" w:cs="Times New Roman"/>
          <w:iCs/>
          <w:color w:val="auto"/>
          <w:kern w:val="0"/>
          <w:sz w:val="28"/>
          <w:szCs w:val="28"/>
        </w:rPr>
        <w:t xml:space="preserve">SSI </w:t>
      </w:r>
      <w:r>
        <w:rPr>
          <w:rFonts w:ascii="Times New Roman" w:hAnsi="Times New Roman" w:eastAsia="仿宋" w:cs="Times New Roman"/>
          <w:color w:val="auto"/>
          <w:kern w:val="0"/>
          <w:sz w:val="28"/>
          <w:szCs w:val="28"/>
        </w:rPr>
        <w:t>×</w:t>
      </w:r>
      <w:r>
        <w:rPr>
          <w:rFonts w:ascii="Times New Roman" w:hAnsi="Times New Roman" w:eastAsia="仿宋" w:cs="Times New Roman"/>
          <w:iCs/>
          <w:color w:val="auto"/>
          <w:kern w:val="0"/>
          <w:sz w:val="28"/>
          <w:szCs w:val="28"/>
        </w:rPr>
        <w:t>SSw</w:t>
      </w:r>
    </w:p>
    <w:p>
      <w:pPr>
        <w:autoSpaceDE w:val="0"/>
        <w:autoSpaceDN w:val="0"/>
        <w:adjustRightInd w:val="0"/>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根据生态完整性与社会服务功能评估结果，按上式评估</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 xml:space="preserve">各评估河段综合健康状况，然后按河长权重法计算各评估河段综合健康赋分，具体评估结果见表5.3-1。 </w:t>
      </w:r>
    </w:p>
    <w:p>
      <w:pPr>
        <w:autoSpaceDE w:val="0"/>
        <w:autoSpaceDN w:val="0"/>
        <w:adjustRightInd w:val="0"/>
        <w:spacing w:line="560" w:lineRule="exact"/>
        <w:ind w:firstLine="560" w:firstLineChars="200"/>
        <w:rPr>
          <w:rFonts w:ascii="Times New Roman" w:hAnsi="Times New Roman" w:eastAsia="仿宋" w:cs="Times New Roman"/>
          <w:color w:val="auto"/>
          <w:spacing w:val="-6"/>
          <w:kern w:val="0"/>
          <w:sz w:val="28"/>
          <w:szCs w:val="28"/>
        </w:rPr>
      </w:pPr>
      <w:r>
        <w:rPr>
          <w:rFonts w:ascii="Times New Roman" w:hAnsi="Times New Roman" w:eastAsia="仿宋" w:cs="Times New Roman"/>
          <w:color w:val="auto"/>
          <w:kern w:val="0"/>
          <w:sz w:val="28"/>
          <w:szCs w:val="28"/>
        </w:rPr>
        <w:t>评</w:t>
      </w:r>
      <w:r>
        <w:rPr>
          <w:rFonts w:ascii="Times New Roman" w:hAnsi="Times New Roman" w:eastAsia="仿宋" w:cs="Times New Roman"/>
          <w:color w:val="auto"/>
          <w:spacing w:val="-6"/>
          <w:kern w:val="0"/>
          <w:sz w:val="28"/>
          <w:szCs w:val="28"/>
        </w:rPr>
        <w:t>估结果显示，</w:t>
      </w:r>
      <w:r>
        <w:rPr>
          <w:rFonts w:hint="eastAsia" w:ascii="Times New Roman" w:hAnsi="Times New Roman" w:eastAsia="仿宋" w:cs="Times New Roman"/>
          <w:color w:val="auto"/>
          <w:spacing w:val="-6"/>
          <w:kern w:val="0"/>
          <w:sz w:val="28"/>
          <w:szCs w:val="28"/>
          <w:lang w:eastAsia="zh-CN"/>
        </w:rPr>
        <w:t>资江流域</w:t>
      </w:r>
      <w:r>
        <w:rPr>
          <w:rFonts w:ascii="Times New Roman" w:hAnsi="Times New Roman" w:eastAsia="仿宋" w:cs="Times New Roman"/>
          <w:color w:val="auto"/>
          <w:spacing w:val="-6"/>
          <w:kern w:val="0"/>
          <w:sz w:val="28"/>
          <w:szCs w:val="28"/>
        </w:rPr>
        <w:t>各评估河流均能达到60分以上，</w:t>
      </w:r>
      <w:r>
        <w:rPr>
          <w:rFonts w:hint="eastAsia" w:ascii="Times New Roman" w:hAnsi="Times New Roman" w:eastAsia="仿宋" w:cs="Times New Roman"/>
          <w:color w:val="auto"/>
          <w:spacing w:val="-6"/>
          <w:kern w:val="0"/>
          <w:sz w:val="28"/>
          <w:szCs w:val="28"/>
        </w:rPr>
        <w:t>均</w:t>
      </w:r>
      <w:r>
        <w:rPr>
          <w:rFonts w:ascii="Times New Roman" w:hAnsi="Times New Roman" w:eastAsia="仿宋" w:cs="Times New Roman"/>
          <w:color w:val="auto"/>
          <w:spacing w:val="-6"/>
          <w:kern w:val="0"/>
          <w:sz w:val="28"/>
          <w:szCs w:val="28"/>
        </w:rPr>
        <w:t>处于健康状况。</w:t>
      </w:r>
    </w:p>
    <w:p>
      <w:pPr>
        <w:spacing w:line="360" w:lineRule="auto"/>
        <w:ind w:firstLine="562" w:firstLineChars="200"/>
        <w:outlineLvl w:val="2"/>
        <w:rPr>
          <w:rFonts w:ascii="Times New Roman" w:hAnsi="Times New Roman" w:eastAsia="仿宋" w:cs="Times New Roman"/>
          <w:b/>
          <w:color w:val="auto"/>
          <w:kern w:val="0"/>
          <w:sz w:val="28"/>
          <w:szCs w:val="28"/>
        </w:rPr>
      </w:pPr>
      <w:r>
        <w:rPr>
          <w:rFonts w:hint="eastAsia" w:ascii="Times New Roman" w:hAnsi="Times New Roman" w:eastAsia="仿宋" w:cs="Times New Roman"/>
          <w:b/>
          <w:color w:val="auto"/>
          <w:kern w:val="0"/>
          <w:sz w:val="28"/>
          <w:szCs w:val="28"/>
        </w:rPr>
        <w:t>表</w:t>
      </w:r>
      <w:r>
        <w:rPr>
          <w:rFonts w:ascii="Times New Roman" w:hAnsi="Times New Roman" w:eastAsia="仿宋" w:cs="Times New Roman"/>
          <w:b/>
          <w:color w:val="auto"/>
          <w:kern w:val="0"/>
          <w:sz w:val="28"/>
          <w:szCs w:val="28"/>
        </w:rPr>
        <w:t xml:space="preserve">5.3-1 </w:t>
      </w:r>
      <w:r>
        <w:rPr>
          <w:rFonts w:hint="eastAsia" w:ascii="Times New Roman" w:hAnsi="Times New Roman" w:eastAsia="仿宋" w:cs="Times New Roman"/>
          <w:b/>
          <w:color w:val="auto"/>
          <w:kern w:val="0"/>
          <w:sz w:val="28"/>
          <w:szCs w:val="28"/>
        </w:rPr>
        <w:t xml:space="preserve">       </w:t>
      </w:r>
      <w:r>
        <w:rPr>
          <w:rFonts w:ascii="Times New Roman" w:hAnsi="Times New Roman" w:eastAsia="仿宋" w:cs="Times New Roman"/>
          <w:b/>
          <w:color w:val="auto"/>
          <w:kern w:val="0"/>
          <w:sz w:val="28"/>
          <w:szCs w:val="28"/>
        </w:rPr>
        <w:t xml:space="preserve"> </w:t>
      </w:r>
      <w:r>
        <w:rPr>
          <w:rFonts w:hint="eastAsia" w:ascii="Times New Roman" w:hAnsi="Times New Roman" w:eastAsia="仿宋" w:cs="Times New Roman"/>
          <w:b/>
          <w:color w:val="auto"/>
          <w:kern w:val="0"/>
          <w:sz w:val="28"/>
          <w:szCs w:val="28"/>
          <w:lang w:eastAsia="zh-CN"/>
        </w:rPr>
        <w:t>资江流域</w:t>
      </w:r>
      <w:r>
        <w:rPr>
          <w:rFonts w:ascii="Times New Roman" w:hAnsi="Times New Roman" w:eastAsia="仿宋" w:cs="Times New Roman"/>
          <w:b/>
          <w:color w:val="auto"/>
          <w:kern w:val="0"/>
          <w:sz w:val="28"/>
          <w:szCs w:val="28"/>
        </w:rPr>
        <w:t>评估河流综合健康评估结果</w:t>
      </w:r>
    </w:p>
    <w:tbl>
      <w:tblPr>
        <w:tblStyle w:val="15"/>
        <w:tblW w:w="8640" w:type="dxa"/>
        <w:tblInd w:w="93" w:type="dxa"/>
        <w:tblLayout w:type="fixed"/>
        <w:tblCellMar>
          <w:top w:w="0" w:type="dxa"/>
          <w:left w:w="108" w:type="dxa"/>
          <w:bottom w:w="0" w:type="dxa"/>
          <w:right w:w="108" w:type="dxa"/>
        </w:tblCellMar>
      </w:tblPr>
      <w:tblGrid>
        <w:gridCol w:w="1080"/>
        <w:gridCol w:w="1080"/>
        <w:gridCol w:w="1080"/>
        <w:gridCol w:w="1080"/>
        <w:gridCol w:w="1080"/>
        <w:gridCol w:w="1080"/>
        <w:gridCol w:w="1080"/>
        <w:gridCol w:w="1080"/>
      </w:tblGrid>
      <w:tr>
        <w:tblPrEx>
          <w:tblCellMar>
            <w:top w:w="0" w:type="dxa"/>
            <w:left w:w="108" w:type="dxa"/>
            <w:bottom w:w="0" w:type="dxa"/>
            <w:right w:w="108" w:type="dxa"/>
          </w:tblCellMar>
        </w:tblPrEx>
        <w:trPr>
          <w:trHeight w:val="270" w:hRule="atLeast"/>
        </w:trPr>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河段号</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河流名称</w:t>
            </w:r>
          </w:p>
        </w:tc>
        <w:tc>
          <w:tcPr>
            <w:tcW w:w="21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生态完整性评估</w:t>
            </w:r>
          </w:p>
        </w:tc>
        <w:tc>
          <w:tcPr>
            <w:tcW w:w="21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社会服务功能评估</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河流综合健康评估分值（RHIr）</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健康状况</w:t>
            </w:r>
          </w:p>
        </w:tc>
      </w:tr>
      <w:tr>
        <w:tblPrEx>
          <w:tblCellMar>
            <w:top w:w="0" w:type="dxa"/>
            <w:left w:w="108" w:type="dxa"/>
            <w:bottom w:w="0" w:type="dxa"/>
            <w:right w:w="108" w:type="dxa"/>
          </w:tblCellMar>
        </w:tblPrEx>
        <w:trPr>
          <w:trHeight w:val="270" w:hRule="atLeast"/>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 w:val="21"/>
                <w:szCs w:val="21"/>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 w:val="21"/>
                <w:szCs w:val="21"/>
              </w:rPr>
            </w:pP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赋分REIr</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权重REIw</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赋分</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权重</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 w:val="21"/>
                <w:szCs w:val="21"/>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 w:val="21"/>
                <w:szCs w:val="21"/>
              </w:rPr>
            </w:pPr>
          </w:p>
        </w:tc>
      </w:tr>
      <w:tr>
        <w:tblPrEx>
          <w:tblCellMar>
            <w:top w:w="0" w:type="dxa"/>
            <w:left w:w="108" w:type="dxa"/>
            <w:bottom w:w="0" w:type="dxa"/>
            <w:right w:w="108" w:type="dxa"/>
          </w:tblCellMar>
        </w:tblPrEx>
        <w:trPr>
          <w:trHeight w:val="270" w:hRule="atLeast"/>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 w:val="21"/>
                <w:szCs w:val="21"/>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 w:val="21"/>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SSr</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SSw</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 w:val="21"/>
                <w:szCs w:val="21"/>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kern w:val="0"/>
                <w:sz w:val="21"/>
                <w:szCs w:val="21"/>
              </w:rPr>
            </w:pP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w:t>
            </w:r>
          </w:p>
        </w:tc>
        <w:tc>
          <w:tcPr>
            <w:tcW w:w="1080" w:type="dxa"/>
            <w:vMerge w:val="restart"/>
            <w:tcBorders>
              <w:top w:val="nil"/>
              <w:left w:val="single" w:color="auto" w:sz="4" w:space="0"/>
              <w:bottom w:val="single" w:color="000000"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hint="eastAsia" w:ascii="Times New Roman" w:hAnsi="Times New Roman" w:eastAsia="仿宋" w:cs="Times New Roman"/>
                <w:color w:val="auto"/>
                <w:sz w:val="21"/>
                <w:szCs w:val="21"/>
              </w:rPr>
              <w:t>干流</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79</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95.4</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0.3</w:t>
            </w:r>
          </w:p>
        </w:tc>
        <w:tc>
          <w:tcPr>
            <w:tcW w:w="1080" w:type="dxa"/>
            <w:vMerge w:val="restart"/>
            <w:tcBorders>
              <w:top w:val="nil"/>
              <w:left w:val="single" w:color="auto" w:sz="4" w:space="0"/>
              <w:bottom w:val="single" w:color="000000"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70.7</w:t>
            </w:r>
          </w:p>
        </w:tc>
        <w:tc>
          <w:tcPr>
            <w:tcW w:w="1080" w:type="dxa"/>
            <w:vMerge w:val="restart"/>
            <w:tcBorders>
              <w:top w:val="nil"/>
              <w:left w:val="single" w:color="auto" w:sz="4" w:space="0"/>
              <w:bottom w:val="single" w:color="000000"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健康</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2</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69.5</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95.4</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0.3</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3</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70.3</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95.4</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0.3</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4</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58.3</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95.4</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0.3</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5</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66.6</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95.4</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0.3</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r>
      <w:tr>
        <w:tblPrEx>
          <w:tblCellMar>
            <w:top w:w="0" w:type="dxa"/>
            <w:left w:w="108" w:type="dxa"/>
            <w:bottom w:w="0" w:type="dxa"/>
            <w:right w:w="108" w:type="dxa"/>
          </w:tblCellMar>
        </w:tblPrEx>
        <w:trPr>
          <w:trHeight w:val="48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61.8</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95.4</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0.3</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r>
      <w:tr>
        <w:tblPrEx>
          <w:tblCellMar>
            <w:top w:w="0" w:type="dxa"/>
            <w:left w:w="108" w:type="dxa"/>
            <w:bottom w:w="0" w:type="dxa"/>
            <w:right w:w="108" w:type="dxa"/>
          </w:tblCellMar>
        </w:tblPrEx>
        <w:trPr>
          <w:trHeight w:val="48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54.2</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95.4</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0.3</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r>
      <w:tr>
        <w:tblPrEx>
          <w:tblCellMar>
            <w:top w:w="0" w:type="dxa"/>
            <w:left w:w="108" w:type="dxa"/>
            <w:bottom w:w="0" w:type="dxa"/>
            <w:right w:w="108" w:type="dxa"/>
          </w:tblCellMar>
        </w:tblPrEx>
        <w:trPr>
          <w:trHeight w:val="48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8</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61.3</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95.4</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0.3</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r>
      <w:tr>
        <w:tblPrEx>
          <w:tblCellMar>
            <w:top w:w="0" w:type="dxa"/>
            <w:left w:w="108" w:type="dxa"/>
            <w:bottom w:w="0" w:type="dxa"/>
            <w:right w:w="108" w:type="dxa"/>
          </w:tblCellMar>
        </w:tblPrEx>
        <w:trPr>
          <w:trHeight w:val="48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49.3</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95.4</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0.3</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r>
      <w:tr>
        <w:tblPrEx>
          <w:tblCellMar>
            <w:top w:w="0" w:type="dxa"/>
            <w:left w:w="108" w:type="dxa"/>
            <w:bottom w:w="0" w:type="dxa"/>
            <w:right w:w="108" w:type="dxa"/>
          </w:tblCellMar>
        </w:tblPrEx>
        <w:trPr>
          <w:trHeight w:val="48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10</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43.2</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95.4</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0.3</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r>
      <w:tr>
        <w:tblPrEx>
          <w:tblCellMar>
            <w:top w:w="0" w:type="dxa"/>
            <w:left w:w="108" w:type="dxa"/>
            <w:bottom w:w="0" w:type="dxa"/>
            <w:right w:w="108" w:type="dxa"/>
          </w:tblCellMar>
        </w:tblPrEx>
        <w:trPr>
          <w:trHeight w:val="130" w:hRule="atLeast"/>
        </w:trPr>
        <w:tc>
          <w:tcPr>
            <w:tcW w:w="8640" w:type="dxa"/>
            <w:gridSpan w:val="8"/>
            <w:tcBorders>
              <w:top w:val="single" w:color="auto" w:sz="4" w:space="0"/>
              <w:left w:val="single" w:color="auto" w:sz="4" w:space="0"/>
              <w:bottom w:val="single" w:color="auto" w:sz="4" w:space="0"/>
              <w:right w:val="single" w:color="000000"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　</w:t>
            </w:r>
          </w:p>
        </w:tc>
      </w:tr>
      <w:tr>
        <w:tblPrEx>
          <w:tblCellMar>
            <w:top w:w="0" w:type="dxa"/>
            <w:left w:w="108" w:type="dxa"/>
            <w:bottom w:w="0" w:type="dxa"/>
            <w:right w:w="108" w:type="dxa"/>
          </w:tblCellMar>
        </w:tblPrEx>
        <w:trPr>
          <w:trHeight w:val="48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11</w:t>
            </w:r>
          </w:p>
        </w:tc>
        <w:tc>
          <w:tcPr>
            <w:tcW w:w="1080" w:type="dxa"/>
            <w:vMerge w:val="restart"/>
            <w:tcBorders>
              <w:top w:val="nil"/>
              <w:left w:val="single" w:color="auto" w:sz="4" w:space="0"/>
              <w:bottom w:val="single" w:color="000000" w:sz="4" w:space="0"/>
              <w:right w:val="single" w:color="auto" w:sz="4" w:space="0"/>
            </w:tcBorders>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白竹洞河</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72.1</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94.1</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0.3</w:t>
            </w:r>
          </w:p>
        </w:tc>
        <w:tc>
          <w:tcPr>
            <w:tcW w:w="1080" w:type="dxa"/>
            <w:vMerge w:val="restart"/>
            <w:tcBorders>
              <w:top w:val="nil"/>
              <w:left w:val="single" w:color="auto" w:sz="4" w:space="0"/>
              <w:bottom w:val="single" w:color="000000"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75.7</w:t>
            </w:r>
          </w:p>
        </w:tc>
        <w:tc>
          <w:tcPr>
            <w:tcW w:w="1080" w:type="dxa"/>
            <w:vMerge w:val="restart"/>
            <w:tcBorders>
              <w:top w:val="nil"/>
              <w:left w:val="single" w:color="auto" w:sz="4" w:space="0"/>
              <w:bottom w:val="single" w:color="000000"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健康</w:t>
            </w:r>
          </w:p>
        </w:tc>
      </w:tr>
      <w:tr>
        <w:tblPrEx>
          <w:tblCellMar>
            <w:top w:w="0" w:type="dxa"/>
            <w:left w:w="108" w:type="dxa"/>
            <w:bottom w:w="0" w:type="dxa"/>
            <w:right w:w="108" w:type="dxa"/>
          </w:tblCellMar>
        </w:tblPrEx>
        <w:trPr>
          <w:trHeight w:val="48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12</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66.6</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94.1</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0.3</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r>
      <w:tr>
        <w:tblPrEx>
          <w:tblCellMar>
            <w:top w:w="0" w:type="dxa"/>
            <w:left w:w="108" w:type="dxa"/>
            <w:bottom w:w="0" w:type="dxa"/>
            <w:right w:w="108" w:type="dxa"/>
          </w:tblCellMar>
        </w:tblPrEx>
        <w:trPr>
          <w:trHeight w:val="48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13</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66</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94.1</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0.3</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r>
      <w:tr>
        <w:tblPrEx>
          <w:tblCellMar>
            <w:top w:w="0" w:type="dxa"/>
            <w:left w:w="108" w:type="dxa"/>
            <w:bottom w:w="0" w:type="dxa"/>
            <w:right w:w="108" w:type="dxa"/>
          </w:tblCellMar>
        </w:tblPrEx>
        <w:trPr>
          <w:trHeight w:val="270" w:hRule="atLeast"/>
        </w:trPr>
        <w:tc>
          <w:tcPr>
            <w:tcW w:w="8640" w:type="dxa"/>
            <w:gridSpan w:val="8"/>
            <w:tcBorders>
              <w:top w:val="single" w:color="auto" w:sz="4" w:space="0"/>
              <w:left w:val="single" w:color="auto" w:sz="4" w:space="0"/>
              <w:bottom w:val="single" w:color="auto" w:sz="4" w:space="0"/>
              <w:right w:val="single" w:color="000000"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　</w:t>
            </w:r>
          </w:p>
        </w:tc>
      </w:tr>
      <w:tr>
        <w:tblPrEx>
          <w:tblCellMar>
            <w:top w:w="0" w:type="dxa"/>
            <w:left w:w="108" w:type="dxa"/>
            <w:bottom w:w="0" w:type="dxa"/>
            <w:right w:w="108" w:type="dxa"/>
          </w:tblCellMar>
        </w:tblPrEx>
        <w:trPr>
          <w:trHeight w:val="48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14</w:t>
            </w:r>
          </w:p>
        </w:tc>
        <w:tc>
          <w:tcPr>
            <w:tcW w:w="1080" w:type="dxa"/>
            <w:vMerge w:val="restart"/>
            <w:tcBorders>
              <w:top w:val="nil"/>
              <w:left w:val="single" w:color="auto" w:sz="4" w:space="0"/>
              <w:bottom w:val="single" w:color="000000" w:sz="4" w:space="0"/>
              <w:right w:val="single" w:color="auto" w:sz="4" w:space="0"/>
            </w:tcBorders>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大湾河</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70.4</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94.7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0.3</w:t>
            </w:r>
          </w:p>
        </w:tc>
        <w:tc>
          <w:tcPr>
            <w:tcW w:w="1080" w:type="dxa"/>
            <w:vMerge w:val="restart"/>
            <w:tcBorders>
              <w:top w:val="nil"/>
              <w:left w:val="single" w:color="auto" w:sz="4" w:space="0"/>
              <w:bottom w:val="single" w:color="000000"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75.1</w:t>
            </w:r>
          </w:p>
        </w:tc>
        <w:tc>
          <w:tcPr>
            <w:tcW w:w="1080" w:type="dxa"/>
            <w:vMerge w:val="restart"/>
            <w:tcBorders>
              <w:top w:val="nil"/>
              <w:left w:val="single" w:color="auto" w:sz="4" w:space="0"/>
              <w:bottom w:val="single" w:color="000000"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健康</w:t>
            </w:r>
          </w:p>
        </w:tc>
      </w:tr>
      <w:tr>
        <w:trPr>
          <w:trHeight w:val="48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15</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65.2</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94.7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0.3</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r>
      <w:tr>
        <w:tblPrEx>
          <w:tblCellMar>
            <w:top w:w="0" w:type="dxa"/>
            <w:left w:w="108" w:type="dxa"/>
            <w:bottom w:w="0" w:type="dxa"/>
            <w:right w:w="108" w:type="dxa"/>
          </w:tblCellMar>
        </w:tblPrEx>
        <w:trPr>
          <w:trHeight w:val="270" w:hRule="atLeast"/>
        </w:trPr>
        <w:tc>
          <w:tcPr>
            <w:tcW w:w="8640" w:type="dxa"/>
            <w:gridSpan w:val="8"/>
            <w:tcBorders>
              <w:top w:val="single" w:color="auto" w:sz="4" w:space="0"/>
              <w:left w:val="single" w:color="auto" w:sz="4" w:space="0"/>
              <w:bottom w:val="single" w:color="auto" w:sz="4" w:space="0"/>
              <w:right w:val="single" w:color="000000"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　</w:t>
            </w:r>
          </w:p>
        </w:tc>
      </w:tr>
      <w:tr>
        <w:tblPrEx>
          <w:tblCellMar>
            <w:top w:w="0" w:type="dxa"/>
            <w:left w:w="108" w:type="dxa"/>
            <w:bottom w:w="0" w:type="dxa"/>
            <w:right w:w="108" w:type="dxa"/>
          </w:tblCellMar>
        </w:tblPrEx>
        <w:trPr>
          <w:trHeight w:val="48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16</w:t>
            </w:r>
          </w:p>
        </w:tc>
        <w:tc>
          <w:tcPr>
            <w:tcW w:w="1080" w:type="dxa"/>
            <w:vMerge w:val="restart"/>
            <w:tcBorders>
              <w:top w:val="nil"/>
              <w:left w:val="single" w:color="auto" w:sz="4" w:space="0"/>
              <w:bottom w:val="single" w:color="000000" w:sz="4" w:space="0"/>
              <w:right w:val="single" w:color="auto" w:sz="4" w:space="0"/>
            </w:tcBorders>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瓜里河</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69.7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94.3</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0.3</w:t>
            </w:r>
          </w:p>
        </w:tc>
        <w:tc>
          <w:tcPr>
            <w:tcW w:w="1080" w:type="dxa"/>
            <w:vMerge w:val="restart"/>
            <w:tcBorders>
              <w:top w:val="nil"/>
              <w:left w:val="single" w:color="auto" w:sz="4" w:space="0"/>
              <w:bottom w:val="single" w:color="000000"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70.5</w:t>
            </w:r>
          </w:p>
        </w:tc>
        <w:tc>
          <w:tcPr>
            <w:tcW w:w="1080" w:type="dxa"/>
            <w:vMerge w:val="restart"/>
            <w:tcBorders>
              <w:top w:val="nil"/>
              <w:left w:val="single" w:color="auto" w:sz="4" w:space="0"/>
              <w:bottom w:val="single" w:color="000000"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健康</w:t>
            </w:r>
          </w:p>
        </w:tc>
      </w:tr>
      <w:tr>
        <w:tblPrEx>
          <w:tblCellMar>
            <w:top w:w="0" w:type="dxa"/>
            <w:left w:w="108" w:type="dxa"/>
            <w:bottom w:w="0" w:type="dxa"/>
            <w:right w:w="108" w:type="dxa"/>
          </w:tblCellMar>
        </w:tblPrEx>
        <w:trPr>
          <w:trHeight w:val="48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17</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70.1</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94.3</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0.3</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r>
      <w:tr>
        <w:tblPrEx>
          <w:tblCellMar>
            <w:top w:w="0" w:type="dxa"/>
            <w:left w:w="108" w:type="dxa"/>
            <w:bottom w:w="0" w:type="dxa"/>
            <w:right w:w="108" w:type="dxa"/>
          </w:tblCellMar>
        </w:tblPrEx>
        <w:trPr>
          <w:trHeight w:val="48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18</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47.7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94.3</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0.3</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　</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　</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　</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　</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　</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　</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　</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　</w:t>
            </w:r>
          </w:p>
        </w:tc>
      </w:tr>
      <w:tr>
        <w:tblPrEx>
          <w:tblCellMar>
            <w:top w:w="0" w:type="dxa"/>
            <w:left w:w="108" w:type="dxa"/>
            <w:bottom w:w="0" w:type="dxa"/>
            <w:right w:w="108" w:type="dxa"/>
          </w:tblCellMar>
        </w:tblPrEx>
        <w:trPr>
          <w:trHeight w:val="48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19</w:t>
            </w:r>
          </w:p>
        </w:tc>
        <w:tc>
          <w:tcPr>
            <w:tcW w:w="1080" w:type="dxa"/>
            <w:vMerge w:val="restart"/>
            <w:tcBorders>
              <w:top w:val="nil"/>
              <w:left w:val="single" w:color="auto" w:sz="4" w:space="0"/>
              <w:bottom w:val="single" w:color="000000" w:sz="4" w:space="0"/>
              <w:right w:val="single" w:color="auto" w:sz="4" w:space="0"/>
            </w:tcBorders>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木厂水</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68.9</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94.7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0.3</w:t>
            </w:r>
          </w:p>
        </w:tc>
        <w:tc>
          <w:tcPr>
            <w:tcW w:w="1080" w:type="dxa"/>
            <w:vMerge w:val="restart"/>
            <w:tcBorders>
              <w:top w:val="nil"/>
              <w:left w:val="single" w:color="auto" w:sz="4" w:space="0"/>
              <w:bottom w:val="single" w:color="000000"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71.8</w:t>
            </w:r>
          </w:p>
        </w:tc>
        <w:tc>
          <w:tcPr>
            <w:tcW w:w="1080" w:type="dxa"/>
            <w:vMerge w:val="restart"/>
            <w:tcBorders>
              <w:top w:val="nil"/>
              <w:left w:val="single" w:color="auto" w:sz="4" w:space="0"/>
              <w:bottom w:val="single" w:color="000000"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健康</w:t>
            </w:r>
          </w:p>
        </w:tc>
      </w:tr>
      <w:tr>
        <w:tblPrEx>
          <w:tblCellMar>
            <w:top w:w="0" w:type="dxa"/>
            <w:left w:w="108" w:type="dxa"/>
            <w:bottom w:w="0" w:type="dxa"/>
            <w:right w:w="108" w:type="dxa"/>
          </w:tblCellMar>
        </w:tblPrEx>
        <w:trPr>
          <w:trHeight w:val="48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20</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60.5</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94.7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0.3</w:t>
            </w: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c>
          <w:tcPr>
            <w:tcW w:w="1080" w:type="dxa"/>
            <w:vMerge w:val="continue"/>
            <w:tcBorders>
              <w:top w:val="nil"/>
              <w:left w:val="single" w:color="auto" w:sz="4" w:space="0"/>
              <w:bottom w:val="single" w:color="000000" w:sz="4" w:space="0"/>
              <w:right w:val="single" w:color="auto" w:sz="4" w:space="0"/>
            </w:tcBorders>
            <w:vAlign w:val="center"/>
          </w:tcPr>
          <w:p>
            <w:pPr>
              <w:spacing w:line="380" w:lineRule="exact"/>
              <w:jc w:val="left"/>
              <w:rPr>
                <w:rFonts w:ascii="Times New Roman" w:hAnsi="Times New Roman" w:eastAsia="仿宋" w:cs="Times New Roman"/>
                <w:color w:val="auto"/>
                <w:sz w:val="21"/>
                <w:szCs w:val="21"/>
              </w:rPr>
            </w:pPr>
          </w:p>
        </w:tc>
      </w:tr>
      <w:tr>
        <w:tblPrEx>
          <w:tblCellMar>
            <w:top w:w="0" w:type="dxa"/>
            <w:left w:w="108" w:type="dxa"/>
            <w:bottom w:w="0" w:type="dxa"/>
            <w:right w:w="108" w:type="dxa"/>
          </w:tblCellMar>
        </w:tblPrEx>
        <w:trPr>
          <w:trHeight w:val="270" w:hRule="atLeast"/>
        </w:trPr>
        <w:tc>
          <w:tcPr>
            <w:tcW w:w="8640" w:type="dxa"/>
            <w:gridSpan w:val="8"/>
            <w:tcBorders>
              <w:top w:val="single" w:color="auto" w:sz="4" w:space="0"/>
              <w:left w:val="single" w:color="auto" w:sz="4" w:space="0"/>
              <w:bottom w:val="single" w:color="auto" w:sz="4" w:space="0"/>
              <w:right w:val="single" w:color="000000"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　</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1-20</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资江流域</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60.5</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94.7</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0.3</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72.2</w:t>
            </w:r>
          </w:p>
        </w:tc>
        <w:tc>
          <w:tcPr>
            <w:tcW w:w="1080" w:type="dxa"/>
            <w:tcBorders>
              <w:top w:val="nil"/>
              <w:left w:val="nil"/>
              <w:bottom w:val="single" w:color="auto" w:sz="4" w:space="0"/>
              <w:right w:val="single" w:color="auto" w:sz="4" w:space="0"/>
            </w:tcBorders>
            <w:shd w:val="clear" w:color="auto" w:fill="auto"/>
            <w:vAlign w:val="center"/>
          </w:tcPr>
          <w:p>
            <w:pPr>
              <w:spacing w:line="380" w:lineRule="exact"/>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健康</w:t>
            </w:r>
          </w:p>
        </w:tc>
      </w:tr>
    </w:tbl>
    <w:p>
      <w:pPr>
        <w:autoSpaceDE w:val="0"/>
        <w:autoSpaceDN w:val="0"/>
        <w:adjustRightInd w:val="0"/>
        <w:spacing w:line="560" w:lineRule="exact"/>
        <w:ind w:firstLine="560" w:firstLineChars="200"/>
        <w:rPr>
          <w:rFonts w:ascii="Times New Roman" w:hAnsi="Times New Roman" w:eastAsia="宋体" w:cs="Times New Roman"/>
          <w:color w:val="auto"/>
          <w:kern w:val="0"/>
          <w:sz w:val="28"/>
          <w:szCs w:val="28"/>
        </w:rPr>
      </w:pPr>
    </w:p>
    <w:p>
      <w:pPr>
        <w:pStyle w:val="4"/>
        <w:bidi w:val="0"/>
        <w:rPr>
          <w:color w:val="auto"/>
        </w:rPr>
        <w:sectPr>
          <w:headerReference r:id="rId20" w:type="default"/>
          <w:footerReference r:id="rId21" w:type="default"/>
          <w:footerReference r:id="rId22" w:type="even"/>
          <w:pgSz w:w="11906" w:h="16838"/>
          <w:pgMar w:top="1361" w:right="1361" w:bottom="1474" w:left="1418" w:header="1021" w:footer="964" w:gutter="0"/>
          <w:cols w:space="425" w:num="1"/>
          <w:docGrid w:linePitch="312" w:charSpace="0"/>
        </w:sectPr>
      </w:pPr>
      <w:bookmarkStart w:id="94" w:name="_Toc32749"/>
      <w:bookmarkStart w:id="95" w:name="_Toc30931"/>
      <w:bookmarkStart w:id="96" w:name="_Toc2287"/>
    </w:p>
    <w:p>
      <w:pPr>
        <w:pStyle w:val="4"/>
        <w:bidi w:val="0"/>
        <w:rPr>
          <w:color w:val="auto"/>
        </w:rPr>
      </w:pPr>
      <w:r>
        <w:rPr>
          <w:color w:val="auto"/>
        </w:rPr>
        <w:t>6  结论</w:t>
      </w:r>
      <w:bookmarkEnd w:id="94"/>
      <w:bookmarkEnd w:id="95"/>
      <w:bookmarkEnd w:id="96"/>
    </w:p>
    <w:p>
      <w:pPr>
        <w:autoSpaceDE w:val="0"/>
        <w:autoSpaceDN w:val="0"/>
        <w:adjustRightInd w:val="0"/>
        <w:jc w:val="left"/>
        <w:rPr>
          <w:rFonts w:ascii="Times New Roman" w:hAnsi="Times New Roman" w:eastAsia="宋体" w:cs="Times New Roman"/>
          <w:color w:val="auto"/>
          <w:kern w:val="0"/>
          <w:sz w:val="30"/>
          <w:szCs w:val="30"/>
        </w:rPr>
      </w:pPr>
    </w:p>
    <w:p>
      <w:pPr>
        <w:pStyle w:val="5"/>
        <w:bidi w:val="0"/>
        <w:rPr>
          <w:rFonts w:cs="Times New Roman"/>
          <w:color w:val="auto"/>
        </w:rPr>
      </w:pPr>
      <w:bookmarkStart w:id="97" w:name="_Toc13416"/>
      <w:bookmarkStart w:id="98" w:name="_Toc10199"/>
      <w:r>
        <w:rPr>
          <w:rFonts w:cs="Times New Roman"/>
          <w:color w:val="auto"/>
        </w:rPr>
        <w:t xml:space="preserve">6.1 </w:t>
      </w:r>
      <w:r>
        <w:rPr>
          <w:rFonts w:hint="eastAsia" w:cs="Times New Roman"/>
          <w:color w:val="auto"/>
        </w:rPr>
        <w:t xml:space="preserve"> </w:t>
      </w:r>
      <w:r>
        <w:rPr>
          <w:rFonts w:cs="Times New Roman"/>
          <w:color w:val="auto"/>
        </w:rPr>
        <w:t>评估河段划分结果</w:t>
      </w:r>
      <w:bookmarkEnd w:id="97"/>
      <w:bookmarkEnd w:id="98"/>
      <w:r>
        <w:rPr>
          <w:rFonts w:cs="Times New Roman"/>
          <w:color w:val="auto"/>
        </w:rPr>
        <w:t xml:space="preserve"> </w:t>
      </w:r>
    </w:p>
    <w:p>
      <w:pPr>
        <w:spacing w:line="560" w:lineRule="exact"/>
        <w:ind w:firstLine="560" w:firstLineChars="200"/>
        <w:rPr>
          <w:rFonts w:ascii="Times New Roman" w:hAnsi="Times New Roman" w:eastAsia="仿宋" w:cs="Times New Roman"/>
          <w:color w:val="auto"/>
          <w:kern w:val="0"/>
          <w:sz w:val="20"/>
          <w:szCs w:val="20"/>
        </w:rPr>
      </w:pPr>
      <w:r>
        <w:rPr>
          <w:rFonts w:ascii="Times New Roman" w:hAnsi="Times New Roman" w:eastAsia="仿宋" w:cs="Times New Roman"/>
          <w:color w:val="auto"/>
          <w:kern w:val="0"/>
          <w:sz w:val="28"/>
          <w:szCs w:val="20"/>
        </w:rPr>
        <w:t>本项目</w:t>
      </w:r>
      <w:r>
        <w:rPr>
          <w:rFonts w:ascii="Times New Roman" w:hAnsi="Times New Roman" w:eastAsia="仿宋" w:cs="Times New Roman"/>
          <w:color w:val="auto"/>
          <w:sz w:val="28"/>
          <w:szCs w:val="28"/>
        </w:rPr>
        <w:t>评估范围为广西</w:t>
      </w:r>
      <w:r>
        <w:rPr>
          <w:rFonts w:hint="eastAsia" w:ascii="Times New Roman" w:hAnsi="Times New Roman" w:eastAsia="仿宋" w:cs="Times New Roman"/>
          <w:color w:val="auto"/>
          <w:sz w:val="28"/>
          <w:szCs w:val="28"/>
          <w:lang w:eastAsia="zh-CN"/>
        </w:rPr>
        <w:t>资江流域</w:t>
      </w:r>
      <w:r>
        <w:rPr>
          <w:rFonts w:ascii="Times New Roman" w:hAnsi="Times New Roman" w:eastAsia="仿宋" w:cs="Times New Roman"/>
          <w:color w:val="auto"/>
          <w:sz w:val="28"/>
          <w:szCs w:val="28"/>
        </w:rPr>
        <w:t>内的</w:t>
      </w:r>
      <w:r>
        <w:rPr>
          <w:rFonts w:hint="eastAsia" w:ascii="Times New Roman" w:hAnsi="Times New Roman" w:eastAsia="仿宋" w:cs="Times New Roman"/>
          <w:color w:val="auto"/>
          <w:sz w:val="28"/>
          <w:szCs w:val="28"/>
          <w:lang w:eastAsia="zh-CN"/>
        </w:rPr>
        <w:t>资江</w:t>
      </w:r>
      <w:r>
        <w:rPr>
          <w:rFonts w:ascii="Times New Roman" w:hAnsi="Times New Roman" w:eastAsia="仿宋" w:cs="Times New Roman"/>
          <w:color w:val="auto"/>
          <w:sz w:val="28"/>
          <w:szCs w:val="28"/>
        </w:rPr>
        <w:t>及集水面积大于1000km</w:t>
      </w:r>
      <w:r>
        <w:rPr>
          <w:rFonts w:ascii="Times New Roman" w:hAnsi="Times New Roman" w:eastAsia="仿宋" w:cs="Times New Roman"/>
          <w:color w:val="auto"/>
          <w:sz w:val="28"/>
          <w:szCs w:val="28"/>
          <w:vertAlign w:val="superscript"/>
        </w:rPr>
        <w:t>2</w:t>
      </w:r>
      <w:r>
        <w:rPr>
          <w:rFonts w:ascii="Times New Roman" w:hAnsi="Times New Roman" w:eastAsia="仿宋" w:cs="Times New Roman"/>
          <w:color w:val="auto"/>
          <w:sz w:val="28"/>
          <w:szCs w:val="28"/>
        </w:rPr>
        <w:t>的一级支流。其中干流为桂林市兴安县老山界至梧州市</w:t>
      </w:r>
      <w:r>
        <w:rPr>
          <w:rFonts w:hint="eastAsia" w:ascii="Times New Roman" w:hAnsi="Times New Roman" w:eastAsia="仿宋" w:cs="Times New Roman"/>
          <w:color w:val="auto"/>
          <w:sz w:val="28"/>
          <w:szCs w:val="28"/>
        </w:rPr>
        <w:t>汇</w:t>
      </w:r>
      <w:r>
        <w:rPr>
          <w:rFonts w:ascii="Times New Roman" w:hAnsi="Times New Roman" w:eastAsia="仿宋" w:cs="Times New Roman"/>
          <w:color w:val="auto"/>
          <w:sz w:val="28"/>
          <w:szCs w:val="28"/>
        </w:rPr>
        <w:t>入口的</w:t>
      </w:r>
      <w:r>
        <w:rPr>
          <w:rFonts w:hint="eastAsia" w:ascii="Times New Roman" w:hAnsi="Times New Roman" w:eastAsia="仿宋" w:cs="Times New Roman"/>
          <w:color w:val="auto"/>
          <w:sz w:val="28"/>
          <w:szCs w:val="28"/>
          <w:lang w:eastAsia="zh-CN"/>
        </w:rPr>
        <w:t>资江</w:t>
      </w:r>
      <w:r>
        <w:rPr>
          <w:rFonts w:ascii="Times New Roman" w:hAnsi="Times New Roman" w:eastAsia="仿宋" w:cs="Times New Roman"/>
          <w:color w:val="auto"/>
          <w:sz w:val="28"/>
          <w:szCs w:val="28"/>
        </w:rPr>
        <w:t>（438km）；支流有4条，分别为在桂林市</w:t>
      </w:r>
      <w:r>
        <w:rPr>
          <w:rFonts w:hint="eastAsia" w:ascii="Times New Roman" w:hAnsi="Times New Roman" w:eastAsia="仿宋" w:cs="Times New Roman"/>
          <w:color w:val="auto"/>
          <w:sz w:val="28"/>
          <w:szCs w:val="28"/>
          <w:lang w:eastAsia="zh-CN"/>
        </w:rPr>
        <w:t>梅溪</w:t>
      </w:r>
      <w:r>
        <w:rPr>
          <w:rFonts w:ascii="Times New Roman" w:hAnsi="Times New Roman" w:eastAsia="仿宋" w:cs="Times New Roman"/>
          <w:color w:val="auto"/>
          <w:sz w:val="28"/>
          <w:szCs w:val="28"/>
        </w:rPr>
        <w:t>县城附近汇入</w:t>
      </w:r>
      <w:r>
        <w:rPr>
          <w:rFonts w:hint="eastAsia" w:ascii="Times New Roman" w:hAnsi="Times New Roman" w:eastAsia="仿宋" w:cs="Times New Roman"/>
          <w:color w:val="auto"/>
          <w:sz w:val="28"/>
          <w:szCs w:val="28"/>
          <w:lang w:eastAsia="zh-CN"/>
        </w:rPr>
        <w:t>资江</w:t>
      </w:r>
      <w:r>
        <w:rPr>
          <w:rFonts w:ascii="Times New Roman" w:hAnsi="Times New Roman" w:eastAsia="仿宋" w:cs="Times New Roman"/>
          <w:color w:val="auto"/>
          <w:sz w:val="28"/>
          <w:szCs w:val="28"/>
        </w:rPr>
        <w:t>的</w:t>
      </w:r>
      <w:r>
        <w:rPr>
          <w:rFonts w:hint="eastAsia" w:ascii="Times New Roman" w:hAnsi="Times New Roman" w:eastAsia="仿宋" w:cs="Times New Roman"/>
          <w:color w:val="auto"/>
          <w:sz w:val="28"/>
          <w:szCs w:val="28"/>
          <w:lang w:eastAsia="zh-CN"/>
        </w:rPr>
        <w:t>白竹洞河</w:t>
      </w:r>
      <w:r>
        <w:rPr>
          <w:rFonts w:ascii="Times New Roman" w:hAnsi="Times New Roman" w:eastAsia="仿宋" w:cs="Times New Roman"/>
          <w:color w:val="auto"/>
          <w:sz w:val="28"/>
          <w:szCs w:val="28"/>
        </w:rPr>
        <w:t>（170km）、</w:t>
      </w:r>
      <w:r>
        <w:rPr>
          <w:rFonts w:hint="eastAsia" w:ascii="Times New Roman" w:hAnsi="Times New Roman" w:eastAsia="仿宋" w:cs="Times New Roman"/>
          <w:color w:val="auto"/>
          <w:sz w:val="28"/>
          <w:szCs w:val="28"/>
          <w:lang w:eastAsia="zh-CN"/>
        </w:rPr>
        <w:t>大湾河</w:t>
      </w:r>
      <w:r>
        <w:rPr>
          <w:rFonts w:ascii="Times New Roman" w:hAnsi="Times New Roman" w:eastAsia="仿宋" w:cs="Times New Roman"/>
          <w:color w:val="auto"/>
          <w:sz w:val="28"/>
          <w:szCs w:val="28"/>
        </w:rPr>
        <w:t>（118km）、在梧州市昭平县城附近汇入</w:t>
      </w:r>
      <w:r>
        <w:rPr>
          <w:rFonts w:hint="eastAsia" w:ascii="Times New Roman" w:hAnsi="Times New Roman" w:eastAsia="仿宋" w:cs="Times New Roman"/>
          <w:color w:val="auto"/>
          <w:sz w:val="28"/>
          <w:szCs w:val="28"/>
          <w:lang w:eastAsia="zh-CN"/>
        </w:rPr>
        <w:t>资江</w:t>
      </w:r>
      <w:r>
        <w:rPr>
          <w:rFonts w:ascii="Times New Roman" w:hAnsi="Times New Roman" w:eastAsia="仿宋" w:cs="Times New Roman"/>
          <w:color w:val="auto"/>
          <w:sz w:val="28"/>
          <w:szCs w:val="28"/>
        </w:rPr>
        <w:t>的</w:t>
      </w:r>
      <w:r>
        <w:rPr>
          <w:rFonts w:hint="eastAsia" w:ascii="Times New Roman" w:hAnsi="Times New Roman" w:eastAsia="仿宋" w:cs="Times New Roman"/>
          <w:color w:val="auto"/>
          <w:sz w:val="28"/>
          <w:szCs w:val="28"/>
          <w:lang w:eastAsia="zh-CN"/>
        </w:rPr>
        <w:t>瓜里河</w:t>
      </w:r>
      <w:r>
        <w:rPr>
          <w:rFonts w:ascii="Times New Roman" w:hAnsi="Times New Roman" w:eastAsia="仿宋" w:cs="Times New Roman"/>
          <w:color w:val="auto"/>
          <w:sz w:val="28"/>
          <w:szCs w:val="28"/>
        </w:rPr>
        <w:t>（108km）、在昭平至马江镇之间汇入的</w:t>
      </w:r>
      <w:r>
        <w:rPr>
          <w:rFonts w:hint="eastAsia" w:ascii="Times New Roman" w:hAnsi="Times New Roman" w:eastAsia="仿宋" w:cs="Times New Roman"/>
          <w:color w:val="auto"/>
          <w:sz w:val="28"/>
          <w:szCs w:val="28"/>
          <w:lang w:eastAsia="zh-CN"/>
        </w:rPr>
        <w:t>木厂水</w:t>
      </w:r>
      <w:r>
        <w:rPr>
          <w:rFonts w:ascii="Times New Roman" w:hAnsi="Times New Roman" w:eastAsia="仿宋" w:cs="Times New Roman"/>
          <w:color w:val="auto"/>
          <w:sz w:val="28"/>
          <w:szCs w:val="28"/>
        </w:rPr>
        <w:t>（89.6km）。</w:t>
      </w:r>
    </w:p>
    <w:p>
      <w:pPr>
        <w:spacing w:line="560" w:lineRule="exact"/>
        <w:ind w:firstLine="560" w:firstLineChars="200"/>
        <w:rPr>
          <w:rFonts w:ascii="Times New Roman" w:hAnsi="Times New Roman" w:eastAsia="仿宋" w:cs="Times New Roman"/>
          <w:color w:val="auto"/>
          <w:kern w:val="0"/>
          <w:sz w:val="28"/>
          <w:szCs w:val="20"/>
        </w:rPr>
      </w:pPr>
      <w:r>
        <w:rPr>
          <w:rFonts w:ascii="Times New Roman" w:hAnsi="Times New Roman" w:eastAsia="仿宋" w:cs="Times New Roman"/>
          <w:color w:val="auto"/>
          <w:kern w:val="0"/>
          <w:sz w:val="28"/>
          <w:szCs w:val="20"/>
        </w:rPr>
        <w:t>结合水功能区划结果，</w:t>
      </w:r>
      <w:r>
        <w:rPr>
          <w:rFonts w:hint="eastAsia" w:ascii="Times New Roman" w:hAnsi="Times New Roman" w:eastAsia="仿宋" w:cs="Times New Roman"/>
          <w:color w:val="auto"/>
          <w:kern w:val="0"/>
          <w:sz w:val="28"/>
          <w:szCs w:val="20"/>
          <w:lang w:eastAsia="zh-CN"/>
        </w:rPr>
        <w:t>资江</w:t>
      </w:r>
      <w:r>
        <w:rPr>
          <w:rFonts w:ascii="Times New Roman" w:hAnsi="Times New Roman" w:eastAsia="仿宋" w:cs="Times New Roman"/>
          <w:color w:val="auto"/>
          <w:kern w:val="0"/>
          <w:sz w:val="28"/>
          <w:szCs w:val="20"/>
        </w:rPr>
        <w:t>干流评估范围内划分为10个评估河段，一级支流中</w:t>
      </w:r>
      <w:r>
        <w:rPr>
          <w:rFonts w:hint="eastAsia" w:ascii="Times New Roman" w:hAnsi="Times New Roman" w:eastAsia="仿宋" w:cs="Times New Roman"/>
          <w:color w:val="auto"/>
          <w:kern w:val="0"/>
          <w:sz w:val="28"/>
          <w:szCs w:val="20"/>
          <w:lang w:eastAsia="zh-CN"/>
        </w:rPr>
        <w:t>白竹洞河</w:t>
      </w:r>
      <w:r>
        <w:rPr>
          <w:rFonts w:ascii="Times New Roman" w:hAnsi="Times New Roman" w:eastAsia="仿宋" w:cs="Times New Roman"/>
          <w:color w:val="auto"/>
          <w:kern w:val="0"/>
          <w:sz w:val="28"/>
          <w:szCs w:val="20"/>
        </w:rPr>
        <w:t>划分为3个评估河段，</w:t>
      </w:r>
      <w:r>
        <w:rPr>
          <w:rFonts w:hint="eastAsia" w:ascii="Times New Roman" w:hAnsi="Times New Roman" w:eastAsia="仿宋" w:cs="Times New Roman"/>
          <w:color w:val="auto"/>
          <w:kern w:val="0"/>
          <w:sz w:val="28"/>
          <w:szCs w:val="20"/>
          <w:lang w:eastAsia="zh-CN"/>
        </w:rPr>
        <w:t>大湾河</w:t>
      </w:r>
      <w:r>
        <w:rPr>
          <w:rFonts w:ascii="Times New Roman" w:hAnsi="Times New Roman" w:eastAsia="仿宋" w:cs="Times New Roman"/>
          <w:color w:val="auto"/>
          <w:kern w:val="0"/>
          <w:sz w:val="28"/>
          <w:szCs w:val="20"/>
        </w:rPr>
        <w:t>划分2个评估河段，</w:t>
      </w:r>
      <w:r>
        <w:rPr>
          <w:rFonts w:hint="eastAsia" w:ascii="Times New Roman" w:hAnsi="Times New Roman" w:eastAsia="仿宋" w:cs="Times New Roman"/>
          <w:color w:val="auto"/>
          <w:kern w:val="0"/>
          <w:sz w:val="28"/>
          <w:szCs w:val="20"/>
          <w:lang w:eastAsia="zh-CN"/>
        </w:rPr>
        <w:t>瓜里河</w:t>
      </w:r>
      <w:r>
        <w:rPr>
          <w:rFonts w:ascii="Times New Roman" w:hAnsi="Times New Roman" w:eastAsia="仿宋" w:cs="Times New Roman"/>
          <w:color w:val="auto"/>
          <w:kern w:val="0"/>
          <w:sz w:val="28"/>
          <w:szCs w:val="20"/>
        </w:rPr>
        <w:t>划分3个评估河段，</w:t>
      </w:r>
      <w:r>
        <w:rPr>
          <w:rFonts w:hint="eastAsia" w:ascii="Times New Roman" w:hAnsi="Times New Roman" w:eastAsia="仿宋" w:cs="Times New Roman"/>
          <w:color w:val="auto"/>
          <w:kern w:val="0"/>
          <w:sz w:val="28"/>
          <w:szCs w:val="20"/>
          <w:lang w:eastAsia="zh-CN"/>
        </w:rPr>
        <w:t>木厂水</w:t>
      </w:r>
      <w:r>
        <w:rPr>
          <w:rFonts w:ascii="Times New Roman" w:hAnsi="Times New Roman" w:eastAsia="仿宋" w:cs="Times New Roman"/>
          <w:color w:val="auto"/>
          <w:kern w:val="0"/>
          <w:sz w:val="28"/>
          <w:szCs w:val="20"/>
        </w:rPr>
        <w:t>划分2个评估河段，共计20个评估河段。评估河段划分结果见表 3.4.3。</w:t>
      </w:r>
    </w:p>
    <w:p>
      <w:pPr>
        <w:spacing w:line="560" w:lineRule="exact"/>
        <w:ind w:firstLine="360" w:firstLineChars="200"/>
        <w:rPr>
          <w:rFonts w:ascii="Times New Roman" w:hAnsi="Times New Roman" w:eastAsia="仿宋" w:cs="Times New Roman"/>
          <w:color w:val="auto"/>
          <w:kern w:val="0"/>
          <w:sz w:val="18"/>
          <w:szCs w:val="20"/>
        </w:rPr>
      </w:pPr>
    </w:p>
    <w:p>
      <w:pPr>
        <w:pStyle w:val="5"/>
        <w:bidi w:val="0"/>
        <w:rPr>
          <w:rFonts w:cs="Times New Roman"/>
          <w:color w:val="auto"/>
        </w:rPr>
      </w:pPr>
      <w:bookmarkStart w:id="99" w:name="_Toc25728"/>
      <w:bookmarkStart w:id="100" w:name="_Toc14084"/>
      <w:r>
        <w:rPr>
          <w:rFonts w:cs="Times New Roman"/>
          <w:color w:val="auto"/>
        </w:rPr>
        <w:t xml:space="preserve">6.2 </w:t>
      </w:r>
      <w:r>
        <w:rPr>
          <w:rFonts w:hint="eastAsia" w:cs="Times New Roman"/>
          <w:color w:val="auto"/>
        </w:rPr>
        <w:t xml:space="preserve"> </w:t>
      </w:r>
      <w:r>
        <w:rPr>
          <w:rFonts w:cs="Times New Roman"/>
          <w:color w:val="auto"/>
        </w:rPr>
        <w:t>河流健康整体特征</w:t>
      </w:r>
      <w:bookmarkEnd w:id="99"/>
      <w:bookmarkEnd w:id="100"/>
      <w:r>
        <w:rPr>
          <w:rFonts w:cs="Times New Roman"/>
          <w:color w:val="auto"/>
        </w:rPr>
        <w:t xml:space="preserve"> </w:t>
      </w:r>
    </w:p>
    <w:p>
      <w:pPr>
        <w:autoSpaceDE w:val="0"/>
        <w:autoSpaceDN w:val="0"/>
        <w:adjustRightInd w:val="0"/>
        <w:spacing w:line="560" w:lineRule="exact"/>
        <w:ind w:firstLine="560" w:firstLineChars="200"/>
        <w:jc w:val="left"/>
        <w:rPr>
          <w:rFonts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健康评估采用分级指标评分法，逐级加权，综合评分，各评估河流生态完整性状况、社会服务功能及河流健康状况评估结果</w:t>
      </w:r>
      <w:r>
        <w:rPr>
          <w:rFonts w:hint="eastAsia" w:ascii="Times New Roman" w:hAnsi="Times New Roman" w:eastAsia="仿宋" w:cs="Times New Roman"/>
          <w:color w:val="auto"/>
          <w:kern w:val="0"/>
          <w:sz w:val="28"/>
          <w:szCs w:val="28"/>
        </w:rPr>
        <w:t>见表</w:t>
      </w:r>
      <w:r>
        <w:rPr>
          <w:rFonts w:ascii="Times New Roman" w:hAnsi="Times New Roman" w:eastAsia="仿宋" w:cs="Times New Roman"/>
          <w:color w:val="auto"/>
          <w:kern w:val="0"/>
          <w:sz w:val="28"/>
          <w:szCs w:val="28"/>
        </w:rPr>
        <w:t>6.2-1~3</w:t>
      </w:r>
      <w:r>
        <w:rPr>
          <w:rFonts w:hint="eastAsia" w:ascii="Times New Roman" w:hAnsi="Times New Roman" w:eastAsia="仿宋" w:cs="Times New Roman"/>
          <w:color w:val="auto"/>
          <w:kern w:val="0"/>
          <w:sz w:val="28"/>
          <w:szCs w:val="28"/>
        </w:rPr>
        <w:t>。</w:t>
      </w:r>
      <w:r>
        <w:rPr>
          <w:rFonts w:hAnsi="Times New Roman"/>
          <w:color w:val="auto"/>
          <w:sz w:val="28"/>
          <w:szCs w:val="28"/>
        </w:rPr>
        <w:t xml:space="preserve"> </w:t>
      </w:r>
      <w:r>
        <w:rPr>
          <w:rFonts w:ascii="Times New Roman" w:hAnsi="Times New Roman" w:eastAsia="仿宋" w:cs="Times New Roman"/>
          <w:color w:val="auto"/>
          <w:kern w:val="0"/>
          <w:sz w:val="28"/>
          <w:szCs w:val="28"/>
        </w:rPr>
        <w:t xml:space="preserve"> </w:t>
      </w:r>
    </w:p>
    <w:p>
      <w:pPr>
        <w:autoSpaceDE w:val="0"/>
        <w:autoSpaceDN w:val="0"/>
        <w:adjustRightInd w:val="0"/>
        <w:spacing w:line="560" w:lineRule="exact"/>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（1）生态完整性状况 </w:t>
      </w:r>
    </w:p>
    <w:p>
      <w:pPr>
        <w:autoSpaceDE w:val="0"/>
        <w:autoSpaceDN w:val="0"/>
        <w:adjustRightInd w:val="0"/>
        <w:spacing w:line="560" w:lineRule="exact"/>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评估河流生态完整性准则层评估结果</w:t>
      </w:r>
      <w:r>
        <w:rPr>
          <w:rFonts w:hint="eastAsia" w:ascii="Times New Roman" w:hAnsi="Times New Roman" w:eastAsia="仿宋" w:cs="Times New Roman"/>
          <w:color w:val="auto"/>
          <w:kern w:val="0"/>
          <w:sz w:val="28"/>
          <w:szCs w:val="28"/>
        </w:rPr>
        <w:t>见</w:t>
      </w:r>
      <w:r>
        <w:rPr>
          <w:rFonts w:ascii="Times New Roman" w:hAnsi="Times New Roman" w:eastAsia="仿宋" w:cs="Times New Roman"/>
          <w:color w:val="auto"/>
          <w:kern w:val="0"/>
          <w:sz w:val="28"/>
          <w:szCs w:val="28"/>
        </w:rPr>
        <w:t>表6.2-1</w:t>
      </w:r>
      <w:r>
        <w:rPr>
          <w:rFonts w:hint="eastAsia" w:ascii="Times New Roman" w:hAnsi="Times New Roman" w:eastAsia="仿宋" w:cs="Times New Roman"/>
          <w:color w:val="auto"/>
          <w:kern w:val="0"/>
          <w:sz w:val="28"/>
          <w:szCs w:val="28"/>
        </w:rPr>
        <w:t>及图6.2-1</w:t>
      </w:r>
      <w:r>
        <w:rPr>
          <w:rFonts w:ascii="Times New Roman" w:hAnsi="Times New Roman" w:eastAsia="仿宋" w:cs="Times New Roman"/>
          <w:color w:val="auto"/>
          <w:kern w:val="0"/>
          <w:sz w:val="28"/>
          <w:szCs w:val="28"/>
        </w:rPr>
        <w:t xml:space="preserve">。从表中可以看出： </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干流各河段水文水资源准则层赋分在</w:t>
      </w:r>
      <w:r>
        <w:rPr>
          <w:rFonts w:hint="eastAsia" w:ascii="Times New Roman" w:hAnsi="Times New Roman" w:eastAsia="仿宋" w:cs="Times New Roman"/>
          <w:color w:val="auto"/>
          <w:kern w:val="0"/>
          <w:sz w:val="28"/>
          <w:szCs w:val="28"/>
        </w:rPr>
        <w:t>29.7</w:t>
      </w:r>
      <w:r>
        <w:rPr>
          <w:rFonts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rPr>
        <w:t>64.1</w:t>
      </w:r>
      <w:r>
        <w:rPr>
          <w:rFonts w:ascii="Times New Roman" w:hAnsi="Times New Roman" w:eastAsia="仿宋" w:cs="Times New Roman"/>
          <w:color w:val="auto"/>
          <w:kern w:val="0"/>
          <w:sz w:val="28"/>
          <w:szCs w:val="28"/>
        </w:rPr>
        <w:t>之间，处于</w:t>
      </w:r>
      <w:r>
        <w:rPr>
          <w:rFonts w:hint="eastAsia" w:ascii="Times New Roman" w:hAnsi="Times New Roman" w:eastAsia="仿宋" w:cs="Times New Roman"/>
          <w:color w:val="auto"/>
          <w:kern w:val="0"/>
          <w:sz w:val="28"/>
          <w:szCs w:val="28"/>
        </w:rPr>
        <w:t>不</w:t>
      </w:r>
      <w:r>
        <w:rPr>
          <w:rFonts w:ascii="Times New Roman" w:hAnsi="Times New Roman" w:eastAsia="仿宋" w:cs="Times New Roman"/>
          <w:color w:val="auto"/>
          <w:kern w:val="0"/>
          <w:sz w:val="28"/>
          <w:szCs w:val="28"/>
        </w:rPr>
        <w:t>健康~健康状态；物理结构准则层评估结果范围在</w:t>
      </w:r>
      <w:r>
        <w:rPr>
          <w:rFonts w:hint="eastAsia" w:ascii="Times New Roman" w:hAnsi="Times New Roman" w:eastAsia="仿宋" w:cs="Times New Roman"/>
          <w:color w:val="auto"/>
          <w:kern w:val="0"/>
          <w:sz w:val="28"/>
          <w:szCs w:val="28"/>
        </w:rPr>
        <w:t>39.3</w:t>
      </w:r>
      <w:r>
        <w:rPr>
          <w:rFonts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rPr>
        <w:t>74.8</w:t>
      </w:r>
      <w:r>
        <w:rPr>
          <w:rFonts w:ascii="Times New Roman" w:hAnsi="Times New Roman" w:eastAsia="仿宋" w:cs="Times New Roman"/>
          <w:color w:val="auto"/>
          <w:kern w:val="0"/>
          <w:sz w:val="28"/>
          <w:szCs w:val="28"/>
        </w:rPr>
        <w:t>之间，处于</w:t>
      </w:r>
      <w:r>
        <w:rPr>
          <w:rFonts w:hint="eastAsia" w:ascii="Times New Roman" w:hAnsi="Times New Roman" w:eastAsia="仿宋" w:cs="Times New Roman"/>
          <w:color w:val="auto"/>
          <w:kern w:val="0"/>
          <w:sz w:val="28"/>
          <w:szCs w:val="28"/>
        </w:rPr>
        <w:t>不</w:t>
      </w:r>
      <w:r>
        <w:rPr>
          <w:rFonts w:ascii="Times New Roman" w:hAnsi="Times New Roman" w:eastAsia="仿宋" w:cs="Times New Roman"/>
          <w:color w:val="auto"/>
          <w:kern w:val="0"/>
          <w:sz w:val="28"/>
          <w:szCs w:val="28"/>
        </w:rPr>
        <w:t>健康~健康状态；水质准则层评估结果在</w:t>
      </w:r>
      <w:r>
        <w:rPr>
          <w:rFonts w:hint="eastAsia" w:ascii="Times New Roman" w:hAnsi="Times New Roman" w:eastAsia="仿宋" w:cs="Times New Roman"/>
          <w:color w:val="auto"/>
          <w:kern w:val="0"/>
          <w:sz w:val="28"/>
          <w:szCs w:val="28"/>
        </w:rPr>
        <w:t>46.7</w:t>
      </w:r>
      <w:r>
        <w:rPr>
          <w:rFonts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rPr>
        <w:t>78.8</w:t>
      </w:r>
      <w:r>
        <w:rPr>
          <w:rFonts w:ascii="Times New Roman" w:hAnsi="Times New Roman" w:eastAsia="仿宋" w:cs="Times New Roman"/>
          <w:color w:val="auto"/>
          <w:kern w:val="0"/>
          <w:sz w:val="28"/>
          <w:szCs w:val="28"/>
        </w:rPr>
        <w:t>之间，处于亚健康~健康状况；生物准则层评估结果</w:t>
      </w:r>
      <w:r>
        <w:rPr>
          <w:rFonts w:hint="eastAsia" w:ascii="Times New Roman" w:hAnsi="Times New Roman" w:eastAsia="仿宋" w:cs="Times New Roman"/>
          <w:color w:val="auto"/>
          <w:kern w:val="0"/>
          <w:sz w:val="28"/>
          <w:szCs w:val="28"/>
        </w:rPr>
        <w:t>42.5</w:t>
      </w:r>
      <w:r>
        <w:rPr>
          <w:rFonts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rPr>
        <w:t>90.9</w:t>
      </w:r>
      <w:r>
        <w:rPr>
          <w:rFonts w:ascii="Times New Roman" w:hAnsi="Times New Roman" w:eastAsia="仿宋" w:cs="Times New Roman"/>
          <w:color w:val="auto"/>
          <w:kern w:val="0"/>
          <w:sz w:val="28"/>
          <w:szCs w:val="28"/>
        </w:rPr>
        <w:t>之间，处于亚健康~</w:t>
      </w:r>
      <w:r>
        <w:rPr>
          <w:rFonts w:hint="eastAsia" w:ascii="Times New Roman" w:hAnsi="Times New Roman" w:eastAsia="仿宋" w:cs="Times New Roman"/>
          <w:color w:val="auto"/>
          <w:kern w:val="0"/>
          <w:sz w:val="28"/>
          <w:szCs w:val="28"/>
        </w:rPr>
        <w:t>理想</w:t>
      </w:r>
      <w:r>
        <w:rPr>
          <w:rFonts w:ascii="Times New Roman" w:hAnsi="Times New Roman" w:eastAsia="仿宋" w:cs="Times New Roman"/>
          <w:color w:val="auto"/>
          <w:kern w:val="0"/>
          <w:sz w:val="28"/>
          <w:szCs w:val="28"/>
        </w:rPr>
        <w:t>状况</w:t>
      </w:r>
      <w:r>
        <w:rPr>
          <w:rFonts w:hint="eastAsia" w:ascii="Times New Roman" w:hAnsi="Times New Roman" w:eastAsia="仿宋" w:cs="Times New Roman"/>
          <w:color w:val="auto"/>
          <w:kern w:val="0"/>
          <w:sz w:val="28"/>
          <w:szCs w:val="28"/>
        </w:rPr>
        <w:t>，总体来看，生物准则层评估最好，水质准则层次之，物理结构准则层和水文水资源准则层最差</w:t>
      </w:r>
      <w:r>
        <w:rPr>
          <w:rFonts w:ascii="Times New Roman" w:hAnsi="Times New Roman" w:eastAsia="仿宋" w:cs="Times New Roman"/>
          <w:color w:val="auto"/>
          <w:kern w:val="0"/>
          <w:sz w:val="28"/>
          <w:szCs w:val="28"/>
        </w:rPr>
        <w:t xml:space="preserve">。 </w:t>
      </w:r>
    </w:p>
    <w:p>
      <w:pPr>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按</w:t>
      </w:r>
      <w:r>
        <w:rPr>
          <w:rFonts w:hint="eastAsia" w:ascii="Times New Roman" w:hAnsi="Times New Roman" w:eastAsia="仿宋" w:cs="Times New Roman"/>
          <w:color w:val="auto"/>
          <w:kern w:val="0"/>
          <w:sz w:val="28"/>
          <w:szCs w:val="28"/>
        </w:rPr>
        <w:t>评估河段</w:t>
      </w:r>
      <w:r>
        <w:rPr>
          <w:rFonts w:ascii="Times New Roman" w:hAnsi="Times New Roman" w:eastAsia="仿宋" w:cs="Times New Roman"/>
          <w:color w:val="auto"/>
          <w:kern w:val="0"/>
          <w:sz w:val="28"/>
          <w:szCs w:val="28"/>
        </w:rPr>
        <w:t>评价时，</w:t>
      </w:r>
      <w:r>
        <w:rPr>
          <w:rFonts w:hint="eastAsia" w:ascii="Times New Roman" w:hAnsi="Times New Roman" w:eastAsia="仿宋" w:cs="Times New Roman"/>
          <w:color w:val="auto"/>
          <w:kern w:val="0"/>
          <w:sz w:val="28"/>
          <w:szCs w:val="28"/>
        </w:rPr>
        <w:t>除了</w:t>
      </w:r>
      <w:r>
        <w:rPr>
          <w:rFonts w:hint="eastAsia" w:ascii="Times New Roman" w:hAnsi="Times New Roman" w:eastAsia="仿宋" w:cs="Times New Roman"/>
          <w:color w:val="auto"/>
          <w:kern w:val="0"/>
          <w:sz w:val="28"/>
          <w:szCs w:val="28"/>
          <w:lang w:eastAsia="zh-CN"/>
        </w:rPr>
        <w:t>资江</w:t>
      </w:r>
      <w:r>
        <w:rPr>
          <w:rFonts w:hint="eastAsia" w:ascii="Times New Roman" w:hAnsi="Times New Roman" w:eastAsia="仿宋" w:cs="Times New Roman"/>
          <w:color w:val="auto"/>
          <w:kern w:val="0"/>
          <w:sz w:val="28"/>
          <w:szCs w:val="28"/>
        </w:rPr>
        <w:t>桂林、</w:t>
      </w:r>
      <w:r>
        <w:rPr>
          <w:rFonts w:hint="eastAsia" w:ascii="Times New Roman" w:hAnsi="Times New Roman" w:eastAsia="仿宋" w:cs="Times New Roman"/>
          <w:color w:val="auto"/>
          <w:kern w:val="0"/>
          <w:sz w:val="28"/>
          <w:szCs w:val="28"/>
          <w:lang w:eastAsia="zh-CN"/>
        </w:rPr>
        <w:t>资江梅溪</w:t>
      </w:r>
      <w:r>
        <w:rPr>
          <w:rFonts w:hint="eastAsia"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lang w:eastAsia="zh-CN"/>
        </w:rPr>
        <w:t>资江</w:t>
      </w:r>
      <w:r>
        <w:rPr>
          <w:rFonts w:hint="eastAsia" w:ascii="Times New Roman" w:hAnsi="Times New Roman" w:eastAsia="仿宋" w:cs="Times New Roman"/>
          <w:color w:val="auto"/>
          <w:kern w:val="0"/>
          <w:sz w:val="28"/>
          <w:szCs w:val="28"/>
        </w:rPr>
        <w:t>苍梧、</w:t>
      </w:r>
      <w:r>
        <w:rPr>
          <w:rFonts w:hint="eastAsia" w:ascii="Times New Roman" w:hAnsi="Times New Roman" w:eastAsia="仿宋" w:cs="Times New Roman"/>
          <w:color w:val="auto"/>
          <w:kern w:val="0"/>
          <w:sz w:val="28"/>
          <w:szCs w:val="28"/>
          <w:lang w:eastAsia="zh-CN"/>
        </w:rPr>
        <w:t>资江</w:t>
      </w:r>
      <w:r>
        <w:rPr>
          <w:rFonts w:hint="eastAsia" w:ascii="Times New Roman" w:hAnsi="Times New Roman" w:eastAsia="仿宋" w:cs="Times New Roman"/>
          <w:color w:val="auto"/>
          <w:kern w:val="0"/>
          <w:sz w:val="28"/>
          <w:szCs w:val="28"/>
        </w:rPr>
        <w:t>梧州、</w:t>
      </w:r>
      <w:r>
        <w:rPr>
          <w:rFonts w:hint="eastAsia" w:ascii="Times New Roman" w:hAnsi="Times New Roman" w:eastAsia="仿宋" w:cs="Times New Roman"/>
          <w:color w:val="auto"/>
          <w:kern w:val="0"/>
          <w:sz w:val="28"/>
          <w:szCs w:val="28"/>
          <w:lang w:eastAsia="zh-CN"/>
        </w:rPr>
        <w:t>瓜里河</w:t>
      </w:r>
      <w:r>
        <w:rPr>
          <w:rFonts w:hint="eastAsia" w:ascii="Times New Roman" w:hAnsi="Times New Roman" w:eastAsia="仿宋" w:cs="Times New Roman"/>
          <w:color w:val="auto"/>
          <w:kern w:val="0"/>
          <w:sz w:val="28"/>
          <w:szCs w:val="28"/>
        </w:rPr>
        <w:t>昭平得分小于60分，处于亚健康状态外，其余河段得分均大于60分，处于健康状态，但所有评价河段没有理想状态河段，得分基本上上游源头段得分大于中下游河口段；按河流尺度进行评价时，</w:t>
      </w:r>
      <w:r>
        <w:rPr>
          <w:rFonts w:hint="eastAsia" w:ascii="Times New Roman" w:hAnsi="Times New Roman" w:eastAsia="仿宋" w:cs="Times New Roman"/>
          <w:color w:val="auto"/>
          <w:kern w:val="0"/>
          <w:sz w:val="28"/>
          <w:szCs w:val="28"/>
          <w:lang w:eastAsia="zh-CN"/>
        </w:rPr>
        <w:t>资江</w:t>
      </w:r>
      <w:r>
        <w:rPr>
          <w:rFonts w:hint="eastAsia" w:ascii="Times New Roman" w:hAnsi="Times New Roman" w:eastAsia="仿宋" w:cs="Times New Roman"/>
          <w:color w:val="auto"/>
          <w:kern w:val="0"/>
          <w:sz w:val="28"/>
          <w:szCs w:val="28"/>
        </w:rPr>
        <w:t>干流、</w:t>
      </w:r>
      <w:r>
        <w:rPr>
          <w:rFonts w:hint="eastAsia" w:ascii="Times New Roman" w:hAnsi="Times New Roman" w:eastAsia="仿宋" w:cs="Times New Roman"/>
          <w:color w:val="auto"/>
          <w:kern w:val="0"/>
          <w:sz w:val="28"/>
          <w:szCs w:val="28"/>
          <w:lang w:eastAsia="zh-CN"/>
        </w:rPr>
        <w:t>白竹洞河</w:t>
      </w:r>
      <w:r>
        <w:rPr>
          <w:rFonts w:hint="eastAsia"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lang w:eastAsia="zh-CN"/>
        </w:rPr>
        <w:t>大湾河</w:t>
      </w:r>
      <w:r>
        <w:rPr>
          <w:rFonts w:hint="eastAsia"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lang w:eastAsia="zh-CN"/>
        </w:rPr>
        <w:t>木厂水</w:t>
      </w:r>
      <w:r>
        <w:rPr>
          <w:rFonts w:hint="eastAsia" w:ascii="Times New Roman" w:hAnsi="Times New Roman" w:eastAsia="仿宋" w:cs="Times New Roman"/>
          <w:color w:val="auto"/>
          <w:kern w:val="0"/>
          <w:sz w:val="28"/>
          <w:szCs w:val="28"/>
        </w:rPr>
        <w:t>得分均略高于60分，处于健康状况，</w:t>
      </w:r>
      <w:r>
        <w:rPr>
          <w:rFonts w:hint="eastAsia" w:ascii="Times New Roman" w:hAnsi="Times New Roman" w:eastAsia="仿宋" w:cs="Times New Roman"/>
          <w:color w:val="auto"/>
          <w:kern w:val="0"/>
          <w:sz w:val="28"/>
          <w:szCs w:val="28"/>
          <w:lang w:eastAsia="zh-CN"/>
        </w:rPr>
        <w:t>资江</w:t>
      </w:r>
      <w:r>
        <w:rPr>
          <w:rFonts w:hint="eastAsia" w:ascii="Times New Roman" w:hAnsi="Times New Roman" w:eastAsia="仿宋" w:cs="Times New Roman"/>
          <w:color w:val="auto"/>
          <w:kern w:val="0"/>
          <w:sz w:val="28"/>
          <w:szCs w:val="28"/>
        </w:rPr>
        <w:t>整个流域得分62.5分，处于健康状况。</w:t>
      </w:r>
    </w:p>
    <w:p>
      <w:pPr>
        <w:spacing w:line="560" w:lineRule="exact"/>
        <w:ind w:firstLine="560" w:firstLineChars="200"/>
        <w:rPr>
          <w:rFonts w:ascii="Times New Roman" w:hAnsi="Times New Roman" w:eastAsia="仿宋" w:cs="Times New Roman"/>
          <w:color w:val="auto"/>
          <w:kern w:val="0"/>
          <w:sz w:val="28"/>
          <w:szCs w:val="28"/>
        </w:rPr>
      </w:pPr>
    </w:p>
    <w:p>
      <w:pPr>
        <w:tabs>
          <w:tab w:val="left" w:pos="3980"/>
        </w:tabs>
        <w:spacing w:line="360" w:lineRule="auto"/>
        <w:ind w:firstLine="984" w:firstLineChars="350"/>
        <w:rPr>
          <w:rFonts w:ascii="Times New Roman" w:hAnsi="Times New Roman" w:eastAsia="仿宋" w:cs="Times New Roman"/>
          <w:b/>
          <w:color w:val="auto"/>
          <w:kern w:val="0"/>
          <w:sz w:val="28"/>
          <w:szCs w:val="20"/>
        </w:rPr>
      </w:pPr>
      <w:r>
        <w:rPr>
          <w:rFonts w:hint="eastAsia" w:ascii="Times New Roman" w:hAnsi="Times New Roman" w:eastAsia="仿宋" w:cs="Times New Roman"/>
          <w:b/>
          <w:color w:val="auto"/>
          <w:kern w:val="0"/>
          <w:sz w:val="28"/>
          <w:szCs w:val="20"/>
        </w:rPr>
        <w:t>表</w:t>
      </w:r>
      <w:r>
        <w:rPr>
          <w:rFonts w:ascii="Times New Roman" w:hAnsi="Times New Roman" w:eastAsia="仿宋" w:cs="Times New Roman"/>
          <w:b/>
          <w:color w:val="auto"/>
          <w:kern w:val="0"/>
          <w:sz w:val="28"/>
          <w:szCs w:val="20"/>
        </w:rPr>
        <w:t xml:space="preserve">6.2-1 </w:t>
      </w:r>
      <w:r>
        <w:rPr>
          <w:rFonts w:hint="eastAsia" w:ascii="Times New Roman" w:hAnsi="Times New Roman" w:eastAsia="仿宋" w:cs="Times New Roman"/>
          <w:b/>
          <w:color w:val="auto"/>
          <w:kern w:val="0"/>
          <w:sz w:val="28"/>
          <w:szCs w:val="20"/>
        </w:rPr>
        <w:t xml:space="preserve">           评估河流生态完整性评估结果表</w:t>
      </w:r>
    </w:p>
    <w:tbl>
      <w:tblPr>
        <w:tblStyle w:val="15"/>
        <w:tblW w:w="5094" w:type="pct"/>
        <w:tblInd w:w="-176" w:type="dxa"/>
        <w:tblLayout w:type="fixed"/>
        <w:tblCellMar>
          <w:top w:w="0" w:type="dxa"/>
          <w:left w:w="108" w:type="dxa"/>
          <w:bottom w:w="0" w:type="dxa"/>
          <w:right w:w="108" w:type="dxa"/>
        </w:tblCellMar>
      </w:tblPr>
      <w:tblGrid>
        <w:gridCol w:w="993"/>
        <w:gridCol w:w="708"/>
        <w:gridCol w:w="1984"/>
        <w:gridCol w:w="994"/>
        <w:gridCol w:w="851"/>
        <w:gridCol w:w="857"/>
        <w:gridCol w:w="849"/>
        <w:gridCol w:w="868"/>
        <w:gridCol w:w="703"/>
        <w:gridCol w:w="712"/>
      </w:tblGrid>
      <w:tr>
        <w:tblPrEx>
          <w:tblCellMar>
            <w:top w:w="0" w:type="dxa"/>
            <w:left w:w="108" w:type="dxa"/>
            <w:bottom w:w="0" w:type="dxa"/>
            <w:right w:w="108" w:type="dxa"/>
          </w:tblCellMar>
        </w:tblPrEx>
        <w:trPr>
          <w:trHeight w:val="1634" w:hRule="atLeast"/>
        </w:trPr>
        <w:tc>
          <w:tcPr>
            <w:tcW w:w="5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河流名称</w:t>
            </w:r>
          </w:p>
        </w:tc>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河段代号</w:t>
            </w:r>
          </w:p>
        </w:tc>
        <w:tc>
          <w:tcPr>
            <w:tcW w:w="1042" w:type="pct"/>
            <w:tcBorders>
              <w:top w:val="single" w:color="auto" w:sz="4" w:space="0"/>
              <w:left w:val="single" w:color="auto" w:sz="4" w:space="0"/>
              <w:bottom w:val="single" w:color="auto" w:sz="4" w:space="0"/>
              <w:right w:val="nil"/>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评估河段</w:t>
            </w:r>
          </w:p>
        </w:tc>
        <w:tc>
          <w:tcPr>
            <w:tcW w:w="52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水文</w:t>
            </w:r>
          </w:p>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水资源准则层</w:t>
            </w:r>
          </w:p>
          <w:p>
            <w:pPr>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赋分（HDr）</w:t>
            </w:r>
          </w:p>
        </w:tc>
        <w:tc>
          <w:tcPr>
            <w:tcW w:w="44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物理结构准则层赋分（PFr）</w:t>
            </w:r>
          </w:p>
        </w:tc>
        <w:tc>
          <w:tcPr>
            <w:tcW w:w="4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水质准则层</w:t>
            </w:r>
          </w:p>
          <w:p>
            <w:pPr>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赋分(WQr)</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生物准则层</w:t>
            </w:r>
          </w:p>
          <w:p>
            <w:pPr>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赋分(A</w:t>
            </w:r>
            <w:r>
              <w:rPr>
                <w:rFonts w:ascii="Times New Roman" w:hAnsi="Times New Roman" w:eastAsia="仿宋" w:cs="Times New Roman"/>
                <w:color w:val="auto"/>
                <w:sz w:val="21"/>
                <w:szCs w:val="21"/>
              </w:rPr>
              <w:t>l</w:t>
            </w:r>
            <w:r>
              <w:rPr>
                <w:rFonts w:hint="eastAsia" w:ascii="Times New Roman" w:hAnsi="Times New Roman" w:eastAsia="仿宋" w:cs="Times New Roman"/>
                <w:color w:val="auto"/>
                <w:sz w:val="21"/>
                <w:szCs w:val="21"/>
              </w:rPr>
              <w:t>r)</w:t>
            </w:r>
          </w:p>
        </w:tc>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完整性赋分(REIr)</w:t>
            </w: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河流生态完整性赋分</w:t>
            </w:r>
          </w:p>
        </w:tc>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河流健康状态</w:t>
            </w:r>
          </w:p>
        </w:tc>
      </w:tr>
      <w:tr>
        <w:tblPrEx>
          <w:tblCellMar>
            <w:top w:w="0" w:type="dxa"/>
            <w:left w:w="108" w:type="dxa"/>
            <w:bottom w:w="0" w:type="dxa"/>
            <w:right w:w="108" w:type="dxa"/>
          </w:tblCellMar>
        </w:tblPrEx>
        <w:trPr>
          <w:trHeight w:val="270" w:hRule="atLeast"/>
        </w:trPr>
        <w:tc>
          <w:tcPr>
            <w:tcW w:w="521"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资江</w:t>
            </w:r>
          </w:p>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干流</w:t>
            </w:r>
          </w:p>
        </w:tc>
        <w:tc>
          <w:tcPr>
            <w:tcW w:w="37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w:t>
            </w:r>
          </w:p>
        </w:tc>
        <w:tc>
          <w:tcPr>
            <w:tcW w:w="1042"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w:t>
            </w:r>
            <w:r>
              <w:rPr>
                <w:rFonts w:hint="eastAsia" w:ascii="Times New Roman" w:hAnsi="Times New Roman" w:eastAsia="仿宋" w:cs="Times New Roman"/>
                <w:color w:val="auto"/>
                <w:sz w:val="21"/>
                <w:szCs w:val="21"/>
              </w:rPr>
              <w:t>保护段</w:t>
            </w:r>
          </w:p>
        </w:tc>
        <w:tc>
          <w:tcPr>
            <w:tcW w:w="52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64.1</w:t>
            </w:r>
          </w:p>
        </w:tc>
        <w:tc>
          <w:tcPr>
            <w:tcW w:w="44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70.6</w:t>
            </w:r>
          </w:p>
        </w:tc>
        <w:tc>
          <w:tcPr>
            <w:tcW w:w="4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78.8</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90.9</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79</w:t>
            </w:r>
          </w:p>
        </w:tc>
        <w:tc>
          <w:tcPr>
            <w:tcW w:w="369"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60.2</w:t>
            </w:r>
          </w:p>
        </w:tc>
        <w:tc>
          <w:tcPr>
            <w:tcW w:w="373"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健康</w:t>
            </w:r>
          </w:p>
        </w:tc>
      </w:tr>
      <w:tr>
        <w:tblPrEx>
          <w:tblCellMar>
            <w:top w:w="0" w:type="dxa"/>
            <w:left w:w="108" w:type="dxa"/>
            <w:bottom w:w="0" w:type="dxa"/>
            <w:right w:w="108" w:type="dxa"/>
          </w:tblCellMar>
        </w:tblPrEx>
        <w:trPr>
          <w:trHeight w:val="270" w:hRule="atLeast"/>
        </w:trPr>
        <w:tc>
          <w:tcPr>
            <w:tcW w:w="52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auto"/>
                <w:sz w:val="21"/>
                <w:szCs w:val="21"/>
              </w:rPr>
            </w:pPr>
          </w:p>
        </w:tc>
        <w:tc>
          <w:tcPr>
            <w:tcW w:w="37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2</w:t>
            </w:r>
          </w:p>
        </w:tc>
        <w:tc>
          <w:tcPr>
            <w:tcW w:w="1042"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资江中峰</w:t>
            </w:r>
            <w:r>
              <w:rPr>
                <w:rFonts w:hint="eastAsia" w:ascii="Times New Roman" w:hAnsi="Times New Roman" w:eastAsia="仿宋" w:cs="Times New Roman"/>
                <w:color w:val="auto"/>
                <w:sz w:val="21"/>
                <w:szCs w:val="21"/>
              </w:rPr>
              <w:t>段</w:t>
            </w: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64.1</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74.8</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78.8</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65</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69.5</w:t>
            </w:r>
          </w:p>
        </w:tc>
        <w:tc>
          <w:tcPr>
            <w:tcW w:w="369" w:type="pct"/>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 w:cs="Times New Roman"/>
                <w:color w:val="auto"/>
                <w:sz w:val="21"/>
                <w:szCs w:val="21"/>
              </w:rPr>
            </w:pPr>
          </w:p>
        </w:tc>
        <w:tc>
          <w:tcPr>
            <w:tcW w:w="373" w:type="pct"/>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 w:cs="Times New Roman"/>
                <w:color w:val="auto"/>
                <w:sz w:val="21"/>
                <w:szCs w:val="21"/>
              </w:rPr>
            </w:pPr>
          </w:p>
        </w:tc>
      </w:tr>
      <w:tr>
        <w:tblPrEx>
          <w:tblCellMar>
            <w:top w:w="0" w:type="dxa"/>
            <w:left w:w="108" w:type="dxa"/>
            <w:bottom w:w="0" w:type="dxa"/>
            <w:right w:w="108" w:type="dxa"/>
          </w:tblCellMar>
        </w:tblPrEx>
        <w:trPr>
          <w:trHeight w:val="270" w:hRule="atLeast"/>
        </w:trPr>
        <w:tc>
          <w:tcPr>
            <w:tcW w:w="52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auto"/>
                <w:sz w:val="21"/>
                <w:szCs w:val="21"/>
              </w:rPr>
            </w:pPr>
          </w:p>
        </w:tc>
        <w:tc>
          <w:tcPr>
            <w:tcW w:w="37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3</w:t>
            </w:r>
          </w:p>
        </w:tc>
        <w:tc>
          <w:tcPr>
            <w:tcW w:w="1042"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资江县城</w:t>
            </w:r>
            <w:r>
              <w:rPr>
                <w:rFonts w:hint="eastAsia" w:ascii="Times New Roman" w:hAnsi="Times New Roman" w:eastAsia="仿宋" w:cs="Times New Roman"/>
                <w:color w:val="auto"/>
                <w:sz w:val="21"/>
                <w:szCs w:val="21"/>
              </w:rPr>
              <w:t>段</w:t>
            </w: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44.4</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49.7</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78.8</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89.4</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70.3</w:t>
            </w:r>
          </w:p>
        </w:tc>
        <w:tc>
          <w:tcPr>
            <w:tcW w:w="369" w:type="pct"/>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 w:cs="Times New Roman"/>
                <w:color w:val="auto"/>
                <w:sz w:val="21"/>
                <w:szCs w:val="21"/>
              </w:rPr>
            </w:pPr>
          </w:p>
        </w:tc>
        <w:tc>
          <w:tcPr>
            <w:tcW w:w="373" w:type="pct"/>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 w:cs="Times New Roman"/>
                <w:color w:val="auto"/>
                <w:sz w:val="21"/>
                <w:szCs w:val="21"/>
              </w:rPr>
            </w:pPr>
          </w:p>
        </w:tc>
      </w:tr>
      <w:tr>
        <w:tblPrEx>
          <w:tblCellMar>
            <w:top w:w="0" w:type="dxa"/>
            <w:left w:w="108" w:type="dxa"/>
            <w:bottom w:w="0" w:type="dxa"/>
            <w:right w:w="108" w:type="dxa"/>
          </w:tblCellMar>
        </w:tblPrEx>
        <w:trPr>
          <w:trHeight w:val="270" w:hRule="atLeast"/>
        </w:trPr>
        <w:tc>
          <w:tcPr>
            <w:tcW w:w="52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auto"/>
                <w:sz w:val="21"/>
                <w:szCs w:val="21"/>
              </w:rPr>
            </w:pPr>
          </w:p>
        </w:tc>
        <w:tc>
          <w:tcPr>
            <w:tcW w:w="37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4</w:t>
            </w:r>
          </w:p>
        </w:tc>
        <w:tc>
          <w:tcPr>
            <w:tcW w:w="1042"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资江梅溪</w:t>
            </w:r>
            <w:r>
              <w:rPr>
                <w:rFonts w:hint="eastAsia" w:ascii="Times New Roman" w:hAnsi="Times New Roman" w:eastAsia="仿宋" w:cs="Times New Roman"/>
                <w:color w:val="auto"/>
                <w:sz w:val="21"/>
                <w:szCs w:val="21"/>
              </w:rPr>
              <w:t>段</w:t>
            </w: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44.4</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67.9</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78.8</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50.3</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58.3</w:t>
            </w:r>
          </w:p>
        </w:tc>
        <w:tc>
          <w:tcPr>
            <w:tcW w:w="369" w:type="pct"/>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 w:cs="Times New Roman"/>
                <w:color w:val="auto"/>
                <w:sz w:val="21"/>
                <w:szCs w:val="21"/>
              </w:rPr>
            </w:pPr>
          </w:p>
        </w:tc>
        <w:tc>
          <w:tcPr>
            <w:tcW w:w="373" w:type="pct"/>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 w:cs="Times New Roman"/>
                <w:color w:val="auto"/>
                <w:sz w:val="21"/>
                <w:szCs w:val="21"/>
              </w:rPr>
            </w:pPr>
          </w:p>
        </w:tc>
      </w:tr>
      <w:tr>
        <w:tblPrEx>
          <w:tblCellMar>
            <w:top w:w="0" w:type="dxa"/>
            <w:left w:w="108" w:type="dxa"/>
            <w:bottom w:w="0" w:type="dxa"/>
            <w:right w:w="108" w:type="dxa"/>
          </w:tblCellMar>
        </w:tblPrEx>
        <w:trPr>
          <w:trHeight w:val="270" w:hRule="atLeast"/>
        </w:trPr>
        <w:tc>
          <w:tcPr>
            <w:tcW w:w="52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白竹洞河</w:t>
            </w:r>
          </w:p>
        </w:tc>
        <w:tc>
          <w:tcPr>
            <w:tcW w:w="37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11</w:t>
            </w:r>
          </w:p>
        </w:tc>
        <w:tc>
          <w:tcPr>
            <w:tcW w:w="1042"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hint="eastAsia" w:ascii="Times New Roman" w:hAnsi="Times New Roman" w:eastAsia="仿宋" w:cs="Times New Roman"/>
                <w:color w:val="auto"/>
                <w:sz w:val="21"/>
                <w:szCs w:val="21"/>
              </w:rPr>
              <w:t>保护段</w:t>
            </w: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43.2</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70.5</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64.9</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90.9</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72.1</w:t>
            </w:r>
          </w:p>
        </w:tc>
        <w:tc>
          <w:tcPr>
            <w:tcW w:w="369"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67.8</w:t>
            </w:r>
          </w:p>
        </w:tc>
        <w:tc>
          <w:tcPr>
            <w:tcW w:w="373"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健康</w:t>
            </w:r>
          </w:p>
        </w:tc>
      </w:tr>
      <w:tr>
        <w:tblPrEx>
          <w:tblCellMar>
            <w:top w:w="0" w:type="dxa"/>
            <w:left w:w="108" w:type="dxa"/>
            <w:bottom w:w="0" w:type="dxa"/>
            <w:right w:w="108" w:type="dxa"/>
          </w:tblCellMar>
        </w:tblPrEx>
        <w:trPr>
          <w:trHeight w:val="270" w:hRule="atLeast"/>
        </w:trPr>
        <w:tc>
          <w:tcPr>
            <w:tcW w:w="52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　</w:t>
            </w:r>
          </w:p>
        </w:tc>
        <w:tc>
          <w:tcPr>
            <w:tcW w:w="37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12</w:t>
            </w:r>
          </w:p>
        </w:tc>
        <w:tc>
          <w:tcPr>
            <w:tcW w:w="1042"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w:t>
            </w:r>
            <w:r>
              <w:rPr>
                <w:rFonts w:hint="eastAsia" w:ascii="Times New Roman" w:hAnsi="Times New Roman" w:eastAsia="仿宋" w:cs="Times New Roman"/>
                <w:color w:val="auto"/>
                <w:sz w:val="21"/>
                <w:szCs w:val="21"/>
              </w:rPr>
              <w:t>保留段</w:t>
            </w: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43.2</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43.1</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64.9</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90.9</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66.6</w:t>
            </w:r>
          </w:p>
        </w:tc>
        <w:tc>
          <w:tcPr>
            <w:tcW w:w="369" w:type="pct"/>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 w:cs="Times New Roman"/>
                <w:color w:val="auto"/>
                <w:sz w:val="21"/>
                <w:szCs w:val="21"/>
              </w:rPr>
            </w:pPr>
          </w:p>
        </w:tc>
        <w:tc>
          <w:tcPr>
            <w:tcW w:w="373" w:type="pct"/>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 w:cs="Times New Roman"/>
                <w:color w:val="auto"/>
                <w:sz w:val="21"/>
                <w:szCs w:val="21"/>
              </w:rPr>
            </w:pPr>
          </w:p>
        </w:tc>
      </w:tr>
      <w:tr>
        <w:tblPrEx>
          <w:tblCellMar>
            <w:top w:w="0" w:type="dxa"/>
            <w:left w:w="108" w:type="dxa"/>
            <w:bottom w:w="0" w:type="dxa"/>
            <w:right w:w="108" w:type="dxa"/>
          </w:tblCellMar>
        </w:tblPrEx>
        <w:trPr>
          <w:trHeight w:val="270" w:hRule="atLeast"/>
        </w:trPr>
        <w:tc>
          <w:tcPr>
            <w:tcW w:w="52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　</w:t>
            </w:r>
          </w:p>
        </w:tc>
        <w:tc>
          <w:tcPr>
            <w:tcW w:w="37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13</w:t>
            </w:r>
          </w:p>
        </w:tc>
        <w:tc>
          <w:tcPr>
            <w:tcW w:w="1042"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白竹洞河开发段</w:t>
            </w: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43.2</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40.3</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64.9</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90.9</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66</w:t>
            </w:r>
          </w:p>
        </w:tc>
        <w:tc>
          <w:tcPr>
            <w:tcW w:w="369" w:type="pct"/>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 w:cs="Times New Roman"/>
                <w:color w:val="auto"/>
                <w:sz w:val="21"/>
                <w:szCs w:val="21"/>
              </w:rPr>
            </w:pPr>
          </w:p>
        </w:tc>
        <w:tc>
          <w:tcPr>
            <w:tcW w:w="373" w:type="pct"/>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 w:cs="Times New Roman"/>
                <w:color w:val="auto"/>
                <w:sz w:val="21"/>
                <w:szCs w:val="21"/>
              </w:rPr>
            </w:pPr>
          </w:p>
        </w:tc>
      </w:tr>
      <w:tr>
        <w:tblPrEx>
          <w:tblCellMar>
            <w:top w:w="0" w:type="dxa"/>
            <w:left w:w="108" w:type="dxa"/>
            <w:bottom w:w="0" w:type="dxa"/>
            <w:right w:w="108" w:type="dxa"/>
          </w:tblCellMar>
        </w:tblPrEx>
        <w:trPr>
          <w:trHeight w:val="270" w:hRule="atLeast"/>
        </w:trPr>
        <w:tc>
          <w:tcPr>
            <w:tcW w:w="5000"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　</w:t>
            </w:r>
          </w:p>
        </w:tc>
      </w:tr>
      <w:tr>
        <w:tblPrEx>
          <w:tblCellMar>
            <w:top w:w="0" w:type="dxa"/>
            <w:left w:w="108" w:type="dxa"/>
            <w:bottom w:w="0" w:type="dxa"/>
            <w:right w:w="108" w:type="dxa"/>
          </w:tblCellMar>
        </w:tblPrEx>
        <w:trPr>
          <w:trHeight w:val="270" w:hRule="atLeast"/>
        </w:trPr>
        <w:tc>
          <w:tcPr>
            <w:tcW w:w="52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大湾河</w:t>
            </w:r>
          </w:p>
        </w:tc>
        <w:tc>
          <w:tcPr>
            <w:tcW w:w="37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14</w:t>
            </w:r>
          </w:p>
        </w:tc>
        <w:tc>
          <w:tcPr>
            <w:tcW w:w="1042"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w:t>
            </w:r>
            <w:r>
              <w:rPr>
                <w:rFonts w:hint="eastAsia" w:ascii="Times New Roman" w:hAnsi="Times New Roman" w:eastAsia="仿宋" w:cs="Times New Roman"/>
                <w:color w:val="auto"/>
                <w:sz w:val="21"/>
                <w:szCs w:val="21"/>
              </w:rPr>
              <w:t>保护段</w:t>
            </w: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40</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65.3</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64.9</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90.9</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70.4</w:t>
            </w:r>
          </w:p>
        </w:tc>
        <w:tc>
          <w:tcPr>
            <w:tcW w:w="369"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66.7</w:t>
            </w:r>
          </w:p>
        </w:tc>
        <w:tc>
          <w:tcPr>
            <w:tcW w:w="373"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健康</w:t>
            </w:r>
          </w:p>
        </w:tc>
      </w:tr>
      <w:tr>
        <w:tblPrEx>
          <w:tblCellMar>
            <w:top w:w="0" w:type="dxa"/>
            <w:left w:w="108" w:type="dxa"/>
            <w:bottom w:w="0" w:type="dxa"/>
            <w:right w:w="108" w:type="dxa"/>
          </w:tblCellMar>
        </w:tblPrEx>
        <w:trPr>
          <w:trHeight w:val="270" w:hRule="atLeast"/>
        </w:trPr>
        <w:tc>
          <w:tcPr>
            <w:tcW w:w="52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　</w:t>
            </w:r>
          </w:p>
        </w:tc>
        <w:tc>
          <w:tcPr>
            <w:tcW w:w="37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15</w:t>
            </w:r>
          </w:p>
        </w:tc>
        <w:tc>
          <w:tcPr>
            <w:tcW w:w="1042"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大湾河开发段</w:t>
            </w: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40</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39.3</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64.9</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90.9</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65.2</w:t>
            </w:r>
          </w:p>
        </w:tc>
        <w:tc>
          <w:tcPr>
            <w:tcW w:w="369" w:type="pct"/>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 w:cs="Times New Roman"/>
                <w:color w:val="auto"/>
                <w:sz w:val="21"/>
                <w:szCs w:val="21"/>
              </w:rPr>
            </w:pPr>
          </w:p>
        </w:tc>
        <w:tc>
          <w:tcPr>
            <w:tcW w:w="373" w:type="pct"/>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 w:cs="Times New Roman"/>
                <w:color w:val="auto"/>
                <w:sz w:val="21"/>
                <w:szCs w:val="21"/>
              </w:rPr>
            </w:pPr>
          </w:p>
        </w:tc>
      </w:tr>
      <w:tr>
        <w:tblPrEx>
          <w:tblCellMar>
            <w:top w:w="0" w:type="dxa"/>
            <w:left w:w="108" w:type="dxa"/>
            <w:bottom w:w="0" w:type="dxa"/>
            <w:right w:w="108" w:type="dxa"/>
          </w:tblCellMar>
        </w:tblPrEx>
        <w:trPr>
          <w:trHeight w:val="270" w:hRule="atLeast"/>
        </w:trPr>
        <w:tc>
          <w:tcPr>
            <w:tcW w:w="5000"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　</w:t>
            </w:r>
          </w:p>
        </w:tc>
      </w:tr>
      <w:tr>
        <w:tblPrEx>
          <w:tblCellMar>
            <w:top w:w="0" w:type="dxa"/>
            <w:left w:w="108" w:type="dxa"/>
            <w:bottom w:w="0" w:type="dxa"/>
            <w:right w:w="108" w:type="dxa"/>
          </w:tblCellMar>
        </w:tblPrEx>
        <w:trPr>
          <w:trHeight w:val="270" w:hRule="atLeast"/>
        </w:trPr>
        <w:tc>
          <w:tcPr>
            <w:tcW w:w="52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瓜里河</w:t>
            </w:r>
          </w:p>
        </w:tc>
        <w:tc>
          <w:tcPr>
            <w:tcW w:w="37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16</w:t>
            </w:r>
          </w:p>
        </w:tc>
        <w:tc>
          <w:tcPr>
            <w:tcW w:w="1042"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w:t>
            </w:r>
            <w:r>
              <w:rPr>
                <w:rFonts w:hint="eastAsia" w:ascii="Times New Roman" w:hAnsi="Times New Roman" w:eastAsia="仿宋" w:cs="Times New Roman"/>
                <w:color w:val="auto"/>
                <w:sz w:val="21"/>
                <w:szCs w:val="21"/>
              </w:rPr>
              <w:t>保护段</w:t>
            </w: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30.4</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66.5</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90.9</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69.7</w:t>
            </w:r>
          </w:p>
        </w:tc>
        <w:tc>
          <w:tcPr>
            <w:tcW w:w="369"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60.2</w:t>
            </w:r>
          </w:p>
        </w:tc>
        <w:tc>
          <w:tcPr>
            <w:tcW w:w="373"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健康</w:t>
            </w:r>
          </w:p>
        </w:tc>
      </w:tr>
      <w:tr>
        <w:tblPrEx>
          <w:tblCellMar>
            <w:top w:w="0" w:type="dxa"/>
            <w:left w:w="108" w:type="dxa"/>
            <w:bottom w:w="0" w:type="dxa"/>
            <w:right w:w="108" w:type="dxa"/>
          </w:tblCellMar>
        </w:tblPrEx>
        <w:trPr>
          <w:trHeight w:val="270" w:hRule="atLeast"/>
        </w:trPr>
        <w:tc>
          <w:tcPr>
            <w:tcW w:w="52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　</w:t>
            </w:r>
          </w:p>
        </w:tc>
        <w:tc>
          <w:tcPr>
            <w:tcW w:w="37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17</w:t>
            </w:r>
          </w:p>
        </w:tc>
        <w:tc>
          <w:tcPr>
            <w:tcW w:w="1042"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瓜里河保留段</w:t>
            </w: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30.4</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68.3</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90.9</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70.1</w:t>
            </w:r>
          </w:p>
        </w:tc>
        <w:tc>
          <w:tcPr>
            <w:tcW w:w="369" w:type="pct"/>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 w:cs="Times New Roman"/>
                <w:color w:val="auto"/>
                <w:sz w:val="21"/>
                <w:szCs w:val="21"/>
              </w:rPr>
            </w:pPr>
          </w:p>
        </w:tc>
        <w:tc>
          <w:tcPr>
            <w:tcW w:w="373" w:type="pct"/>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 w:cs="Times New Roman"/>
                <w:color w:val="auto"/>
                <w:sz w:val="21"/>
                <w:szCs w:val="21"/>
              </w:rPr>
            </w:pPr>
          </w:p>
        </w:tc>
      </w:tr>
      <w:tr>
        <w:tblPrEx>
          <w:tblCellMar>
            <w:top w:w="0" w:type="dxa"/>
            <w:left w:w="108" w:type="dxa"/>
            <w:bottom w:w="0" w:type="dxa"/>
            <w:right w:w="108" w:type="dxa"/>
          </w:tblCellMar>
        </w:tblPrEx>
        <w:trPr>
          <w:trHeight w:val="270" w:hRule="atLeast"/>
        </w:trPr>
        <w:tc>
          <w:tcPr>
            <w:tcW w:w="52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　</w:t>
            </w:r>
          </w:p>
        </w:tc>
        <w:tc>
          <w:tcPr>
            <w:tcW w:w="37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18</w:t>
            </w:r>
          </w:p>
        </w:tc>
        <w:tc>
          <w:tcPr>
            <w:tcW w:w="1042"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瓜里河开发段</w:t>
            </w: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30.4</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46.3</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45.9</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47.7</w:t>
            </w:r>
          </w:p>
        </w:tc>
        <w:tc>
          <w:tcPr>
            <w:tcW w:w="369" w:type="pct"/>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 w:cs="Times New Roman"/>
                <w:color w:val="auto"/>
                <w:sz w:val="21"/>
                <w:szCs w:val="21"/>
              </w:rPr>
            </w:pPr>
          </w:p>
        </w:tc>
        <w:tc>
          <w:tcPr>
            <w:tcW w:w="373" w:type="pct"/>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 w:cs="Times New Roman"/>
                <w:color w:val="auto"/>
                <w:sz w:val="21"/>
                <w:szCs w:val="21"/>
              </w:rPr>
            </w:pPr>
          </w:p>
        </w:tc>
      </w:tr>
      <w:tr>
        <w:tblPrEx>
          <w:tblCellMar>
            <w:top w:w="0" w:type="dxa"/>
            <w:left w:w="108" w:type="dxa"/>
            <w:bottom w:w="0" w:type="dxa"/>
            <w:right w:w="108" w:type="dxa"/>
          </w:tblCellMar>
        </w:tblPrEx>
        <w:trPr>
          <w:trHeight w:val="270" w:hRule="atLeast"/>
        </w:trPr>
        <w:tc>
          <w:tcPr>
            <w:tcW w:w="5000"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　</w:t>
            </w:r>
          </w:p>
        </w:tc>
      </w:tr>
      <w:tr>
        <w:tblPrEx>
          <w:tblCellMar>
            <w:top w:w="0" w:type="dxa"/>
            <w:left w:w="108" w:type="dxa"/>
            <w:bottom w:w="0" w:type="dxa"/>
            <w:right w:w="108" w:type="dxa"/>
          </w:tblCellMar>
        </w:tblPrEx>
        <w:trPr>
          <w:trHeight w:val="270" w:hRule="atLeast"/>
        </w:trPr>
        <w:tc>
          <w:tcPr>
            <w:tcW w:w="52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木厂水</w:t>
            </w:r>
          </w:p>
        </w:tc>
        <w:tc>
          <w:tcPr>
            <w:tcW w:w="371"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19</w:t>
            </w:r>
          </w:p>
        </w:tc>
        <w:tc>
          <w:tcPr>
            <w:tcW w:w="1042"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木厂水保护段</w:t>
            </w: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29.7</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63.1</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90.9</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68.9</w:t>
            </w:r>
          </w:p>
        </w:tc>
        <w:tc>
          <w:tcPr>
            <w:tcW w:w="369"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61.9</w:t>
            </w:r>
          </w:p>
        </w:tc>
        <w:tc>
          <w:tcPr>
            <w:tcW w:w="373"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健康</w:t>
            </w:r>
          </w:p>
        </w:tc>
      </w:tr>
      <w:tr>
        <w:trPr>
          <w:trHeight w:val="270" w:hRule="atLeast"/>
        </w:trPr>
        <w:tc>
          <w:tcPr>
            <w:tcW w:w="52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　</w:t>
            </w:r>
          </w:p>
        </w:tc>
        <w:tc>
          <w:tcPr>
            <w:tcW w:w="371"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20</w:t>
            </w:r>
          </w:p>
        </w:tc>
        <w:tc>
          <w:tcPr>
            <w:tcW w:w="1042"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木厂水开发段</w:t>
            </w: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29.7</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41.3</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70</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80.8</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60.5</w:t>
            </w:r>
          </w:p>
        </w:tc>
        <w:tc>
          <w:tcPr>
            <w:tcW w:w="369" w:type="pct"/>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 w:cs="Times New Roman"/>
                <w:color w:val="auto"/>
                <w:sz w:val="21"/>
                <w:szCs w:val="21"/>
              </w:rPr>
            </w:pPr>
          </w:p>
        </w:tc>
        <w:tc>
          <w:tcPr>
            <w:tcW w:w="373" w:type="pct"/>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 w:cs="Times New Roman"/>
                <w:color w:val="auto"/>
                <w:sz w:val="21"/>
                <w:szCs w:val="21"/>
              </w:rPr>
            </w:pPr>
          </w:p>
        </w:tc>
      </w:tr>
      <w:tr>
        <w:tblPrEx>
          <w:tblCellMar>
            <w:top w:w="0" w:type="dxa"/>
            <w:left w:w="108" w:type="dxa"/>
            <w:bottom w:w="0" w:type="dxa"/>
            <w:right w:w="108" w:type="dxa"/>
          </w:tblCellMar>
        </w:tblPrEx>
        <w:trPr>
          <w:trHeight w:val="270" w:hRule="atLeast"/>
        </w:trPr>
        <w:tc>
          <w:tcPr>
            <w:tcW w:w="5000"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　</w:t>
            </w:r>
          </w:p>
        </w:tc>
      </w:tr>
      <w:tr>
        <w:tblPrEx>
          <w:tblCellMar>
            <w:top w:w="0" w:type="dxa"/>
            <w:left w:w="108" w:type="dxa"/>
            <w:bottom w:w="0" w:type="dxa"/>
            <w:right w:w="108" w:type="dxa"/>
          </w:tblCellMar>
        </w:tblPrEx>
        <w:trPr>
          <w:trHeight w:val="270" w:hRule="atLeast"/>
        </w:trPr>
        <w:tc>
          <w:tcPr>
            <w:tcW w:w="52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资江</w:t>
            </w:r>
          </w:p>
        </w:tc>
        <w:tc>
          <w:tcPr>
            <w:tcW w:w="371"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1-20</w:t>
            </w:r>
          </w:p>
        </w:tc>
        <w:tc>
          <w:tcPr>
            <w:tcW w:w="1042"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 w:cs="Times New Roman"/>
                <w:color w:val="auto"/>
                <w:sz w:val="21"/>
                <w:szCs w:val="21"/>
              </w:rPr>
            </w:pP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39.7</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52.7</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69.2</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75.2</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94.9</w:t>
            </w:r>
          </w:p>
        </w:tc>
        <w:tc>
          <w:tcPr>
            <w:tcW w:w="36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62.5</w:t>
            </w:r>
          </w:p>
        </w:tc>
        <w:tc>
          <w:tcPr>
            <w:tcW w:w="37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健康</w:t>
            </w:r>
          </w:p>
        </w:tc>
      </w:tr>
    </w:tbl>
    <w:p>
      <w:pPr>
        <w:spacing w:line="560" w:lineRule="exact"/>
        <w:ind w:firstLine="560" w:firstLineChars="200"/>
        <w:rPr>
          <w:rFonts w:ascii="Times New Roman" w:hAnsi="Times New Roman" w:eastAsia="仿宋" w:cs="Times New Roman"/>
          <w:color w:val="auto"/>
          <w:sz w:val="28"/>
          <w:szCs w:val="28"/>
        </w:rPr>
      </w:pPr>
    </w:p>
    <w:p>
      <w:pPr>
        <w:autoSpaceDE w:val="0"/>
        <w:autoSpaceDN w:val="0"/>
        <w:adjustRightInd w:val="0"/>
        <w:spacing w:line="560" w:lineRule="exact"/>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（2）社会服务功能状况 </w:t>
      </w:r>
    </w:p>
    <w:p>
      <w:pPr>
        <w:spacing w:line="560" w:lineRule="exact"/>
        <w:ind w:firstLine="560" w:firstLineChars="200"/>
        <w:rPr>
          <w:rFonts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评估河流社会服务功能状况评估结果见表6.2-2及图6.2-2，所有河段得分均大于80份，为理想状态。</w:t>
      </w:r>
    </w:p>
    <w:p>
      <w:pPr>
        <w:spacing w:line="560" w:lineRule="exact"/>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按河流评价时，</w:t>
      </w:r>
      <w:r>
        <w:rPr>
          <w:rFonts w:hint="eastAsia" w:ascii="Times New Roman" w:hAnsi="Times New Roman" w:eastAsia="仿宋" w:cs="Times New Roman"/>
          <w:color w:val="auto"/>
          <w:kern w:val="0"/>
          <w:sz w:val="28"/>
          <w:szCs w:val="28"/>
        </w:rPr>
        <w:t>5</w:t>
      </w:r>
      <w:r>
        <w:rPr>
          <w:rFonts w:ascii="Times New Roman" w:hAnsi="Times New Roman" w:eastAsia="仿宋" w:cs="Times New Roman"/>
          <w:color w:val="auto"/>
          <w:kern w:val="0"/>
          <w:sz w:val="28"/>
          <w:szCs w:val="28"/>
        </w:rPr>
        <w:t>条评估河流的社会服务功能状况分数均大于80分，处于理想状况。</w:t>
      </w:r>
    </w:p>
    <w:p>
      <w:pPr>
        <w:rPr>
          <w:color w:val="auto"/>
        </w:rPr>
      </w:pPr>
    </w:p>
    <w:p>
      <w:pPr>
        <w:tabs>
          <w:tab w:val="left" w:pos="3980"/>
        </w:tabs>
        <w:spacing w:line="360" w:lineRule="auto"/>
        <w:ind w:firstLine="984" w:firstLineChars="350"/>
        <w:rPr>
          <w:rFonts w:ascii="Times New Roman" w:hAnsi="Times New Roman" w:eastAsia="仿宋" w:cs="Times New Roman"/>
          <w:b/>
          <w:color w:val="auto"/>
          <w:kern w:val="0"/>
          <w:sz w:val="28"/>
          <w:szCs w:val="20"/>
        </w:rPr>
      </w:pPr>
      <w:r>
        <w:rPr>
          <w:rFonts w:hint="eastAsia" w:ascii="Times New Roman" w:hAnsi="Times New Roman" w:eastAsia="仿宋" w:cs="Times New Roman"/>
          <w:b/>
          <w:color w:val="auto"/>
          <w:kern w:val="0"/>
          <w:sz w:val="28"/>
          <w:szCs w:val="20"/>
        </w:rPr>
        <w:t>表</w:t>
      </w:r>
      <w:r>
        <w:rPr>
          <w:rFonts w:ascii="Times New Roman" w:hAnsi="Times New Roman" w:eastAsia="仿宋" w:cs="Times New Roman"/>
          <w:b/>
          <w:color w:val="auto"/>
          <w:kern w:val="0"/>
          <w:sz w:val="28"/>
          <w:szCs w:val="20"/>
        </w:rPr>
        <w:t xml:space="preserve">6.2-2 </w:t>
      </w:r>
      <w:r>
        <w:rPr>
          <w:rFonts w:hint="eastAsia" w:ascii="Times New Roman" w:hAnsi="Times New Roman" w:eastAsia="仿宋" w:cs="Times New Roman"/>
          <w:b/>
          <w:color w:val="auto"/>
          <w:kern w:val="0"/>
          <w:sz w:val="28"/>
          <w:szCs w:val="20"/>
        </w:rPr>
        <w:t xml:space="preserve">             评估河流社会服务功能状况评估结果表</w:t>
      </w:r>
    </w:p>
    <w:tbl>
      <w:tblPr>
        <w:tblStyle w:val="15"/>
        <w:tblW w:w="9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871"/>
        <w:gridCol w:w="1234"/>
        <w:gridCol w:w="1318"/>
        <w:gridCol w:w="1132"/>
        <w:gridCol w:w="1134"/>
        <w:gridCol w:w="1099"/>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563"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序号</w:t>
            </w:r>
          </w:p>
        </w:tc>
        <w:tc>
          <w:tcPr>
            <w:tcW w:w="1871"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河流名称</w:t>
            </w:r>
          </w:p>
        </w:tc>
        <w:tc>
          <w:tcPr>
            <w:tcW w:w="1234"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水功能区达标指标</w:t>
            </w:r>
          </w:p>
          <w:p>
            <w:pPr>
              <w:autoSpaceDE w:val="0"/>
              <w:autoSpaceDN w:val="0"/>
              <w:adjustRightInd w:val="0"/>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赋分WFZr</w:t>
            </w:r>
          </w:p>
        </w:tc>
        <w:tc>
          <w:tcPr>
            <w:tcW w:w="1318"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水资源开发利用指标</w:t>
            </w:r>
          </w:p>
          <w:p>
            <w:pPr>
              <w:autoSpaceDE w:val="0"/>
              <w:autoSpaceDN w:val="0"/>
              <w:adjustRightInd w:val="0"/>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赋分WRUr</w:t>
            </w:r>
          </w:p>
        </w:tc>
        <w:tc>
          <w:tcPr>
            <w:tcW w:w="1132"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防洪指标</w:t>
            </w:r>
          </w:p>
          <w:p>
            <w:pPr>
              <w:autoSpaceDE w:val="0"/>
              <w:autoSpaceDN w:val="0"/>
              <w:adjustRightInd w:val="0"/>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赋分FLDr</w:t>
            </w:r>
          </w:p>
        </w:tc>
        <w:tc>
          <w:tcPr>
            <w:tcW w:w="1134"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公众满意度指标</w:t>
            </w:r>
          </w:p>
          <w:p>
            <w:pPr>
              <w:autoSpaceDE w:val="0"/>
              <w:autoSpaceDN w:val="0"/>
              <w:adjustRightInd w:val="0"/>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赋分PPr</w:t>
            </w:r>
          </w:p>
        </w:tc>
        <w:tc>
          <w:tcPr>
            <w:tcW w:w="1099"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社会服务功能赋分（SSr）</w:t>
            </w:r>
          </w:p>
        </w:tc>
        <w:tc>
          <w:tcPr>
            <w:tcW w:w="992" w:type="dxa"/>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4"/>
                <w:szCs w:val="24"/>
              </w:rPr>
            </w:pPr>
            <w:r>
              <w:rPr>
                <w:rFonts w:ascii="Times New Roman" w:hAnsi="Times New Roman" w:eastAsia="仿宋" w:cs="Times New Roman"/>
                <w:color w:val="auto"/>
                <w:kern w:val="0"/>
                <w:sz w:val="24"/>
                <w:szCs w:val="24"/>
              </w:rPr>
              <w:t>流域社会服务功能评估赋分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w:t>
            </w:r>
          </w:p>
        </w:tc>
        <w:tc>
          <w:tcPr>
            <w:tcW w:w="1871" w:type="dxa"/>
            <w:shd w:val="clear" w:color="auto" w:fill="auto"/>
            <w:vAlign w:val="center"/>
          </w:tcPr>
          <w:p>
            <w:pPr>
              <w:spacing w:line="380" w:lineRule="exact"/>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eastAsia="zh-CN"/>
              </w:rPr>
              <w:t>资江</w:t>
            </w:r>
            <w:r>
              <w:rPr>
                <w:rFonts w:ascii="Times New Roman" w:hAnsi="Times New Roman" w:eastAsia="仿宋" w:cs="Times New Roman"/>
                <w:color w:val="auto"/>
                <w:sz w:val="24"/>
                <w:szCs w:val="24"/>
              </w:rPr>
              <w:t>保护段</w:t>
            </w:r>
          </w:p>
        </w:tc>
        <w:tc>
          <w:tcPr>
            <w:tcW w:w="12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318"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2"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81.5</w:t>
            </w:r>
          </w:p>
        </w:tc>
        <w:tc>
          <w:tcPr>
            <w:tcW w:w="1099" w:type="dxa"/>
            <w:shd w:val="clear" w:color="auto" w:fill="auto"/>
            <w:vAlign w:val="center"/>
          </w:tcPr>
          <w:p>
            <w:pPr>
              <w:widowControl/>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95.4</w:t>
            </w:r>
          </w:p>
        </w:tc>
        <w:tc>
          <w:tcPr>
            <w:tcW w:w="992" w:type="dxa"/>
            <w:vMerge w:val="restart"/>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2</w:t>
            </w:r>
          </w:p>
        </w:tc>
        <w:tc>
          <w:tcPr>
            <w:tcW w:w="1871" w:type="dxa"/>
            <w:shd w:val="clear" w:color="auto" w:fill="auto"/>
            <w:vAlign w:val="center"/>
          </w:tcPr>
          <w:p>
            <w:pPr>
              <w:spacing w:line="380" w:lineRule="exact"/>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eastAsia="zh-CN"/>
              </w:rPr>
              <w:t>资江中峰</w:t>
            </w:r>
            <w:r>
              <w:rPr>
                <w:rFonts w:ascii="Times New Roman" w:hAnsi="Times New Roman" w:eastAsia="仿宋" w:cs="Times New Roman"/>
                <w:color w:val="auto"/>
                <w:sz w:val="24"/>
                <w:szCs w:val="24"/>
              </w:rPr>
              <w:t>段</w:t>
            </w:r>
          </w:p>
        </w:tc>
        <w:tc>
          <w:tcPr>
            <w:tcW w:w="12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318"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2"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81.5</w:t>
            </w:r>
          </w:p>
        </w:tc>
        <w:tc>
          <w:tcPr>
            <w:tcW w:w="1099" w:type="dxa"/>
            <w:shd w:val="clear" w:color="auto" w:fill="auto"/>
            <w:vAlign w:val="center"/>
          </w:tcPr>
          <w:p>
            <w:pPr>
              <w:widowControl/>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95.4</w:t>
            </w:r>
          </w:p>
        </w:tc>
        <w:tc>
          <w:tcPr>
            <w:tcW w:w="992" w:type="dxa"/>
            <w:vMerge w:val="continue"/>
            <w:shd w:val="clear" w:color="auto" w:fill="auto"/>
            <w:vAlign w:val="center"/>
          </w:tcPr>
          <w:p>
            <w:pPr>
              <w:spacing w:line="380" w:lineRule="exact"/>
              <w:jc w:val="center"/>
              <w:rPr>
                <w:rFonts w:ascii="Times New Roman" w:hAnsi="Times New Roman" w:eastAsia="仿宋"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3</w:t>
            </w:r>
          </w:p>
        </w:tc>
        <w:tc>
          <w:tcPr>
            <w:tcW w:w="1871" w:type="dxa"/>
            <w:shd w:val="clear" w:color="auto" w:fill="auto"/>
            <w:vAlign w:val="center"/>
          </w:tcPr>
          <w:p>
            <w:pPr>
              <w:spacing w:line="380" w:lineRule="exact"/>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eastAsia="zh-CN"/>
              </w:rPr>
              <w:t>资江县城</w:t>
            </w:r>
            <w:r>
              <w:rPr>
                <w:rFonts w:ascii="Times New Roman" w:hAnsi="Times New Roman" w:eastAsia="仿宋" w:cs="Times New Roman"/>
                <w:color w:val="auto"/>
                <w:sz w:val="24"/>
                <w:szCs w:val="24"/>
              </w:rPr>
              <w:t>段</w:t>
            </w:r>
          </w:p>
        </w:tc>
        <w:tc>
          <w:tcPr>
            <w:tcW w:w="12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318"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2"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81.5</w:t>
            </w:r>
          </w:p>
        </w:tc>
        <w:tc>
          <w:tcPr>
            <w:tcW w:w="1099" w:type="dxa"/>
            <w:shd w:val="clear" w:color="auto" w:fill="auto"/>
            <w:vAlign w:val="center"/>
          </w:tcPr>
          <w:p>
            <w:pPr>
              <w:widowControl/>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95.4</w:t>
            </w:r>
          </w:p>
        </w:tc>
        <w:tc>
          <w:tcPr>
            <w:tcW w:w="992" w:type="dxa"/>
            <w:vMerge w:val="continue"/>
            <w:shd w:val="clear" w:color="auto" w:fill="auto"/>
            <w:vAlign w:val="center"/>
          </w:tcPr>
          <w:p>
            <w:pPr>
              <w:spacing w:line="380" w:lineRule="exact"/>
              <w:jc w:val="center"/>
              <w:rPr>
                <w:rFonts w:ascii="Times New Roman" w:hAnsi="Times New Roman" w:eastAsia="仿宋"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4</w:t>
            </w:r>
          </w:p>
        </w:tc>
        <w:tc>
          <w:tcPr>
            <w:tcW w:w="1871" w:type="dxa"/>
            <w:shd w:val="clear" w:color="auto" w:fill="auto"/>
            <w:vAlign w:val="center"/>
          </w:tcPr>
          <w:p>
            <w:pPr>
              <w:spacing w:line="380" w:lineRule="exact"/>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eastAsia="zh-CN"/>
              </w:rPr>
              <w:t>资江县城</w:t>
            </w:r>
            <w:r>
              <w:rPr>
                <w:rFonts w:ascii="Times New Roman" w:hAnsi="Times New Roman" w:eastAsia="仿宋" w:cs="Times New Roman"/>
                <w:color w:val="auto"/>
                <w:sz w:val="24"/>
                <w:szCs w:val="24"/>
              </w:rPr>
              <w:t>段</w:t>
            </w:r>
          </w:p>
        </w:tc>
        <w:tc>
          <w:tcPr>
            <w:tcW w:w="12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318"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2"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81.5</w:t>
            </w:r>
          </w:p>
        </w:tc>
        <w:tc>
          <w:tcPr>
            <w:tcW w:w="1099" w:type="dxa"/>
            <w:shd w:val="clear" w:color="auto" w:fill="auto"/>
            <w:vAlign w:val="center"/>
          </w:tcPr>
          <w:p>
            <w:pPr>
              <w:widowControl/>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95.4</w:t>
            </w:r>
          </w:p>
        </w:tc>
        <w:tc>
          <w:tcPr>
            <w:tcW w:w="992" w:type="dxa"/>
            <w:vMerge w:val="continue"/>
            <w:shd w:val="clear" w:color="auto" w:fill="auto"/>
            <w:vAlign w:val="center"/>
          </w:tcPr>
          <w:p>
            <w:pPr>
              <w:spacing w:line="380" w:lineRule="exact"/>
              <w:jc w:val="center"/>
              <w:rPr>
                <w:rFonts w:ascii="Times New Roman" w:hAnsi="Times New Roman" w:eastAsia="仿宋"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5</w:t>
            </w:r>
          </w:p>
        </w:tc>
        <w:tc>
          <w:tcPr>
            <w:tcW w:w="1871" w:type="dxa"/>
            <w:shd w:val="clear" w:color="auto" w:fill="auto"/>
            <w:vAlign w:val="center"/>
          </w:tcPr>
          <w:p>
            <w:pPr>
              <w:spacing w:line="380" w:lineRule="exact"/>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eastAsia="zh-CN"/>
              </w:rPr>
              <w:t>资江梅溪</w:t>
            </w:r>
            <w:r>
              <w:rPr>
                <w:rFonts w:ascii="Times New Roman" w:hAnsi="Times New Roman" w:eastAsia="仿宋" w:cs="Times New Roman"/>
                <w:color w:val="auto"/>
                <w:sz w:val="24"/>
                <w:szCs w:val="24"/>
              </w:rPr>
              <w:t>段</w:t>
            </w:r>
          </w:p>
        </w:tc>
        <w:tc>
          <w:tcPr>
            <w:tcW w:w="12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318"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2"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81.5</w:t>
            </w:r>
          </w:p>
        </w:tc>
        <w:tc>
          <w:tcPr>
            <w:tcW w:w="1099" w:type="dxa"/>
            <w:shd w:val="clear" w:color="auto" w:fill="auto"/>
            <w:vAlign w:val="center"/>
          </w:tcPr>
          <w:p>
            <w:pPr>
              <w:widowControl/>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95.4</w:t>
            </w:r>
          </w:p>
        </w:tc>
        <w:tc>
          <w:tcPr>
            <w:tcW w:w="992" w:type="dxa"/>
            <w:vMerge w:val="continue"/>
            <w:shd w:val="clear" w:color="auto" w:fill="auto"/>
            <w:vAlign w:val="center"/>
          </w:tcPr>
          <w:p>
            <w:pPr>
              <w:spacing w:line="380" w:lineRule="exact"/>
              <w:jc w:val="center"/>
              <w:rPr>
                <w:rFonts w:ascii="Times New Roman" w:hAnsi="Times New Roman" w:eastAsia="仿宋"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val="en-US" w:eastAsia="zh-CN"/>
              </w:rPr>
              <w:t>6</w:t>
            </w:r>
          </w:p>
        </w:tc>
        <w:tc>
          <w:tcPr>
            <w:tcW w:w="1871" w:type="dxa"/>
            <w:shd w:val="clear" w:color="auto" w:fill="auto"/>
            <w:vAlign w:val="center"/>
          </w:tcPr>
          <w:p>
            <w:pPr>
              <w:spacing w:line="380" w:lineRule="exact"/>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eastAsia="zh-CN"/>
              </w:rPr>
              <w:t>白竹洞河</w:t>
            </w:r>
            <w:r>
              <w:rPr>
                <w:rFonts w:ascii="Times New Roman" w:hAnsi="Times New Roman" w:eastAsia="仿宋" w:cs="Times New Roman"/>
                <w:color w:val="auto"/>
                <w:sz w:val="24"/>
                <w:szCs w:val="24"/>
              </w:rPr>
              <w:t>保护段</w:t>
            </w:r>
          </w:p>
        </w:tc>
        <w:tc>
          <w:tcPr>
            <w:tcW w:w="12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318"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2"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76.6</w:t>
            </w:r>
          </w:p>
        </w:tc>
        <w:tc>
          <w:tcPr>
            <w:tcW w:w="1099" w:type="dxa"/>
            <w:shd w:val="clear" w:color="auto" w:fill="auto"/>
            <w:vAlign w:val="center"/>
          </w:tcPr>
          <w:p>
            <w:pPr>
              <w:widowControl/>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94.1</w:t>
            </w:r>
          </w:p>
        </w:tc>
        <w:tc>
          <w:tcPr>
            <w:tcW w:w="992" w:type="dxa"/>
            <w:vMerge w:val="restart"/>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val="en-US" w:eastAsia="zh-CN"/>
              </w:rPr>
              <w:t>7</w:t>
            </w:r>
          </w:p>
        </w:tc>
        <w:tc>
          <w:tcPr>
            <w:tcW w:w="1871" w:type="dxa"/>
            <w:shd w:val="clear" w:color="auto" w:fill="auto"/>
            <w:vAlign w:val="center"/>
          </w:tcPr>
          <w:p>
            <w:pPr>
              <w:spacing w:line="380" w:lineRule="exact"/>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eastAsia="zh-CN"/>
              </w:rPr>
              <w:t>白竹洞河</w:t>
            </w:r>
            <w:r>
              <w:rPr>
                <w:rFonts w:ascii="Times New Roman" w:hAnsi="Times New Roman" w:eastAsia="仿宋" w:cs="Times New Roman"/>
                <w:color w:val="auto"/>
                <w:sz w:val="24"/>
                <w:szCs w:val="24"/>
              </w:rPr>
              <w:t>保留段</w:t>
            </w:r>
          </w:p>
        </w:tc>
        <w:tc>
          <w:tcPr>
            <w:tcW w:w="12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318"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2"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76.6</w:t>
            </w:r>
          </w:p>
        </w:tc>
        <w:tc>
          <w:tcPr>
            <w:tcW w:w="1099" w:type="dxa"/>
            <w:shd w:val="clear" w:color="auto" w:fill="auto"/>
            <w:vAlign w:val="center"/>
          </w:tcPr>
          <w:p>
            <w:pPr>
              <w:widowControl/>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94.1</w:t>
            </w:r>
          </w:p>
        </w:tc>
        <w:tc>
          <w:tcPr>
            <w:tcW w:w="992" w:type="dxa"/>
            <w:vMerge w:val="continue"/>
            <w:shd w:val="clear" w:color="auto" w:fill="auto"/>
            <w:vAlign w:val="center"/>
          </w:tcPr>
          <w:p>
            <w:pPr>
              <w:spacing w:line="380" w:lineRule="exact"/>
              <w:jc w:val="center"/>
              <w:rPr>
                <w:rFonts w:ascii="Times New Roman" w:hAnsi="Times New Roman" w:eastAsia="仿宋"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val="en-US" w:eastAsia="zh-CN"/>
              </w:rPr>
              <w:t>8</w:t>
            </w:r>
          </w:p>
        </w:tc>
        <w:tc>
          <w:tcPr>
            <w:tcW w:w="1871" w:type="dxa"/>
            <w:shd w:val="clear" w:color="auto" w:fill="auto"/>
            <w:vAlign w:val="center"/>
          </w:tcPr>
          <w:p>
            <w:pPr>
              <w:spacing w:line="380" w:lineRule="exact"/>
              <w:rPr>
                <w:rFonts w:ascii="Times New Roman" w:hAnsi="Times New Roman" w:eastAsia="仿宋" w:cs="Times New Roman"/>
                <w:color w:val="auto"/>
                <w:spacing w:val="-6"/>
                <w:sz w:val="24"/>
                <w:szCs w:val="24"/>
              </w:rPr>
            </w:pPr>
            <w:r>
              <w:rPr>
                <w:rFonts w:hint="eastAsia" w:ascii="Times New Roman" w:hAnsi="Times New Roman" w:eastAsia="仿宋" w:cs="Times New Roman"/>
                <w:color w:val="auto"/>
                <w:spacing w:val="-6"/>
                <w:sz w:val="24"/>
                <w:szCs w:val="24"/>
                <w:lang w:eastAsia="zh-CN"/>
              </w:rPr>
              <w:t>白竹洞河梅溪</w:t>
            </w:r>
            <w:r>
              <w:rPr>
                <w:rFonts w:ascii="Times New Roman" w:hAnsi="Times New Roman" w:eastAsia="仿宋" w:cs="Times New Roman"/>
                <w:color w:val="auto"/>
                <w:spacing w:val="-6"/>
                <w:sz w:val="24"/>
                <w:szCs w:val="24"/>
              </w:rPr>
              <w:t>段</w:t>
            </w:r>
          </w:p>
        </w:tc>
        <w:tc>
          <w:tcPr>
            <w:tcW w:w="12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318"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2"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76.6</w:t>
            </w:r>
          </w:p>
        </w:tc>
        <w:tc>
          <w:tcPr>
            <w:tcW w:w="1099" w:type="dxa"/>
            <w:shd w:val="clear" w:color="auto" w:fill="auto"/>
            <w:vAlign w:val="center"/>
          </w:tcPr>
          <w:p>
            <w:pPr>
              <w:widowControl/>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94.1</w:t>
            </w:r>
          </w:p>
        </w:tc>
        <w:tc>
          <w:tcPr>
            <w:tcW w:w="992" w:type="dxa"/>
            <w:vMerge w:val="continue"/>
            <w:shd w:val="clear" w:color="auto" w:fill="auto"/>
            <w:vAlign w:val="center"/>
          </w:tcPr>
          <w:p>
            <w:pPr>
              <w:spacing w:line="380" w:lineRule="exact"/>
              <w:jc w:val="center"/>
              <w:rPr>
                <w:rFonts w:ascii="Times New Roman" w:hAnsi="Times New Roman" w:eastAsia="仿宋"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val="en-US" w:eastAsia="zh-CN"/>
              </w:rPr>
              <w:t>9</w:t>
            </w:r>
          </w:p>
        </w:tc>
        <w:tc>
          <w:tcPr>
            <w:tcW w:w="1871" w:type="dxa"/>
            <w:shd w:val="clear" w:color="auto" w:fill="auto"/>
            <w:vAlign w:val="center"/>
          </w:tcPr>
          <w:p>
            <w:pPr>
              <w:spacing w:line="380" w:lineRule="exact"/>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eastAsia="zh-CN"/>
              </w:rPr>
              <w:t>大湾河</w:t>
            </w:r>
            <w:r>
              <w:rPr>
                <w:rFonts w:ascii="Times New Roman" w:hAnsi="Times New Roman" w:eastAsia="仿宋" w:cs="Times New Roman"/>
                <w:color w:val="auto"/>
                <w:sz w:val="24"/>
                <w:szCs w:val="24"/>
              </w:rPr>
              <w:t>保护段</w:t>
            </w:r>
          </w:p>
        </w:tc>
        <w:tc>
          <w:tcPr>
            <w:tcW w:w="12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318"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2"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96.2</w:t>
            </w:r>
          </w:p>
        </w:tc>
        <w:tc>
          <w:tcPr>
            <w:tcW w:w="11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82.6</w:t>
            </w:r>
          </w:p>
        </w:tc>
        <w:tc>
          <w:tcPr>
            <w:tcW w:w="1099" w:type="dxa"/>
            <w:shd w:val="clear" w:color="auto" w:fill="auto"/>
            <w:vAlign w:val="center"/>
          </w:tcPr>
          <w:p>
            <w:pPr>
              <w:widowControl/>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94.7</w:t>
            </w:r>
          </w:p>
        </w:tc>
        <w:tc>
          <w:tcPr>
            <w:tcW w:w="992" w:type="dxa"/>
            <w:vMerge w:val="restart"/>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w:t>
            </w:r>
            <w:r>
              <w:rPr>
                <w:rFonts w:hint="eastAsia" w:ascii="Times New Roman" w:hAnsi="Times New Roman" w:eastAsia="仿宋" w:cs="Times New Roman"/>
                <w:color w:val="auto"/>
                <w:sz w:val="24"/>
                <w:szCs w:val="24"/>
                <w:lang w:val="en-US" w:eastAsia="zh-CN"/>
              </w:rPr>
              <w:t>0</w:t>
            </w:r>
          </w:p>
        </w:tc>
        <w:tc>
          <w:tcPr>
            <w:tcW w:w="1871" w:type="dxa"/>
            <w:shd w:val="clear" w:color="auto" w:fill="auto"/>
            <w:vAlign w:val="center"/>
          </w:tcPr>
          <w:p>
            <w:pPr>
              <w:spacing w:line="380" w:lineRule="exact"/>
              <w:rPr>
                <w:rFonts w:ascii="Times New Roman" w:hAnsi="Times New Roman" w:eastAsia="仿宋" w:cs="Times New Roman"/>
                <w:color w:val="auto"/>
                <w:spacing w:val="-6"/>
                <w:sz w:val="24"/>
                <w:szCs w:val="24"/>
              </w:rPr>
            </w:pPr>
            <w:r>
              <w:rPr>
                <w:rFonts w:hint="eastAsia" w:ascii="Times New Roman" w:hAnsi="Times New Roman" w:eastAsia="仿宋" w:cs="Times New Roman"/>
                <w:color w:val="auto"/>
                <w:spacing w:val="-6"/>
                <w:sz w:val="24"/>
                <w:szCs w:val="24"/>
                <w:lang w:eastAsia="zh-CN"/>
              </w:rPr>
              <w:t>大湾河梅溪</w:t>
            </w:r>
            <w:r>
              <w:rPr>
                <w:rFonts w:ascii="Times New Roman" w:hAnsi="Times New Roman" w:eastAsia="仿宋" w:cs="Times New Roman"/>
                <w:color w:val="auto"/>
                <w:spacing w:val="-6"/>
                <w:sz w:val="24"/>
                <w:szCs w:val="24"/>
              </w:rPr>
              <w:t>段</w:t>
            </w:r>
          </w:p>
        </w:tc>
        <w:tc>
          <w:tcPr>
            <w:tcW w:w="12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318"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2"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96.2</w:t>
            </w:r>
          </w:p>
        </w:tc>
        <w:tc>
          <w:tcPr>
            <w:tcW w:w="11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82.6</w:t>
            </w:r>
          </w:p>
        </w:tc>
        <w:tc>
          <w:tcPr>
            <w:tcW w:w="1099" w:type="dxa"/>
            <w:shd w:val="clear" w:color="auto" w:fill="auto"/>
            <w:vAlign w:val="center"/>
          </w:tcPr>
          <w:p>
            <w:pPr>
              <w:widowControl/>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94.7</w:t>
            </w:r>
          </w:p>
        </w:tc>
        <w:tc>
          <w:tcPr>
            <w:tcW w:w="992" w:type="dxa"/>
            <w:vMerge w:val="continue"/>
            <w:shd w:val="clear" w:color="auto" w:fill="auto"/>
            <w:vAlign w:val="center"/>
          </w:tcPr>
          <w:p>
            <w:pPr>
              <w:spacing w:line="380" w:lineRule="exact"/>
              <w:jc w:val="center"/>
              <w:rPr>
                <w:rFonts w:ascii="Times New Roman" w:hAnsi="Times New Roman" w:eastAsia="仿宋"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w:t>
            </w:r>
            <w:r>
              <w:rPr>
                <w:rFonts w:hint="eastAsia" w:ascii="Times New Roman" w:hAnsi="Times New Roman" w:eastAsia="仿宋" w:cs="Times New Roman"/>
                <w:color w:val="auto"/>
                <w:sz w:val="24"/>
                <w:szCs w:val="24"/>
                <w:lang w:val="en-US" w:eastAsia="zh-CN"/>
              </w:rPr>
              <w:t>1</w:t>
            </w:r>
          </w:p>
        </w:tc>
        <w:tc>
          <w:tcPr>
            <w:tcW w:w="1871" w:type="dxa"/>
            <w:shd w:val="clear" w:color="auto" w:fill="auto"/>
            <w:vAlign w:val="center"/>
          </w:tcPr>
          <w:p>
            <w:pPr>
              <w:spacing w:line="380" w:lineRule="exact"/>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eastAsia="zh-CN"/>
              </w:rPr>
              <w:t>瓜里河</w:t>
            </w:r>
            <w:r>
              <w:rPr>
                <w:rFonts w:ascii="Times New Roman" w:hAnsi="Times New Roman" w:eastAsia="仿宋" w:cs="Times New Roman"/>
                <w:color w:val="auto"/>
                <w:sz w:val="24"/>
                <w:szCs w:val="24"/>
              </w:rPr>
              <w:t>保护段</w:t>
            </w:r>
          </w:p>
        </w:tc>
        <w:tc>
          <w:tcPr>
            <w:tcW w:w="12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318"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2"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77.3</w:t>
            </w:r>
          </w:p>
        </w:tc>
        <w:tc>
          <w:tcPr>
            <w:tcW w:w="1099" w:type="dxa"/>
            <w:shd w:val="clear" w:color="auto" w:fill="auto"/>
            <w:vAlign w:val="center"/>
          </w:tcPr>
          <w:p>
            <w:pPr>
              <w:widowControl/>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94.3</w:t>
            </w:r>
          </w:p>
        </w:tc>
        <w:tc>
          <w:tcPr>
            <w:tcW w:w="992" w:type="dxa"/>
            <w:vMerge w:val="restart"/>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w:t>
            </w:r>
            <w:r>
              <w:rPr>
                <w:rFonts w:hint="eastAsia" w:ascii="Times New Roman" w:hAnsi="Times New Roman" w:eastAsia="仿宋" w:cs="Times New Roman"/>
                <w:color w:val="auto"/>
                <w:sz w:val="24"/>
                <w:szCs w:val="24"/>
                <w:lang w:val="en-US" w:eastAsia="zh-CN"/>
              </w:rPr>
              <w:t>2</w:t>
            </w:r>
          </w:p>
        </w:tc>
        <w:tc>
          <w:tcPr>
            <w:tcW w:w="1871" w:type="dxa"/>
            <w:shd w:val="clear" w:color="auto" w:fill="auto"/>
            <w:vAlign w:val="center"/>
          </w:tcPr>
          <w:p>
            <w:pPr>
              <w:spacing w:line="380" w:lineRule="exact"/>
              <w:rPr>
                <w:rFonts w:ascii="Times New Roman" w:hAnsi="Times New Roman" w:eastAsia="仿宋" w:cs="Times New Roman"/>
                <w:color w:val="auto"/>
                <w:spacing w:val="-6"/>
                <w:sz w:val="24"/>
                <w:szCs w:val="24"/>
              </w:rPr>
            </w:pPr>
            <w:r>
              <w:rPr>
                <w:rFonts w:hint="eastAsia" w:ascii="Times New Roman" w:hAnsi="Times New Roman" w:eastAsia="仿宋" w:cs="Times New Roman"/>
                <w:color w:val="auto"/>
                <w:spacing w:val="-6"/>
                <w:sz w:val="24"/>
                <w:szCs w:val="24"/>
                <w:lang w:eastAsia="zh-CN"/>
              </w:rPr>
              <w:t>瓜里河</w:t>
            </w:r>
            <w:r>
              <w:rPr>
                <w:rFonts w:ascii="Times New Roman" w:hAnsi="Times New Roman" w:eastAsia="仿宋" w:cs="Times New Roman"/>
                <w:color w:val="auto"/>
                <w:spacing w:val="-6"/>
                <w:sz w:val="24"/>
                <w:szCs w:val="24"/>
              </w:rPr>
              <w:t>保留段</w:t>
            </w:r>
          </w:p>
        </w:tc>
        <w:tc>
          <w:tcPr>
            <w:tcW w:w="12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318"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2"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77.3</w:t>
            </w:r>
          </w:p>
        </w:tc>
        <w:tc>
          <w:tcPr>
            <w:tcW w:w="1099" w:type="dxa"/>
            <w:shd w:val="clear" w:color="auto" w:fill="auto"/>
            <w:vAlign w:val="center"/>
          </w:tcPr>
          <w:p>
            <w:pPr>
              <w:widowControl/>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94.3</w:t>
            </w:r>
          </w:p>
        </w:tc>
        <w:tc>
          <w:tcPr>
            <w:tcW w:w="992" w:type="dxa"/>
            <w:vMerge w:val="continue"/>
            <w:shd w:val="clear" w:color="auto" w:fill="auto"/>
            <w:vAlign w:val="center"/>
          </w:tcPr>
          <w:p>
            <w:pPr>
              <w:spacing w:line="380" w:lineRule="exact"/>
              <w:jc w:val="center"/>
              <w:rPr>
                <w:rFonts w:ascii="Times New Roman" w:hAnsi="Times New Roman" w:eastAsia="仿宋"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w:t>
            </w:r>
            <w:r>
              <w:rPr>
                <w:rFonts w:hint="eastAsia" w:ascii="Times New Roman" w:hAnsi="Times New Roman" w:eastAsia="仿宋" w:cs="Times New Roman"/>
                <w:color w:val="auto"/>
                <w:sz w:val="24"/>
                <w:szCs w:val="24"/>
                <w:lang w:val="en-US" w:eastAsia="zh-CN"/>
              </w:rPr>
              <w:t>3</w:t>
            </w:r>
          </w:p>
        </w:tc>
        <w:tc>
          <w:tcPr>
            <w:tcW w:w="1871" w:type="dxa"/>
            <w:shd w:val="clear" w:color="auto" w:fill="auto"/>
            <w:vAlign w:val="center"/>
          </w:tcPr>
          <w:p>
            <w:pPr>
              <w:spacing w:line="380" w:lineRule="exact"/>
              <w:rPr>
                <w:rFonts w:ascii="Times New Roman" w:hAnsi="Times New Roman" w:eastAsia="仿宋" w:cs="Times New Roman"/>
                <w:color w:val="auto"/>
                <w:spacing w:val="-6"/>
                <w:sz w:val="24"/>
                <w:szCs w:val="24"/>
              </w:rPr>
            </w:pPr>
            <w:r>
              <w:rPr>
                <w:rFonts w:hint="eastAsia" w:ascii="Times New Roman" w:hAnsi="Times New Roman" w:eastAsia="仿宋" w:cs="Times New Roman"/>
                <w:color w:val="auto"/>
                <w:spacing w:val="-6"/>
                <w:sz w:val="24"/>
                <w:szCs w:val="24"/>
                <w:lang w:eastAsia="zh-CN"/>
              </w:rPr>
              <w:t>瓜里河梅溪</w:t>
            </w:r>
            <w:r>
              <w:rPr>
                <w:rFonts w:ascii="Times New Roman" w:hAnsi="Times New Roman" w:eastAsia="仿宋" w:cs="Times New Roman"/>
                <w:color w:val="auto"/>
                <w:spacing w:val="-6"/>
                <w:sz w:val="24"/>
                <w:szCs w:val="24"/>
              </w:rPr>
              <w:t>保留段</w:t>
            </w:r>
          </w:p>
        </w:tc>
        <w:tc>
          <w:tcPr>
            <w:tcW w:w="12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318"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2"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77.3</w:t>
            </w:r>
          </w:p>
        </w:tc>
        <w:tc>
          <w:tcPr>
            <w:tcW w:w="1099" w:type="dxa"/>
            <w:shd w:val="clear" w:color="auto" w:fill="auto"/>
            <w:vAlign w:val="center"/>
          </w:tcPr>
          <w:p>
            <w:pPr>
              <w:widowControl/>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94.3</w:t>
            </w:r>
          </w:p>
        </w:tc>
        <w:tc>
          <w:tcPr>
            <w:tcW w:w="992" w:type="dxa"/>
            <w:vMerge w:val="continue"/>
            <w:shd w:val="clear" w:color="auto" w:fill="auto"/>
            <w:vAlign w:val="center"/>
          </w:tcPr>
          <w:p>
            <w:pPr>
              <w:spacing w:line="380" w:lineRule="exact"/>
              <w:jc w:val="center"/>
              <w:rPr>
                <w:rFonts w:ascii="Times New Roman" w:hAnsi="Times New Roman" w:eastAsia="仿宋"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w:t>
            </w:r>
            <w:r>
              <w:rPr>
                <w:rFonts w:hint="eastAsia" w:ascii="Times New Roman" w:hAnsi="Times New Roman" w:eastAsia="仿宋" w:cs="Times New Roman"/>
                <w:color w:val="auto"/>
                <w:sz w:val="24"/>
                <w:szCs w:val="24"/>
                <w:lang w:val="en-US" w:eastAsia="zh-CN"/>
              </w:rPr>
              <w:t>4</w:t>
            </w:r>
          </w:p>
        </w:tc>
        <w:tc>
          <w:tcPr>
            <w:tcW w:w="1871" w:type="dxa"/>
            <w:shd w:val="clear" w:color="auto" w:fill="auto"/>
            <w:vAlign w:val="center"/>
          </w:tcPr>
          <w:p>
            <w:pPr>
              <w:spacing w:line="380" w:lineRule="exact"/>
              <w:rPr>
                <w:rFonts w:ascii="Times New Roman" w:hAnsi="Times New Roman" w:eastAsia="仿宋" w:cs="Times New Roman"/>
                <w:color w:val="auto"/>
                <w:spacing w:val="-6"/>
                <w:sz w:val="24"/>
                <w:szCs w:val="24"/>
              </w:rPr>
            </w:pPr>
            <w:r>
              <w:rPr>
                <w:rFonts w:hint="eastAsia" w:ascii="Times New Roman" w:hAnsi="Times New Roman" w:eastAsia="仿宋" w:cs="Times New Roman"/>
                <w:color w:val="auto"/>
                <w:spacing w:val="-6"/>
                <w:sz w:val="24"/>
                <w:szCs w:val="24"/>
                <w:lang w:eastAsia="zh-CN"/>
              </w:rPr>
              <w:t>木厂水保护</w:t>
            </w:r>
            <w:r>
              <w:rPr>
                <w:rFonts w:ascii="Times New Roman" w:hAnsi="Times New Roman" w:eastAsia="仿宋" w:cs="Times New Roman"/>
                <w:color w:val="auto"/>
                <w:spacing w:val="-6"/>
                <w:sz w:val="24"/>
                <w:szCs w:val="24"/>
              </w:rPr>
              <w:t>段</w:t>
            </w:r>
          </w:p>
        </w:tc>
        <w:tc>
          <w:tcPr>
            <w:tcW w:w="12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318"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2"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78.8</w:t>
            </w:r>
          </w:p>
        </w:tc>
        <w:tc>
          <w:tcPr>
            <w:tcW w:w="1099" w:type="dxa"/>
            <w:shd w:val="clear" w:color="auto" w:fill="auto"/>
            <w:vAlign w:val="center"/>
          </w:tcPr>
          <w:p>
            <w:pPr>
              <w:widowControl/>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94.7</w:t>
            </w:r>
          </w:p>
        </w:tc>
        <w:tc>
          <w:tcPr>
            <w:tcW w:w="992" w:type="dxa"/>
            <w:vMerge w:val="restart"/>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val="en-US" w:eastAsia="zh-CN"/>
              </w:rPr>
              <w:t>15</w:t>
            </w:r>
          </w:p>
        </w:tc>
        <w:tc>
          <w:tcPr>
            <w:tcW w:w="1871" w:type="dxa"/>
            <w:shd w:val="clear" w:color="auto" w:fill="auto"/>
            <w:vAlign w:val="center"/>
          </w:tcPr>
          <w:p>
            <w:pPr>
              <w:spacing w:line="380" w:lineRule="exact"/>
              <w:rPr>
                <w:rFonts w:ascii="Times New Roman" w:hAnsi="Times New Roman" w:eastAsia="仿宋" w:cs="Times New Roman"/>
                <w:color w:val="auto"/>
                <w:spacing w:val="-6"/>
                <w:sz w:val="24"/>
                <w:szCs w:val="24"/>
              </w:rPr>
            </w:pPr>
            <w:r>
              <w:rPr>
                <w:rFonts w:hint="eastAsia" w:ascii="Times New Roman" w:hAnsi="Times New Roman" w:eastAsia="仿宋" w:cs="Times New Roman"/>
                <w:color w:val="auto"/>
                <w:spacing w:val="-6"/>
                <w:sz w:val="24"/>
                <w:szCs w:val="24"/>
                <w:lang w:eastAsia="zh-CN"/>
              </w:rPr>
              <w:t>木厂水</w:t>
            </w:r>
            <w:r>
              <w:rPr>
                <w:rFonts w:ascii="Times New Roman" w:hAnsi="Times New Roman" w:eastAsia="仿宋" w:cs="Times New Roman"/>
                <w:color w:val="auto"/>
                <w:spacing w:val="-6"/>
                <w:sz w:val="24"/>
                <w:szCs w:val="24"/>
              </w:rPr>
              <w:t>保留段</w:t>
            </w:r>
          </w:p>
        </w:tc>
        <w:tc>
          <w:tcPr>
            <w:tcW w:w="12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318"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2"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100</w:t>
            </w:r>
          </w:p>
        </w:tc>
        <w:tc>
          <w:tcPr>
            <w:tcW w:w="1134" w:type="dxa"/>
            <w:shd w:val="clear" w:color="auto" w:fill="auto"/>
            <w:vAlign w:val="center"/>
          </w:tcPr>
          <w:p>
            <w:pPr>
              <w:spacing w:line="380" w:lineRule="exact"/>
              <w:jc w:val="center"/>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78.8</w:t>
            </w:r>
          </w:p>
        </w:tc>
        <w:tc>
          <w:tcPr>
            <w:tcW w:w="1099" w:type="dxa"/>
            <w:shd w:val="clear" w:color="auto" w:fill="auto"/>
            <w:vAlign w:val="center"/>
          </w:tcPr>
          <w:p>
            <w:pPr>
              <w:widowControl/>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94.7</w:t>
            </w:r>
          </w:p>
        </w:tc>
        <w:tc>
          <w:tcPr>
            <w:tcW w:w="992" w:type="dxa"/>
            <w:vMerge w:val="continue"/>
            <w:shd w:val="clear" w:color="auto" w:fill="auto"/>
            <w:vAlign w:val="center"/>
          </w:tcPr>
          <w:p>
            <w:pPr>
              <w:spacing w:line="380" w:lineRule="exact"/>
              <w:jc w:val="center"/>
              <w:rPr>
                <w:rFonts w:ascii="Times New Roman" w:hAnsi="Times New Roman" w:eastAsia="仿宋" w:cs="Times New Roman"/>
                <w:color w:val="auto"/>
                <w:kern w:val="0"/>
                <w:sz w:val="24"/>
                <w:szCs w:val="24"/>
              </w:rPr>
            </w:pPr>
          </w:p>
        </w:tc>
      </w:tr>
    </w:tbl>
    <w:p>
      <w:pPr>
        <w:spacing w:line="560" w:lineRule="exact"/>
        <w:ind w:firstLine="560" w:firstLineChars="200"/>
        <w:rPr>
          <w:rFonts w:ascii="Times New Roman" w:hAnsi="Times New Roman" w:eastAsia="仿宋" w:cs="Times New Roman"/>
          <w:color w:val="auto"/>
          <w:kern w:val="0"/>
          <w:sz w:val="28"/>
          <w:szCs w:val="28"/>
        </w:rPr>
      </w:pPr>
    </w:p>
    <w:p>
      <w:pPr>
        <w:autoSpaceDE w:val="0"/>
        <w:autoSpaceDN w:val="0"/>
        <w:adjustRightInd w:val="0"/>
        <w:spacing w:line="560" w:lineRule="exact"/>
        <w:ind w:firstLine="420" w:firstLineChars="15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（3）综合健康状况 </w:t>
      </w:r>
    </w:p>
    <w:p>
      <w:pPr>
        <w:autoSpaceDE w:val="0"/>
        <w:autoSpaceDN w:val="0"/>
        <w:adjustRightInd w:val="0"/>
        <w:spacing w:line="560" w:lineRule="exact"/>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根据各评估河段的生态完整性赋分和社会服务功能状况赋分，对各评估河</w:t>
      </w:r>
      <w:r>
        <w:rPr>
          <w:rFonts w:hint="eastAsia" w:ascii="Times New Roman" w:hAnsi="Times New Roman" w:eastAsia="仿宋" w:cs="Times New Roman"/>
          <w:color w:val="auto"/>
          <w:kern w:val="0"/>
          <w:sz w:val="28"/>
          <w:szCs w:val="28"/>
        </w:rPr>
        <w:t>段</w:t>
      </w:r>
      <w:r>
        <w:rPr>
          <w:rFonts w:ascii="Times New Roman" w:hAnsi="Times New Roman" w:eastAsia="仿宋" w:cs="Times New Roman"/>
          <w:color w:val="auto"/>
          <w:kern w:val="0"/>
          <w:sz w:val="28"/>
          <w:szCs w:val="28"/>
        </w:rPr>
        <w:t>进行加权权重法计算各评估河流的综合健康状况分数和</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 xml:space="preserve">的综合健康状况分数，其中生态完整性权重为0.7，社会服务功能权重为0.3。 </w:t>
      </w:r>
    </w:p>
    <w:p>
      <w:pPr>
        <w:autoSpaceDE w:val="0"/>
        <w:autoSpaceDN w:val="0"/>
        <w:adjustRightInd w:val="0"/>
        <w:spacing w:line="560" w:lineRule="exact"/>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根据评估结果，</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各评估河流</w:t>
      </w:r>
      <w:r>
        <w:rPr>
          <w:rFonts w:hint="eastAsia" w:ascii="Times New Roman" w:hAnsi="Times New Roman" w:eastAsia="仿宋" w:cs="Times New Roman"/>
          <w:color w:val="auto"/>
          <w:kern w:val="0"/>
          <w:sz w:val="28"/>
          <w:szCs w:val="28"/>
        </w:rPr>
        <w:t>得分均处于60~80分范围内，为健康状况</w:t>
      </w:r>
      <w:r>
        <w:rPr>
          <w:rFonts w:ascii="Times New Roman" w:hAnsi="Times New Roman" w:eastAsia="仿宋" w:cs="Times New Roman"/>
          <w:color w:val="auto"/>
          <w:kern w:val="0"/>
          <w:sz w:val="28"/>
          <w:szCs w:val="28"/>
        </w:rPr>
        <w:t>。</w:t>
      </w:r>
    </w:p>
    <w:p>
      <w:pPr>
        <w:tabs>
          <w:tab w:val="left" w:pos="3980"/>
        </w:tabs>
        <w:spacing w:line="360" w:lineRule="auto"/>
        <w:ind w:firstLine="984" w:firstLineChars="350"/>
        <w:rPr>
          <w:rFonts w:ascii="Times New Roman" w:hAnsi="Times New Roman" w:eastAsia="仿宋" w:cs="Times New Roman"/>
          <w:b/>
          <w:color w:val="auto"/>
          <w:kern w:val="0"/>
          <w:sz w:val="28"/>
          <w:szCs w:val="20"/>
        </w:rPr>
      </w:pPr>
      <w:r>
        <w:rPr>
          <w:rFonts w:ascii="Times New Roman" w:hAnsi="Times New Roman" w:eastAsia="仿宋" w:cs="Times New Roman"/>
          <w:b/>
          <w:color w:val="auto"/>
          <w:kern w:val="0"/>
          <w:sz w:val="28"/>
          <w:szCs w:val="20"/>
        </w:rPr>
        <w:t xml:space="preserve">表6.2-3       </w:t>
      </w:r>
      <w:r>
        <w:rPr>
          <w:rFonts w:hint="eastAsia" w:ascii="Times New Roman" w:hAnsi="Times New Roman" w:eastAsia="仿宋" w:cs="Times New Roman"/>
          <w:b/>
          <w:color w:val="auto"/>
          <w:kern w:val="0"/>
          <w:sz w:val="28"/>
          <w:szCs w:val="20"/>
        </w:rPr>
        <w:t xml:space="preserve">  </w:t>
      </w:r>
      <w:r>
        <w:rPr>
          <w:rFonts w:ascii="Times New Roman" w:hAnsi="Times New Roman" w:eastAsia="仿宋" w:cs="Times New Roman"/>
          <w:b/>
          <w:color w:val="auto"/>
          <w:kern w:val="0"/>
          <w:sz w:val="28"/>
          <w:szCs w:val="20"/>
        </w:rPr>
        <w:t xml:space="preserve">  评估河流综合健康状况评估结果表</w:t>
      </w:r>
    </w:p>
    <w:tbl>
      <w:tblPr>
        <w:tblStyle w:val="15"/>
        <w:tblW w:w="9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1024"/>
        <w:gridCol w:w="1015"/>
        <w:gridCol w:w="951"/>
        <w:gridCol w:w="1091"/>
        <w:gridCol w:w="942"/>
        <w:gridCol w:w="942"/>
        <w:gridCol w:w="1056"/>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Merge w:val="restart"/>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河流名称</w:t>
            </w:r>
          </w:p>
        </w:tc>
        <w:tc>
          <w:tcPr>
            <w:tcW w:w="7965" w:type="dxa"/>
            <w:gridSpan w:val="8"/>
            <w:shd w:val="clear" w:color="auto" w:fill="auto"/>
            <w:vAlign w:val="center"/>
          </w:tcPr>
          <w:p>
            <w:pPr>
              <w:autoSpaceDE w:val="0"/>
              <w:autoSpaceDN w:val="0"/>
              <w:adjustRightInd w:val="0"/>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评估范围赋分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Merge w:val="continue"/>
            <w:shd w:val="clear" w:color="auto" w:fill="auto"/>
            <w:vAlign w:val="center"/>
          </w:tcPr>
          <w:p>
            <w:pPr>
              <w:spacing w:line="380" w:lineRule="exact"/>
              <w:jc w:val="center"/>
              <w:rPr>
                <w:rFonts w:ascii="Times New Roman" w:hAnsi="Times New Roman" w:eastAsia="仿宋" w:cs="Times New Roman"/>
                <w:color w:val="auto"/>
                <w:kern w:val="0"/>
                <w:sz w:val="21"/>
                <w:szCs w:val="21"/>
              </w:rPr>
            </w:pPr>
          </w:p>
        </w:tc>
        <w:tc>
          <w:tcPr>
            <w:tcW w:w="1024"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生态完整性（REI）</w:t>
            </w:r>
          </w:p>
        </w:tc>
        <w:tc>
          <w:tcPr>
            <w:tcW w:w="1015"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水文水资源（HD）</w:t>
            </w:r>
          </w:p>
        </w:tc>
        <w:tc>
          <w:tcPr>
            <w:tcW w:w="951"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物理</w:t>
            </w:r>
          </w:p>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结构（PF）</w:t>
            </w:r>
          </w:p>
        </w:tc>
        <w:tc>
          <w:tcPr>
            <w:tcW w:w="1091"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水质（WQ）</w:t>
            </w:r>
          </w:p>
        </w:tc>
        <w:tc>
          <w:tcPr>
            <w:tcW w:w="942"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生物（AL)</w:t>
            </w:r>
          </w:p>
        </w:tc>
        <w:tc>
          <w:tcPr>
            <w:tcW w:w="942"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社会服务功能（SS）</w:t>
            </w:r>
          </w:p>
        </w:tc>
        <w:tc>
          <w:tcPr>
            <w:tcW w:w="1056"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综合健康评估（RHI）</w:t>
            </w:r>
          </w:p>
        </w:tc>
        <w:tc>
          <w:tcPr>
            <w:tcW w:w="944" w:type="dxa"/>
            <w:shd w:val="clear" w:color="auto" w:fill="auto"/>
            <w:vAlign w:val="center"/>
          </w:tcPr>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健康</w:t>
            </w:r>
          </w:p>
          <w:p>
            <w:pPr>
              <w:spacing w:line="380" w:lineRule="exact"/>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shd w:val="clear" w:color="auto" w:fill="auto"/>
            <w:vAlign w:val="center"/>
          </w:tcPr>
          <w:p>
            <w:pPr>
              <w:widowControl/>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lang w:eastAsia="zh-CN"/>
              </w:rPr>
              <w:t>资江</w:t>
            </w:r>
            <w:r>
              <w:rPr>
                <w:rFonts w:hint="eastAsia" w:ascii="Times New Roman" w:hAnsi="Times New Roman" w:eastAsia="仿宋" w:cs="Times New Roman"/>
                <w:color w:val="auto"/>
                <w:kern w:val="0"/>
                <w:sz w:val="21"/>
                <w:szCs w:val="21"/>
              </w:rPr>
              <w:t>干流</w:t>
            </w:r>
          </w:p>
        </w:tc>
        <w:tc>
          <w:tcPr>
            <w:tcW w:w="1024"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60.2 </w:t>
            </w:r>
          </w:p>
        </w:tc>
        <w:tc>
          <w:tcPr>
            <w:tcW w:w="1015"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43.1</w:t>
            </w:r>
          </w:p>
        </w:tc>
        <w:tc>
          <w:tcPr>
            <w:tcW w:w="951"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55.8</w:t>
            </w:r>
          </w:p>
        </w:tc>
        <w:tc>
          <w:tcPr>
            <w:tcW w:w="1091"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71.7</w:t>
            </w:r>
          </w:p>
        </w:tc>
        <w:tc>
          <w:tcPr>
            <w:tcW w:w="942"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65.2</w:t>
            </w:r>
          </w:p>
        </w:tc>
        <w:tc>
          <w:tcPr>
            <w:tcW w:w="942"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95.4</w:t>
            </w:r>
          </w:p>
        </w:tc>
        <w:tc>
          <w:tcPr>
            <w:tcW w:w="1056"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70.7 </w:t>
            </w:r>
          </w:p>
        </w:tc>
        <w:tc>
          <w:tcPr>
            <w:tcW w:w="944" w:type="dxa"/>
            <w:shd w:val="clear" w:color="auto" w:fill="auto"/>
            <w:vAlign w:val="center"/>
          </w:tcPr>
          <w:p>
            <w:pPr>
              <w:widowControl/>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rPr>
              <w:t>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shd w:val="clear" w:color="auto" w:fill="auto"/>
            <w:vAlign w:val="center"/>
          </w:tcPr>
          <w:p>
            <w:pPr>
              <w:widowControl/>
              <w:jc w:val="center"/>
              <w:rPr>
                <w:rFonts w:hint="eastAsia" w:ascii="Times New Roman" w:hAnsi="Times New Roman" w:eastAsia="仿宋" w:cs="Times New Roman"/>
                <w:color w:val="auto"/>
                <w:kern w:val="0"/>
                <w:sz w:val="21"/>
                <w:szCs w:val="21"/>
                <w:lang w:eastAsia="zh-CN"/>
              </w:rPr>
            </w:pPr>
            <w:r>
              <w:rPr>
                <w:rFonts w:hint="eastAsia" w:ascii="Times New Roman" w:hAnsi="Times New Roman" w:eastAsia="仿宋" w:cs="Times New Roman"/>
                <w:color w:val="auto"/>
                <w:kern w:val="0"/>
                <w:sz w:val="21"/>
                <w:szCs w:val="21"/>
                <w:lang w:eastAsia="zh-CN"/>
              </w:rPr>
              <w:t>白竹洞河</w:t>
            </w:r>
          </w:p>
        </w:tc>
        <w:tc>
          <w:tcPr>
            <w:tcW w:w="1024"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67.8 </w:t>
            </w:r>
          </w:p>
        </w:tc>
        <w:tc>
          <w:tcPr>
            <w:tcW w:w="1015"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43.2</w:t>
            </w:r>
          </w:p>
        </w:tc>
        <w:tc>
          <w:tcPr>
            <w:tcW w:w="951"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49.0</w:t>
            </w:r>
          </w:p>
        </w:tc>
        <w:tc>
          <w:tcPr>
            <w:tcW w:w="1091"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64.9</w:t>
            </w:r>
          </w:p>
        </w:tc>
        <w:tc>
          <w:tcPr>
            <w:tcW w:w="942"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90.9</w:t>
            </w:r>
          </w:p>
        </w:tc>
        <w:tc>
          <w:tcPr>
            <w:tcW w:w="942"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94.1</w:t>
            </w:r>
          </w:p>
        </w:tc>
        <w:tc>
          <w:tcPr>
            <w:tcW w:w="1056"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75.7 </w:t>
            </w:r>
          </w:p>
        </w:tc>
        <w:tc>
          <w:tcPr>
            <w:tcW w:w="944" w:type="dxa"/>
            <w:shd w:val="clear" w:color="auto" w:fill="auto"/>
            <w:vAlign w:val="center"/>
          </w:tcPr>
          <w:p>
            <w:pPr>
              <w:widowControl/>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rPr>
              <w:t>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shd w:val="clear" w:color="auto" w:fill="auto"/>
            <w:vAlign w:val="center"/>
          </w:tcPr>
          <w:p>
            <w:pPr>
              <w:widowControl/>
              <w:jc w:val="center"/>
              <w:rPr>
                <w:rFonts w:hint="eastAsia" w:ascii="Times New Roman" w:hAnsi="Times New Roman" w:eastAsia="仿宋" w:cs="Times New Roman"/>
                <w:color w:val="auto"/>
                <w:kern w:val="0"/>
                <w:sz w:val="21"/>
                <w:szCs w:val="21"/>
                <w:lang w:eastAsia="zh-CN"/>
              </w:rPr>
            </w:pPr>
            <w:r>
              <w:rPr>
                <w:rFonts w:hint="eastAsia" w:ascii="Times New Roman" w:hAnsi="Times New Roman" w:eastAsia="仿宋" w:cs="Times New Roman"/>
                <w:color w:val="auto"/>
                <w:kern w:val="0"/>
                <w:sz w:val="21"/>
                <w:szCs w:val="21"/>
                <w:lang w:eastAsia="zh-CN"/>
              </w:rPr>
              <w:t>大湾河</w:t>
            </w:r>
          </w:p>
        </w:tc>
        <w:tc>
          <w:tcPr>
            <w:tcW w:w="1024"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66.7 </w:t>
            </w:r>
          </w:p>
        </w:tc>
        <w:tc>
          <w:tcPr>
            <w:tcW w:w="1015"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40.0</w:t>
            </w:r>
          </w:p>
        </w:tc>
        <w:tc>
          <w:tcPr>
            <w:tcW w:w="951"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46.7</w:t>
            </w:r>
          </w:p>
        </w:tc>
        <w:tc>
          <w:tcPr>
            <w:tcW w:w="1091"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64.9</w:t>
            </w:r>
          </w:p>
        </w:tc>
        <w:tc>
          <w:tcPr>
            <w:tcW w:w="942"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90.9</w:t>
            </w:r>
          </w:p>
        </w:tc>
        <w:tc>
          <w:tcPr>
            <w:tcW w:w="942"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94.7</w:t>
            </w:r>
          </w:p>
        </w:tc>
        <w:tc>
          <w:tcPr>
            <w:tcW w:w="1056"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75.1 </w:t>
            </w:r>
          </w:p>
        </w:tc>
        <w:tc>
          <w:tcPr>
            <w:tcW w:w="944" w:type="dxa"/>
            <w:shd w:val="clear" w:color="auto" w:fill="auto"/>
            <w:vAlign w:val="center"/>
          </w:tcPr>
          <w:p>
            <w:pPr>
              <w:widowControl/>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rPr>
              <w:t>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shd w:val="clear" w:color="auto" w:fill="auto"/>
            <w:vAlign w:val="center"/>
          </w:tcPr>
          <w:p>
            <w:pPr>
              <w:widowControl/>
              <w:jc w:val="center"/>
              <w:rPr>
                <w:rFonts w:hint="eastAsia" w:ascii="Times New Roman" w:hAnsi="Times New Roman" w:eastAsia="仿宋" w:cs="Times New Roman"/>
                <w:color w:val="auto"/>
                <w:kern w:val="0"/>
                <w:sz w:val="21"/>
                <w:szCs w:val="21"/>
                <w:lang w:eastAsia="zh-CN"/>
              </w:rPr>
            </w:pPr>
            <w:r>
              <w:rPr>
                <w:rFonts w:hint="eastAsia" w:ascii="Times New Roman" w:hAnsi="Times New Roman" w:eastAsia="仿宋" w:cs="Times New Roman"/>
                <w:color w:val="auto"/>
                <w:kern w:val="0"/>
                <w:sz w:val="21"/>
                <w:szCs w:val="21"/>
                <w:lang w:eastAsia="zh-CN"/>
              </w:rPr>
              <w:t>瓜里河</w:t>
            </w:r>
          </w:p>
        </w:tc>
        <w:tc>
          <w:tcPr>
            <w:tcW w:w="1024"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60.2 </w:t>
            </w:r>
          </w:p>
        </w:tc>
        <w:tc>
          <w:tcPr>
            <w:tcW w:w="1015"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30.4</w:t>
            </w:r>
          </w:p>
        </w:tc>
        <w:tc>
          <w:tcPr>
            <w:tcW w:w="951"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58.4</w:t>
            </w:r>
          </w:p>
        </w:tc>
        <w:tc>
          <w:tcPr>
            <w:tcW w:w="1091"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70.0</w:t>
            </w:r>
          </w:p>
        </w:tc>
        <w:tc>
          <w:tcPr>
            <w:tcW w:w="942"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71.1</w:t>
            </w:r>
          </w:p>
        </w:tc>
        <w:tc>
          <w:tcPr>
            <w:tcW w:w="942"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94.3</w:t>
            </w:r>
          </w:p>
        </w:tc>
        <w:tc>
          <w:tcPr>
            <w:tcW w:w="1056"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70.5 </w:t>
            </w:r>
          </w:p>
        </w:tc>
        <w:tc>
          <w:tcPr>
            <w:tcW w:w="944" w:type="dxa"/>
            <w:shd w:val="clear" w:color="auto" w:fill="auto"/>
            <w:vAlign w:val="center"/>
          </w:tcPr>
          <w:p>
            <w:pPr>
              <w:widowControl/>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rPr>
              <w:t>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shd w:val="clear" w:color="auto" w:fill="auto"/>
            <w:vAlign w:val="center"/>
          </w:tcPr>
          <w:p>
            <w:pPr>
              <w:widowControl/>
              <w:jc w:val="center"/>
              <w:rPr>
                <w:rFonts w:hint="eastAsia" w:ascii="Times New Roman" w:hAnsi="Times New Roman" w:eastAsia="仿宋" w:cs="Times New Roman"/>
                <w:color w:val="auto"/>
                <w:kern w:val="0"/>
                <w:sz w:val="21"/>
                <w:szCs w:val="21"/>
                <w:lang w:eastAsia="zh-CN"/>
              </w:rPr>
            </w:pPr>
            <w:r>
              <w:rPr>
                <w:rFonts w:hint="eastAsia" w:ascii="Times New Roman" w:hAnsi="Times New Roman" w:eastAsia="仿宋" w:cs="Times New Roman"/>
                <w:color w:val="auto"/>
                <w:kern w:val="0"/>
                <w:sz w:val="21"/>
                <w:szCs w:val="21"/>
                <w:lang w:eastAsia="zh-CN"/>
              </w:rPr>
              <w:t>木厂水</w:t>
            </w:r>
          </w:p>
        </w:tc>
        <w:tc>
          <w:tcPr>
            <w:tcW w:w="1024"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61.9 </w:t>
            </w:r>
          </w:p>
        </w:tc>
        <w:tc>
          <w:tcPr>
            <w:tcW w:w="1015"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29.7</w:t>
            </w:r>
          </w:p>
        </w:tc>
        <w:tc>
          <w:tcPr>
            <w:tcW w:w="951"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45.0</w:t>
            </w:r>
          </w:p>
        </w:tc>
        <w:tc>
          <w:tcPr>
            <w:tcW w:w="1091"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70.0</w:t>
            </w:r>
          </w:p>
        </w:tc>
        <w:tc>
          <w:tcPr>
            <w:tcW w:w="942"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82.5</w:t>
            </w:r>
          </w:p>
        </w:tc>
        <w:tc>
          <w:tcPr>
            <w:tcW w:w="942"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94.7</w:t>
            </w:r>
          </w:p>
        </w:tc>
        <w:tc>
          <w:tcPr>
            <w:tcW w:w="1056"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71.8 </w:t>
            </w:r>
          </w:p>
        </w:tc>
        <w:tc>
          <w:tcPr>
            <w:tcW w:w="944" w:type="dxa"/>
            <w:shd w:val="clear" w:color="auto" w:fill="auto"/>
            <w:vAlign w:val="center"/>
          </w:tcPr>
          <w:p>
            <w:pPr>
              <w:widowControl/>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rPr>
              <w:t>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shd w:val="clear" w:color="auto" w:fill="auto"/>
            <w:vAlign w:val="center"/>
          </w:tcPr>
          <w:p>
            <w:pPr>
              <w:widowControl/>
              <w:jc w:val="center"/>
              <w:rPr>
                <w:rFonts w:hint="eastAsia" w:ascii="Times New Roman" w:hAnsi="Times New Roman" w:eastAsia="仿宋" w:cs="Times New Roman"/>
                <w:color w:val="auto"/>
                <w:kern w:val="0"/>
                <w:sz w:val="21"/>
                <w:szCs w:val="21"/>
                <w:lang w:eastAsia="zh-CN"/>
              </w:rPr>
            </w:pPr>
            <w:r>
              <w:rPr>
                <w:rFonts w:hint="eastAsia" w:ascii="Times New Roman" w:hAnsi="Times New Roman" w:eastAsia="仿宋" w:cs="Times New Roman"/>
                <w:color w:val="auto"/>
                <w:kern w:val="0"/>
                <w:sz w:val="21"/>
                <w:szCs w:val="21"/>
                <w:lang w:eastAsia="zh-CN"/>
              </w:rPr>
              <w:t>资江流域</w:t>
            </w:r>
          </w:p>
        </w:tc>
        <w:tc>
          <w:tcPr>
            <w:tcW w:w="1024"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62.5 </w:t>
            </w:r>
          </w:p>
        </w:tc>
        <w:tc>
          <w:tcPr>
            <w:tcW w:w="1015"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39.7</w:t>
            </w:r>
          </w:p>
        </w:tc>
        <w:tc>
          <w:tcPr>
            <w:tcW w:w="951"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52.7</w:t>
            </w:r>
          </w:p>
        </w:tc>
        <w:tc>
          <w:tcPr>
            <w:tcW w:w="1091"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69.2</w:t>
            </w:r>
          </w:p>
        </w:tc>
        <w:tc>
          <w:tcPr>
            <w:tcW w:w="942"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75.4</w:t>
            </w:r>
          </w:p>
        </w:tc>
        <w:tc>
          <w:tcPr>
            <w:tcW w:w="942"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94.9</w:t>
            </w:r>
          </w:p>
        </w:tc>
        <w:tc>
          <w:tcPr>
            <w:tcW w:w="1056" w:type="dxa"/>
            <w:shd w:val="clear" w:color="auto" w:fill="auto"/>
            <w:vAlign w:val="center"/>
          </w:tcPr>
          <w:p>
            <w:pPr>
              <w:widowControl/>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 xml:space="preserve">72.2 </w:t>
            </w:r>
          </w:p>
        </w:tc>
        <w:tc>
          <w:tcPr>
            <w:tcW w:w="944" w:type="dxa"/>
            <w:shd w:val="clear" w:color="auto" w:fill="auto"/>
            <w:vAlign w:val="center"/>
          </w:tcPr>
          <w:p>
            <w:pPr>
              <w:widowControl/>
              <w:jc w:val="center"/>
              <w:rPr>
                <w:rFonts w:ascii="Times New Roman" w:hAnsi="Times New Roman" w:eastAsia="仿宋" w:cs="Times New Roman"/>
                <w:color w:val="auto"/>
                <w:kern w:val="0"/>
                <w:sz w:val="21"/>
                <w:szCs w:val="21"/>
              </w:rPr>
            </w:pPr>
            <w:r>
              <w:rPr>
                <w:rFonts w:hint="eastAsia" w:ascii="Times New Roman" w:hAnsi="Times New Roman" w:eastAsia="仿宋" w:cs="Times New Roman"/>
                <w:color w:val="auto"/>
                <w:kern w:val="0"/>
                <w:sz w:val="21"/>
                <w:szCs w:val="21"/>
              </w:rPr>
              <w:t>健康</w:t>
            </w:r>
          </w:p>
        </w:tc>
      </w:tr>
    </w:tbl>
    <w:p>
      <w:pPr>
        <w:spacing w:line="560" w:lineRule="exact"/>
        <w:ind w:firstLine="560" w:firstLineChars="200"/>
        <w:rPr>
          <w:rFonts w:ascii="Times New Roman" w:hAnsi="Times New Roman" w:eastAsia="仿宋" w:cs="Times New Roman"/>
          <w:color w:val="auto"/>
          <w:kern w:val="0"/>
          <w:sz w:val="28"/>
          <w:szCs w:val="28"/>
        </w:rPr>
      </w:pPr>
    </w:p>
    <w:p>
      <w:pPr>
        <w:autoSpaceDE w:val="0"/>
        <w:autoSpaceDN w:val="0"/>
        <w:adjustRightInd w:val="0"/>
        <w:spacing w:line="360" w:lineRule="auto"/>
        <w:jc w:val="left"/>
        <w:outlineLvl w:val="1"/>
        <w:rPr>
          <w:rFonts w:ascii="黑体" w:hAnsi="黑体" w:eastAsia="黑体" w:cs="Times New Roman"/>
          <w:b/>
          <w:color w:val="auto"/>
          <w:kern w:val="0"/>
          <w:sz w:val="28"/>
          <w:szCs w:val="28"/>
        </w:rPr>
      </w:pPr>
      <w:bookmarkStart w:id="101" w:name="_Toc29236"/>
      <w:bookmarkStart w:id="102" w:name="_Toc11226"/>
      <w:r>
        <w:rPr>
          <w:rFonts w:ascii="黑体" w:hAnsi="黑体" w:eastAsia="黑体" w:cs="Times New Roman"/>
          <w:b/>
          <w:color w:val="auto"/>
          <w:kern w:val="0"/>
          <w:sz w:val="28"/>
          <w:szCs w:val="28"/>
        </w:rPr>
        <w:t xml:space="preserve">6.3 </w:t>
      </w:r>
      <w:r>
        <w:rPr>
          <w:rFonts w:hint="eastAsia" w:ascii="黑体" w:hAnsi="黑体" w:eastAsia="黑体" w:cs="Times New Roman"/>
          <w:b/>
          <w:color w:val="auto"/>
          <w:kern w:val="0"/>
          <w:sz w:val="28"/>
          <w:szCs w:val="28"/>
        </w:rPr>
        <w:t xml:space="preserve"> </w:t>
      </w:r>
      <w:r>
        <w:rPr>
          <w:rFonts w:ascii="黑体" w:hAnsi="黑体" w:eastAsia="黑体" w:cs="Times New Roman"/>
          <w:b/>
          <w:color w:val="auto"/>
          <w:kern w:val="0"/>
          <w:sz w:val="28"/>
          <w:szCs w:val="28"/>
        </w:rPr>
        <w:t>河流不健康准则层主要特征</w:t>
      </w:r>
      <w:bookmarkEnd w:id="101"/>
      <w:bookmarkEnd w:id="102"/>
      <w:r>
        <w:rPr>
          <w:rFonts w:ascii="黑体" w:hAnsi="黑体" w:eastAsia="黑体" w:cs="Times New Roman"/>
          <w:b/>
          <w:color w:val="auto"/>
          <w:kern w:val="0"/>
          <w:sz w:val="28"/>
          <w:szCs w:val="28"/>
        </w:rPr>
        <w:t xml:space="preserve"> </w:t>
      </w:r>
    </w:p>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根据</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评估结果，所有</w:t>
      </w:r>
      <w:r>
        <w:rPr>
          <w:rFonts w:hint="eastAsia" w:ascii="Times New Roman" w:hAnsi="Times New Roman" w:eastAsia="仿宋" w:cs="Times New Roman"/>
          <w:color w:val="auto"/>
          <w:kern w:val="0"/>
          <w:sz w:val="28"/>
          <w:szCs w:val="28"/>
        </w:rPr>
        <w:t>评估河段</w:t>
      </w:r>
      <w:r>
        <w:rPr>
          <w:rFonts w:ascii="Times New Roman" w:hAnsi="Times New Roman" w:eastAsia="仿宋" w:cs="Times New Roman"/>
          <w:color w:val="auto"/>
          <w:kern w:val="0"/>
          <w:sz w:val="28"/>
          <w:szCs w:val="28"/>
        </w:rPr>
        <w:t>中，物理结构评估结果范围在</w:t>
      </w:r>
      <w:r>
        <w:rPr>
          <w:rFonts w:hint="eastAsia" w:ascii="Times New Roman" w:hAnsi="Times New Roman" w:eastAsia="仿宋" w:cs="Times New Roman"/>
          <w:color w:val="auto"/>
          <w:kern w:val="0"/>
          <w:sz w:val="28"/>
          <w:szCs w:val="28"/>
        </w:rPr>
        <w:t>39.3~74.8</w:t>
      </w:r>
      <w:r>
        <w:rPr>
          <w:rFonts w:ascii="Times New Roman" w:hAnsi="Times New Roman" w:eastAsia="仿宋" w:cs="Times New Roman"/>
          <w:color w:val="auto"/>
          <w:kern w:val="0"/>
          <w:sz w:val="28"/>
          <w:szCs w:val="28"/>
        </w:rPr>
        <w:t>之间，属于</w:t>
      </w:r>
      <w:r>
        <w:rPr>
          <w:rFonts w:hint="eastAsia" w:ascii="Times New Roman" w:hAnsi="Times New Roman" w:eastAsia="仿宋" w:cs="Times New Roman"/>
          <w:color w:val="auto"/>
          <w:kern w:val="0"/>
          <w:sz w:val="28"/>
          <w:szCs w:val="28"/>
        </w:rPr>
        <w:t>不</w:t>
      </w:r>
      <w:r>
        <w:rPr>
          <w:rFonts w:ascii="Times New Roman" w:hAnsi="Times New Roman" w:eastAsia="仿宋" w:cs="Times New Roman"/>
          <w:color w:val="auto"/>
          <w:kern w:val="0"/>
          <w:sz w:val="28"/>
          <w:szCs w:val="28"/>
        </w:rPr>
        <w:t>健康-健康状态，分值</w:t>
      </w:r>
      <w:r>
        <w:rPr>
          <w:rFonts w:hint="eastAsia" w:ascii="Times New Roman" w:hAnsi="Times New Roman" w:eastAsia="仿宋" w:cs="Times New Roman"/>
          <w:color w:val="auto"/>
          <w:kern w:val="0"/>
          <w:sz w:val="28"/>
          <w:szCs w:val="28"/>
        </w:rPr>
        <w:t>较低</w:t>
      </w:r>
      <w:r>
        <w:rPr>
          <w:rFonts w:ascii="Times New Roman" w:hAnsi="Times New Roman" w:eastAsia="仿宋" w:cs="Times New Roman"/>
          <w:color w:val="auto"/>
          <w:kern w:val="0"/>
          <w:sz w:val="28"/>
          <w:szCs w:val="28"/>
        </w:rPr>
        <w:t>；水文水资源评估结果为</w:t>
      </w:r>
      <w:r>
        <w:rPr>
          <w:rFonts w:hint="eastAsia" w:ascii="Times New Roman" w:hAnsi="Times New Roman" w:eastAsia="仿宋" w:cs="Times New Roman"/>
          <w:color w:val="auto"/>
          <w:kern w:val="0"/>
          <w:sz w:val="28"/>
          <w:szCs w:val="28"/>
        </w:rPr>
        <w:t>29.7~64.1</w:t>
      </w:r>
      <w:r>
        <w:rPr>
          <w:rFonts w:ascii="Times New Roman" w:hAnsi="Times New Roman" w:eastAsia="仿宋" w:cs="Times New Roman"/>
          <w:color w:val="auto"/>
          <w:kern w:val="0"/>
          <w:sz w:val="28"/>
          <w:szCs w:val="28"/>
        </w:rPr>
        <w:t>的范围，属于</w:t>
      </w:r>
      <w:r>
        <w:rPr>
          <w:rFonts w:hint="eastAsia" w:ascii="Times New Roman" w:hAnsi="Times New Roman" w:eastAsia="仿宋" w:cs="Times New Roman"/>
          <w:color w:val="auto"/>
          <w:kern w:val="0"/>
          <w:sz w:val="28"/>
          <w:szCs w:val="28"/>
        </w:rPr>
        <w:t>不健康</w:t>
      </w:r>
      <w:r>
        <w:rPr>
          <w:rFonts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rPr>
        <w:t>健康</w:t>
      </w:r>
      <w:r>
        <w:rPr>
          <w:rFonts w:ascii="Times New Roman" w:hAnsi="Times New Roman" w:eastAsia="仿宋" w:cs="Times New Roman"/>
          <w:color w:val="auto"/>
          <w:kern w:val="0"/>
          <w:sz w:val="28"/>
          <w:szCs w:val="28"/>
        </w:rPr>
        <w:t>状况，总体分值</w:t>
      </w:r>
      <w:r>
        <w:rPr>
          <w:rFonts w:hint="eastAsia" w:ascii="Times New Roman" w:hAnsi="Times New Roman" w:eastAsia="仿宋" w:cs="Times New Roman"/>
          <w:color w:val="auto"/>
          <w:kern w:val="0"/>
          <w:sz w:val="28"/>
          <w:szCs w:val="28"/>
        </w:rPr>
        <w:t>很</w:t>
      </w:r>
      <w:r>
        <w:rPr>
          <w:rFonts w:ascii="Times New Roman" w:hAnsi="Times New Roman" w:eastAsia="仿宋" w:cs="Times New Roman"/>
          <w:color w:val="auto"/>
          <w:kern w:val="0"/>
          <w:sz w:val="28"/>
          <w:szCs w:val="28"/>
        </w:rPr>
        <w:t>低；水质状况评估结果均为</w:t>
      </w:r>
      <w:r>
        <w:rPr>
          <w:rFonts w:hint="eastAsia" w:ascii="Times New Roman" w:hAnsi="Times New Roman" w:eastAsia="仿宋" w:cs="Times New Roman"/>
          <w:color w:val="auto"/>
          <w:kern w:val="0"/>
          <w:sz w:val="28"/>
          <w:szCs w:val="28"/>
        </w:rPr>
        <w:t>46.7~78.8</w:t>
      </w:r>
      <w:r>
        <w:rPr>
          <w:rFonts w:ascii="Times New Roman" w:hAnsi="Times New Roman" w:eastAsia="仿宋" w:cs="Times New Roman"/>
          <w:color w:val="auto"/>
          <w:kern w:val="0"/>
          <w:sz w:val="28"/>
          <w:szCs w:val="28"/>
        </w:rPr>
        <w:t>之间，属于</w:t>
      </w:r>
      <w:r>
        <w:rPr>
          <w:rFonts w:hint="eastAsia" w:ascii="Times New Roman" w:hAnsi="Times New Roman" w:eastAsia="仿宋" w:cs="Times New Roman"/>
          <w:color w:val="auto"/>
          <w:kern w:val="0"/>
          <w:sz w:val="28"/>
          <w:szCs w:val="28"/>
        </w:rPr>
        <w:t>亚健康-健康</w:t>
      </w:r>
      <w:r>
        <w:rPr>
          <w:rFonts w:ascii="Times New Roman" w:hAnsi="Times New Roman" w:eastAsia="仿宋" w:cs="Times New Roman"/>
          <w:color w:val="auto"/>
          <w:kern w:val="0"/>
          <w:sz w:val="28"/>
          <w:szCs w:val="28"/>
        </w:rPr>
        <w:t>状态；生物评估结果范围在</w:t>
      </w:r>
      <w:r>
        <w:rPr>
          <w:rFonts w:hint="eastAsia" w:ascii="Times New Roman" w:hAnsi="Times New Roman" w:eastAsia="仿宋" w:cs="Times New Roman"/>
          <w:color w:val="auto"/>
          <w:kern w:val="0"/>
          <w:sz w:val="28"/>
          <w:szCs w:val="28"/>
        </w:rPr>
        <w:t>42.5~90.9</w:t>
      </w:r>
      <w:r>
        <w:rPr>
          <w:rFonts w:ascii="Times New Roman" w:hAnsi="Times New Roman" w:eastAsia="仿宋" w:cs="Times New Roman"/>
          <w:color w:val="auto"/>
          <w:kern w:val="0"/>
          <w:sz w:val="28"/>
          <w:szCs w:val="28"/>
        </w:rPr>
        <w:t>之间，属于</w:t>
      </w:r>
      <w:r>
        <w:rPr>
          <w:rFonts w:hint="eastAsia" w:ascii="Times New Roman" w:hAnsi="Times New Roman" w:eastAsia="仿宋" w:cs="Times New Roman"/>
          <w:color w:val="auto"/>
          <w:kern w:val="0"/>
          <w:sz w:val="28"/>
          <w:szCs w:val="28"/>
        </w:rPr>
        <w:t>亚健康</w:t>
      </w:r>
      <w:r>
        <w:rPr>
          <w:rFonts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rPr>
        <w:t>理想</w:t>
      </w:r>
      <w:r>
        <w:rPr>
          <w:rFonts w:ascii="Times New Roman" w:hAnsi="Times New Roman" w:eastAsia="仿宋" w:cs="Times New Roman"/>
          <w:color w:val="auto"/>
          <w:kern w:val="0"/>
          <w:sz w:val="28"/>
          <w:szCs w:val="28"/>
        </w:rPr>
        <w:t>状态，分值</w:t>
      </w:r>
      <w:r>
        <w:rPr>
          <w:rFonts w:hint="eastAsia" w:ascii="Times New Roman" w:hAnsi="Times New Roman" w:eastAsia="仿宋" w:cs="Times New Roman"/>
          <w:color w:val="auto"/>
          <w:kern w:val="0"/>
          <w:sz w:val="28"/>
          <w:szCs w:val="28"/>
        </w:rPr>
        <w:t>浮动较大</w:t>
      </w:r>
      <w:r>
        <w:rPr>
          <w:rFonts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评估</w:t>
      </w:r>
      <w:r>
        <w:rPr>
          <w:rFonts w:hint="eastAsia" w:ascii="Times New Roman" w:hAnsi="Times New Roman" w:eastAsia="仿宋" w:cs="Times New Roman"/>
          <w:color w:val="auto"/>
          <w:kern w:val="0"/>
          <w:sz w:val="28"/>
          <w:szCs w:val="28"/>
        </w:rPr>
        <w:t>河段</w:t>
      </w:r>
      <w:r>
        <w:rPr>
          <w:rFonts w:ascii="Times New Roman" w:hAnsi="Times New Roman" w:eastAsia="仿宋" w:cs="Times New Roman"/>
          <w:color w:val="auto"/>
          <w:kern w:val="0"/>
          <w:sz w:val="28"/>
          <w:szCs w:val="28"/>
        </w:rPr>
        <w:t>中，生物</w:t>
      </w:r>
      <w:r>
        <w:rPr>
          <w:rFonts w:hint="eastAsia" w:ascii="Times New Roman" w:hAnsi="Times New Roman" w:eastAsia="仿宋" w:cs="Times New Roman"/>
          <w:color w:val="auto"/>
          <w:kern w:val="0"/>
          <w:sz w:val="28"/>
          <w:szCs w:val="28"/>
        </w:rPr>
        <w:t>、</w:t>
      </w:r>
      <w:r>
        <w:rPr>
          <w:rFonts w:ascii="Times New Roman" w:hAnsi="Times New Roman" w:eastAsia="仿宋" w:cs="Times New Roman"/>
          <w:color w:val="auto"/>
          <w:kern w:val="0"/>
          <w:sz w:val="28"/>
          <w:szCs w:val="28"/>
        </w:rPr>
        <w:t>水质状况值普遍较</w:t>
      </w:r>
      <w:r>
        <w:rPr>
          <w:rFonts w:hint="eastAsia" w:ascii="Times New Roman" w:hAnsi="Times New Roman" w:eastAsia="仿宋" w:cs="Times New Roman"/>
          <w:color w:val="auto"/>
          <w:kern w:val="0"/>
          <w:sz w:val="28"/>
          <w:szCs w:val="28"/>
        </w:rPr>
        <w:t>好</w:t>
      </w:r>
      <w:r>
        <w:rPr>
          <w:rFonts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rPr>
        <w:t>物理结构、</w:t>
      </w:r>
      <w:r>
        <w:rPr>
          <w:rFonts w:ascii="Times New Roman" w:hAnsi="Times New Roman" w:eastAsia="仿宋" w:cs="Times New Roman"/>
          <w:color w:val="auto"/>
          <w:kern w:val="0"/>
          <w:sz w:val="28"/>
          <w:szCs w:val="28"/>
        </w:rPr>
        <w:t>水文水资源评估分值较低</w:t>
      </w:r>
      <w:r>
        <w:rPr>
          <w:rFonts w:hint="eastAsia" w:ascii="Times New Roman" w:hAnsi="Times New Roman" w:eastAsia="仿宋" w:cs="Times New Roman"/>
          <w:color w:val="auto"/>
          <w:kern w:val="0"/>
          <w:sz w:val="28"/>
          <w:szCs w:val="28"/>
        </w:rPr>
        <w:t>，社会满意度得分较高。</w:t>
      </w:r>
      <w:r>
        <w:rPr>
          <w:rFonts w:ascii="Times New Roman" w:hAnsi="Times New Roman" w:eastAsia="仿宋" w:cs="Times New Roman"/>
          <w:color w:val="auto"/>
          <w:kern w:val="0"/>
          <w:sz w:val="28"/>
          <w:szCs w:val="28"/>
        </w:rPr>
        <w:t>从河流综合健康状况上看</w:t>
      </w:r>
      <w:r>
        <w:rPr>
          <w:rFonts w:hint="eastAsia"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各评估河流健康状况良好，处于健康状况，但个别河流的水文水资源准则层、物理结构准则层、</w:t>
      </w:r>
      <w:r>
        <w:rPr>
          <w:rFonts w:hint="eastAsia" w:ascii="Times New Roman" w:hAnsi="Times New Roman" w:eastAsia="仿宋" w:cs="Times New Roman"/>
          <w:color w:val="auto"/>
          <w:kern w:val="0"/>
          <w:sz w:val="28"/>
          <w:szCs w:val="28"/>
        </w:rPr>
        <w:t>水质准则层</w:t>
      </w:r>
      <w:r>
        <w:rPr>
          <w:rFonts w:ascii="Times New Roman" w:hAnsi="Times New Roman" w:eastAsia="仿宋" w:cs="Times New Roman"/>
          <w:color w:val="auto"/>
          <w:kern w:val="0"/>
          <w:sz w:val="28"/>
          <w:szCs w:val="28"/>
        </w:rPr>
        <w:t xml:space="preserve">仍处在得分较低的现象，分析原因如下：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（1）水文水资源得分普遍偏低。分析其原因主要是</w:t>
      </w:r>
      <w:r>
        <w:rPr>
          <w:rFonts w:hint="eastAsia" w:ascii="Times New Roman" w:hAnsi="Times New Roman" w:eastAsia="仿宋" w:cs="Times New Roman"/>
          <w:color w:val="auto"/>
          <w:kern w:val="0"/>
          <w:sz w:val="28"/>
          <w:szCs w:val="28"/>
        </w:rPr>
        <w:t>2015年径流过程较常年变化较大，月平均径流变异度较大所致</w:t>
      </w:r>
      <w:r>
        <w:rPr>
          <w:rFonts w:ascii="Times New Roman" w:hAnsi="Times New Roman" w:eastAsia="仿宋" w:cs="Times New Roman"/>
          <w:color w:val="auto"/>
          <w:kern w:val="0"/>
          <w:sz w:val="28"/>
          <w:szCs w:val="28"/>
        </w:rPr>
        <w:t xml:space="preserve">。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（2）物理结构准则层。</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评估</w:t>
      </w:r>
      <w:r>
        <w:rPr>
          <w:rFonts w:hint="eastAsia" w:ascii="Times New Roman" w:hAnsi="Times New Roman" w:eastAsia="仿宋" w:cs="Times New Roman"/>
          <w:color w:val="auto"/>
          <w:kern w:val="0"/>
          <w:sz w:val="28"/>
          <w:szCs w:val="28"/>
        </w:rPr>
        <w:t>河段</w:t>
      </w:r>
      <w:r>
        <w:rPr>
          <w:rFonts w:ascii="Times New Roman" w:hAnsi="Times New Roman" w:eastAsia="仿宋" w:cs="Times New Roman"/>
          <w:color w:val="auto"/>
          <w:kern w:val="0"/>
          <w:sz w:val="28"/>
          <w:szCs w:val="28"/>
        </w:rPr>
        <w:t>的物理结构准则层赋分在</w:t>
      </w:r>
      <w:r>
        <w:rPr>
          <w:rFonts w:hint="eastAsia" w:ascii="Times New Roman" w:hAnsi="Times New Roman" w:eastAsia="仿宋" w:cs="Times New Roman"/>
          <w:color w:val="auto"/>
          <w:kern w:val="0"/>
          <w:sz w:val="28"/>
          <w:szCs w:val="28"/>
        </w:rPr>
        <w:t>39.3</w:t>
      </w:r>
      <w:r>
        <w:rPr>
          <w:rFonts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rPr>
        <w:t>74.8</w:t>
      </w:r>
      <w:r>
        <w:rPr>
          <w:rFonts w:ascii="Times New Roman" w:hAnsi="Times New Roman" w:eastAsia="仿宋" w:cs="Times New Roman"/>
          <w:color w:val="auto"/>
          <w:kern w:val="0"/>
          <w:sz w:val="28"/>
          <w:szCs w:val="28"/>
        </w:rPr>
        <w:t>分之间，处于</w:t>
      </w:r>
      <w:r>
        <w:rPr>
          <w:rFonts w:hint="eastAsia" w:ascii="Times New Roman" w:hAnsi="Times New Roman" w:eastAsia="仿宋" w:cs="Times New Roman"/>
          <w:color w:val="auto"/>
          <w:kern w:val="0"/>
          <w:sz w:val="28"/>
          <w:szCs w:val="28"/>
        </w:rPr>
        <w:t>不</w:t>
      </w:r>
      <w:r>
        <w:rPr>
          <w:rFonts w:ascii="Times New Roman" w:hAnsi="Times New Roman" w:eastAsia="仿宋" w:cs="Times New Roman"/>
          <w:color w:val="auto"/>
          <w:kern w:val="0"/>
          <w:sz w:val="28"/>
          <w:szCs w:val="28"/>
        </w:rPr>
        <w:t>健康~健康状况，分析其主要原因是</w:t>
      </w:r>
      <w:r>
        <w:rPr>
          <w:rFonts w:hint="eastAsia" w:ascii="Times New Roman" w:hAnsi="Times New Roman" w:eastAsia="仿宋" w:cs="Times New Roman"/>
          <w:color w:val="auto"/>
          <w:kern w:val="0"/>
          <w:sz w:val="28"/>
          <w:szCs w:val="28"/>
          <w:lang w:eastAsia="zh-CN"/>
        </w:rPr>
        <w:t>资江</w:t>
      </w:r>
      <w:r>
        <w:rPr>
          <w:rFonts w:hint="eastAsia" w:ascii="Times New Roman" w:hAnsi="Times New Roman" w:eastAsia="仿宋" w:cs="Times New Roman"/>
          <w:color w:val="auto"/>
          <w:kern w:val="0"/>
          <w:sz w:val="28"/>
          <w:szCs w:val="28"/>
        </w:rPr>
        <w:t>干流及各支流均有梯级电站，阻隔了鱼类洄游及营养物质的输移，河流连通阻隔得分较低。</w:t>
      </w:r>
      <w:r>
        <w:rPr>
          <w:rFonts w:ascii="Times New Roman" w:hAnsi="Times New Roman" w:eastAsia="仿宋" w:cs="Times New Roman"/>
          <w:color w:val="auto"/>
          <w:kern w:val="0"/>
          <w:sz w:val="28"/>
          <w:szCs w:val="28"/>
        </w:rPr>
        <w:t xml:space="preserve">最终得到的物理结构准则层得分也偏低。 </w:t>
      </w:r>
    </w:p>
    <w:p>
      <w:pPr>
        <w:spacing w:line="360" w:lineRule="auto"/>
        <w:ind w:firstLine="560" w:firstLineChars="200"/>
        <w:rPr>
          <w:rFonts w:ascii="Times New Roman" w:hAnsi="Times New Roman" w:eastAsia="仿宋" w:cs="Times New Roman"/>
          <w:color w:val="auto"/>
          <w:spacing w:val="-6"/>
          <w:sz w:val="28"/>
          <w:szCs w:val="28"/>
        </w:rPr>
      </w:pPr>
      <w:r>
        <w:rPr>
          <w:rFonts w:hint="eastAsia" w:ascii="Times New Roman" w:hAnsi="Times New Roman" w:eastAsia="仿宋" w:cs="Times New Roman"/>
          <w:color w:val="auto"/>
          <w:kern w:val="0"/>
          <w:sz w:val="28"/>
          <w:szCs w:val="28"/>
        </w:rPr>
        <w:t>（3）水质准则层。</w:t>
      </w:r>
      <w:r>
        <w:rPr>
          <w:rFonts w:ascii="Times New Roman" w:hAnsi="Times New Roman" w:eastAsia="仿宋" w:cs="Times New Roman"/>
          <w:color w:val="auto"/>
          <w:sz w:val="28"/>
          <w:szCs w:val="28"/>
        </w:rPr>
        <w:t>根据水质准则层评估结果，</w:t>
      </w:r>
      <w:r>
        <w:rPr>
          <w:rFonts w:ascii="Times New Roman" w:hAnsi="Times New Roman" w:eastAsia="仿宋" w:cs="Times New Roman"/>
          <w:color w:val="auto"/>
          <w:kern w:val="0"/>
          <w:sz w:val="28"/>
          <w:szCs w:val="28"/>
        </w:rPr>
        <w:t>赋分在</w:t>
      </w:r>
      <w:r>
        <w:rPr>
          <w:rFonts w:hint="eastAsia" w:ascii="Times New Roman" w:hAnsi="Times New Roman" w:eastAsia="仿宋" w:cs="Times New Roman"/>
          <w:color w:val="auto"/>
          <w:kern w:val="0"/>
          <w:sz w:val="28"/>
          <w:szCs w:val="28"/>
        </w:rPr>
        <w:t>46.7</w:t>
      </w:r>
      <w:r>
        <w:rPr>
          <w:rFonts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rPr>
        <w:t>78.8</w:t>
      </w:r>
      <w:r>
        <w:rPr>
          <w:rFonts w:ascii="Times New Roman" w:hAnsi="Times New Roman" w:eastAsia="仿宋" w:cs="Times New Roman"/>
          <w:color w:val="auto"/>
          <w:kern w:val="0"/>
          <w:sz w:val="28"/>
          <w:szCs w:val="28"/>
        </w:rPr>
        <w:t>分之间，处于</w:t>
      </w:r>
      <w:r>
        <w:rPr>
          <w:rFonts w:hint="eastAsia" w:ascii="Times New Roman" w:hAnsi="Times New Roman" w:eastAsia="仿宋" w:cs="Times New Roman"/>
          <w:color w:val="auto"/>
          <w:kern w:val="0"/>
          <w:sz w:val="28"/>
          <w:szCs w:val="28"/>
        </w:rPr>
        <w:t>亚</w:t>
      </w:r>
      <w:r>
        <w:rPr>
          <w:rFonts w:ascii="Times New Roman" w:hAnsi="Times New Roman" w:eastAsia="仿宋" w:cs="Times New Roman"/>
          <w:color w:val="auto"/>
          <w:kern w:val="0"/>
          <w:sz w:val="28"/>
          <w:szCs w:val="28"/>
        </w:rPr>
        <w:t>健康~健康状况，</w:t>
      </w:r>
      <w:r>
        <w:rPr>
          <w:rFonts w:hint="eastAsia" w:ascii="Times New Roman" w:hAnsi="Times New Roman" w:eastAsia="仿宋" w:cs="Times New Roman"/>
          <w:color w:val="auto"/>
          <w:spacing w:val="-6"/>
          <w:sz w:val="28"/>
          <w:szCs w:val="28"/>
        </w:rPr>
        <w:t>主要是水温变异度较高及重金属得分较低所致</w:t>
      </w:r>
      <w:r>
        <w:rPr>
          <w:rFonts w:ascii="Times New Roman" w:hAnsi="Times New Roman" w:eastAsia="仿宋" w:cs="Times New Roman"/>
          <w:color w:val="auto"/>
          <w:spacing w:val="-6"/>
          <w:sz w:val="28"/>
          <w:szCs w:val="28"/>
        </w:rPr>
        <w:t>。</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rPr>
        <w:t>4</w:t>
      </w:r>
      <w:r>
        <w:rPr>
          <w:rFonts w:ascii="Times New Roman" w:hAnsi="Times New Roman" w:eastAsia="仿宋" w:cs="Times New Roman"/>
          <w:color w:val="auto"/>
          <w:kern w:val="0"/>
          <w:sz w:val="28"/>
          <w:szCs w:val="28"/>
        </w:rPr>
        <w:t>）生物准则层。</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干流生物准则层评估分值除</w:t>
      </w:r>
      <w:r>
        <w:rPr>
          <w:rFonts w:hint="eastAsia" w:ascii="Times New Roman" w:hAnsi="Times New Roman" w:eastAsia="仿宋" w:cs="Times New Roman"/>
          <w:color w:val="auto"/>
          <w:kern w:val="0"/>
          <w:sz w:val="28"/>
          <w:szCs w:val="28"/>
        </w:rPr>
        <w:t>下</w:t>
      </w:r>
      <w:r>
        <w:rPr>
          <w:rFonts w:ascii="Times New Roman" w:hAnsi="Times New Roman" w:eastAsia="仿宋" w:cs="Times New Roman"/>
          <w:color w:val="auto"/>
          <w:kern w:val="0"/>
          <w:sz w:val="28"/>
          <w:szCs w:val="28"/>
        </w:rPr>
        <w:t>游段外，</w:t>
      </w:r>
      <w:r>
        <w:rPr>
          <w:rFonts w:hint="eastAsia" w:ascii="Times New Roman" w:hAnsi="Times New Roman" w:eastAsia="仿宋" w:cs="Times New Roman"/>
          <w:color w:val="auto"/>
          <w:kern w:val="0"/>
          <w:sz w:val="28"/>
          <w:szCs w:val="28"/>
        </w:rPr>
        <w:t>上中</w:t>
      </w:r>
      <w:r>
        <w:rPr>
          <w:rFonts w:ascii="Times New Roman" w:hAnsi="Times New Roman" w:eastAsia="仿宋" w:cs="Times New Roman"/>
          <w:color w:val="auto"/>
          <w:kern w:val="0"/>
          <w:sz w:val="28"/>
          <w:szCs w:val="28"/>
        </w:rPr>
        <w:t>游段得分均处于健康的状况，主要原因是</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下游段监测采样点附近受到人类活动影响较大，导致</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干流生物准则层得分较低</w:t>
      </w:r>
      <w:r>
        <w:rPr>
          <w:rFonts w:hint="eastAsia"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lang w:eastAsia="zh-CN"/>
        </w:rPr>
        <w:t>瓜里河</w:t>
      </w:r>
      <w:r>
        <w:rPr>
          <w:rFonts w:hint="eastAsia" w:ascii="Times New Roman" w:hAnsi="Times New Roman" w:eastAsia="仿宋" w:cs="Times New Roman"/>
          <w:color w:val="auto"/>
          <w:kern w:val="0"/>
          <w:sz w:val="28"/>
          <w:szCs w:val="28"/>
        </w:rPr>
        <w:t>也是同样原因。</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另外，</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及其一级支流沿河两岸植被覆盖度在10%-</w:t>
      </w:r>
      <w:r>
        <w:rPr>
          <w:rFonts w:hint="eastAsia" w:ascii="Times New Roman" w:hAnsi="Times New Roman" w:eastAsia="仿宋" w:cs="Times New Roman"/>
          <w:color w:val="auto"/>
          <w:kern w:val="0"/>
          <w:sz w:val="28"/>
          <w:szCs w:val="28"/>
        </w:rPr>
        <w:t>100</w:t>
      </w:r>
      <w:r>
        <w:rPr>
          <w:rFonts w:ascii="Times New Roman" w:hAnsi="Times New Roman" w:eastAsia="仿宋" w:cs="Times New Roman"/>
          <w:color w:val="auto"/>
          <w:kern w:val="0"/>
          <w:sz w:val="28"/>
          <w:szCs w:val="28"/>
        </w:rPr>
        <w:t>%之间，两岸植被茂盛且河岸基质大部分属于岩土和</w:t>
      </w:r>
      <w:r>
        <w:rPr>
          <w:rFonts w:hint="eastAsia" w:ascii="Times New Roman" w:hAnsi="Times New Roman" w:eastAsia="仿宋" w:cs="Times New Roman"/>
          <w:color w:val="auto"/>
          <w:kern w:val="0"/>
          <w:sz w:val="28"/>
          <w:szCs w:val="28"/>
        </w:rPr>
        <w:t>非</w:t>
      </w:r>
      <w:r>
        <w:rPr>
          <w:rFonts w:ascii="Times New Roman" w:hAnsi="Times New Roman" w:eastAsia="仿宋" w:cs="Times New Roman"/>
          <w:color w:val="auto"/>
          <w:kern w:val="0"/>
          <w:sz w:val="28"/>
          <w:szCs w:val="28"/>
        </w:rPr>
        <w:t>黏土河岸，抗冲刷能力</w:t>
      </w:r>
      <w:r>
        <w:rPr>
          <w:rFonts w:hint="eastAsia" w:ascii="Times New Roman" w:hAnsi="Times New Roman" w:eastAsia="仿宋" w:cs="Times New Roman"/>
          <w:color w:val="auto"/>
          <w:kern w:val="0"/>
          <w:sz w:val="28"/>
          <w:szCs w:val="28"/>
        </w:rPr>
        <w:t>一般</w:t>
      </w:r>
      <w:r>
        <w:rPr>
          <w:rFonts w:ascii="Times New Roman" w:hAnsi="Times New Roman" w:eastAsia="仿宋" w:cs="Times New Roman"/>
          <w:color w:val="auto"/>
          <w:kern w:val="0"/>
          <w:sz w:val="28"/>
          <w:szCs w:val="28"/>
        </w:rPr>
        <w:t>，岸坡能够保持多年稳定状态；</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及其一级支流</w:t>
      </w:r>
      <w:r>
        <w:rPr>
          <w:rFonts w:hint="eastAsia" w:ascii="Times New Roman" w:hAnsi="Times New Roman" w:eastAsia="仿宋" w:cs="Times New Roman"/>
          <w:color w:val="auto"/>
          <w:kern w:val="0"/>
          <w:sz w:val="28"/>
          <w:szCs w:val="28"/>
        </w:rPr>
        <w:t>中下游</w:t>
      </w:r>
      <w:r>
        <w:rPr>
          <w:rFonts w:ascii="Times New Roman" w:hAnsi="Times New Roman" w:eastAsia="仿宋" w:cs="Times New Roman"/>
          <w:color w:val="auto"/>
          <w:kern w:val="0"/>
          <w:sz w:val="28"/>
          <w:szCs w:val="28"/>
        </w:rPr>
        <w:t>建有多处梯级电站，受到人类对水量控制的干扰度一般，连通性</w:t>
      </w:r>
      <w:r>
        <w:rPr>
          <w:rFonts w:hint="eastAsia" w:ascii="Times New Roman" w:hAnsi="Times New Roman" w:eastAsia="仿宋" w:cs="Times New Roman"/>
          <w:color w:val="auto"/>
          <w:kern w:val="0"/>
          <w:sz w:val="28"/>
          <w:szCs w:val="28"/>
        </w:rPr>
        <w:t>较低</w:t>
      </w:r>
      <w:r>
        <w:rPr>
          <w:rFonts w:ascii="Times New Roman" w:hAnsi="Times New Roman" w:eastAsia="仿宋" w:cs="Times New Roman"/>
          <w:color w:val="auto"/>
          <w:kern w:val="0"/>
          <w:sz w:val="28"/>
          <w:szCs w:val="28"/>
        </w:rPr>
        <w:t>，虽然没有鱼道，但是不影响急流鱼类迁移，不影响生态基流，综合以上河岸带状况评估结果</w:t>
      </w:r>
      <w:r>
        <w:rPr>
          <w:rFonts w:hint="eastAsia" w:ascii="Times New Roman" w:hAnsi="Times New Roman" w:eastAsia="仿宋" w:cs="Times New Roman"/>
          <w:color w:val="auto"/>
          <w:kern w:val="0"/>
          <w:sz w:val="28"/>
          <w:szCs w:val="28"/>
        </w:rPr>
        <w:t>一般</w:t>
      </w:r>
      <w:r>
        <w:rPr>
          <w:rFonts w:ascii="Times New Roman" w:hAnsi="Times New Roman" w:eastAsia="仿宋" w:cs="Times New Roman"/>
          <w:color w:val="auto"/>
          <w:kern w:val="0"/>
          <w:sz w:val="28"/>
          <w:szCs w:val="28"/>
        </w:rPr>
        <w:t>。不足之处在于对河岸带状况进行调查时发现，人类活动对河流的影响比较明显，在城镇河流两岸建有硬性护岸埋设管道等，而在乡下河道附近经常可以看到养</w:t>
      </w:r>
      <w:r>
        <w:rPr>
          <w:rFonts w:ascii="Times New Roman" w:hAnsi="Times New Roman" w:eastAsia="仿宋" w:cs="Times New Roman"/>
          <w:color w:val="auto"/>
          <w:spacing w:val="-6"/>
          <w:kern w:val="0"/>
          <w:sz w:val="28"/>
          <w:szCs w:val="28"/>
        </w:rPr>
        <w:t>鸭养鱼还有农业耕种</w:t>
      </w:r>
      <w:r>
        <w:rPr>
          <w:rFonts w:hint="eastAsia" w:ascii="Times New Roman" w:hAnsi="Times New Roman" w:eastAsia="仿宋" w:cs="Times New Roman"/>
          <w:color w:val="auto"/>
          <w:spacing w:val="-6"/>
          <w:kern w:val="0"/>
          <w:sz w:val="28"/>
          <w:szCs w:val="28"/>
        </w:rPr>
        <w:t>和采砂活动，但河岸上垃圾堆放较少，河流景观总体尚可</w:t>
      </w:r>
      <w:r>
        <w:rPr>
          <w:rFonts w:ascii="Times New Roman" w:hAnsi="Times New Roman" w:eastAsia="仿宋" w:cs="Times New Roman"/>
          <w:color w:val="auto"/>
          <w:spacing w:val="-6"/>
          <w:kern w:val="0"/>
          <w:sz w:val="28"/>
          <w:szCs w:val="28"/>
        </w:rPr>
        <w:t xml:space="preserve">。 </w:t>
      </w:r>
    </w:p>
    <w:p>
      <w:pPr>
        <w:autoSpaceDE w:val="0"/>
        <w:autoSpaceDN w:val="0"/>
        <w:adjustRightInd w:val="0"/>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在2015年</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水质监测数据中，选择了DO、BOD5、CODMN、</w:t>
      </w:r>
      <w:r>
        <w:rPr>
          <w:rFonts w:hint="eastAsia" w:ascii="Times New Roman" w:hAnsi="Times New Roman" w:eastAsia="仿宋" w:cs="Times New Roman"/>
          <w:color w:val="auto"/>
          <w:kern w:val="0"/>
          <w:sz w:val="28"/>
          <w:szCs w:val="28"/>
        </w:rPr>
        <w:t>CODcr、</w:t>
      </w:r>
      <w:r>
        <w:rPr>
          <w:rFonts w:ascii="Times New Roman" w:hAnsi="Times New Roman" w:eastAsia="仿宋" w:cs="Times New Roman"/>
          <w:color w:val="auto"/>
          <w:kern w:val="0"/>
          <w:sz w:val="28"/>
          <w:szCs w:val="28"/>
        </w:rPr>
        <w:t>氨氮和大部分重金属指标进行评估，总体评估结果分数较好；在</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各项指标监测中，除了</w:t>
      </w:r>
      <w:r>
        <w:rPr>
          <w:rFonts w:hint="eastAsia" w:ascii="Times New Roman" w:hAnsi="Times New Roman" w:eastAsia="仿宋" w:cs="Times New Roman"/>
          <w:color w:val="auto"/>
          <w:kern w:val="0"/>
          <w:sz w:val="28"/>
          <w:szCs w:val="28"/>
        </w:rPr>
        <w:t>水温变异度、重金属</w:t>
      </w:r>
      <w:r>
        <w:rPr>
          <w:rFonts w:ascii="Times New Roman" w:hAnsi="Times New Roman" w:eastAsia="仿宋" w:cs="Times New Roman"/>
          <w:color w:val="auto"/>
          <w:kern w:val="0"/>
          <w:sz w:val="28"/>
          <w:szCs w:val="28"/>
        </w:rPr>
        <w:t>的得分偏低以外，其他各项指标分数都达到了</w:t>
      </w:r>
      <w:r>
        <w:rPr>
          <w:rFonts w:hint="eastAsia" w:ascii="Times New Roman" w:hAnsi="Times New Roman" w:eastAsia="仿宋" w:cs="Times New Roman"/>
          <w:color w:val="auto"/>
          <w:kern w:val="0"/>
          <w:sz w:val="28"/>
          <w:szCs w:val="28"/>
        </w:rPr>
        <w:t>70分以上</w:t>
      </w:r>
      <w:r>
        <w:rPr>
          <w:rFonts w:ascii="Times New Roman" w:hAnsi="Times New Roman" w:eastAsia="仿宋" w:cs="Times New Roman"/>
          <w:color w:val="auto"/>
          <w:kern w:val="0"/>
          <w:sz w:val="28"/>
          <w:szCs w:val="28"/>
        </w:rPr>
        <w:t>；在个别监测点的总磷、五日生化需氧量、氨氮</w:t>
      </w:r>
      <w:r>
        <w:rPr>
          <w:rFonts w:hint="eastAsia" w:ascii="Times New Roman" w:hAnsi="Times New Roman" w:eastAsia="仿宋" w:cs="Times New Roman"/>
          <w:color w:val="auto"/>
          <w:kern w:val="0"/>
          <w:sz w:val="28"/>
          <w:szCs w:val="28"/>
        </w:rPr>
        <w:t>等均未出现</w:t>
      </w:r>
      <w:r>
        <w:rPr>
          <w:rFonts w:ascii="Times New Roman" w:hAnsi="Times New Roman" w:eastAsia="仿宋" w:cs="Times New Roman"/>
          <w:color w:val="auto"/>
          <w:kern w:val="0"/>
          <w:sz w:val="28"/>
          <w:szCs w:val="28"/>
        </w:rPr>
        <w:t xml:space="preserve">超标，且全部都达到了水功能区控制的目标水质。 </w:t>
      </w:r>
    </w:p>
    <w:p>
      <w:pPr>
        <w:spacing w:line="360" w:lineRule="auto"/>
        <w:ind w:firstLine="560" w:firstLineChars="200"/>
        <w:jc w:val="left"/>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综上可知，</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存在不健康状况的主要压力主要是由于</w:t>
      </w:r>
      <w:r>
        <w:rPr>
          <w:rFonts w:hint="eastAsia" w:ascii="Times New Roman" w:hAnsi="Times New Roman" w:eastAsia="仿宋" w:cs="Times New Roman"/>
          <w:color w:val="auto"/>
          <w:kern w:val="0"/>
          <w:sz w:val="28"/>
          <w:szCs w:val="28"/>
        </w:rPr>
        <w:t>水文水资源变异度较大，进入21世纪以来气候变化对水资源影响比较明显，其次是</w:t>
      </w:r>
      <w:r>
        <w:rPr>
          <w:rFonts w:ascii="Times New Roman" w:hAnsi="Times New Roman" w:eastAsia="仿宋" w:cs="Times New Roman"/>
          <w:color w:val="auto"/>
          <w:kern w:val="0"/>
          <w:sz w:val="28"/>
          <w:szCs w:val="28"/>
        </w:rPr>
        <w:t>人类活动的影响。首先，人类活动（采砂、工程建设和垃圾堆放等）对河岸带生物栖息地生境带来了较大的干扰</w:t>
      </w:r>
      <w:r>
        <w:rPr>
          <w:rFonts w:hint="eastAsia" w:ascii="Times New Roman" w:hAnsi="Times New Roman" w:eastAsia="仿宋" w:cs="Times New Roman"/>
          <w:color w:val="auto"/>
          <w:kern w:val="0"/>
          <w:sz w:val="28"/>
          <w:szCs w:val="28"/>
        </w:rPr>
        <w:t>。</w:t>
      </w:r>
      <w:r>
        <w:rPr>
          <w:rFonts w:ascii="Times New Roman" w:hAnsi="Times New Roman" w:eastAsia="仿宋" w:cs="Times New Roman"/>
          <w:color w:val="auto"/>
          <w:kern w:val="0"/>
          <w:sz w:val="28"/>
          <w:szCs w:val="28"/>
        </w:rPr>
        <w:t>而且由于河流梯级的开发利用，对河流天然纵向廊道造成阻隔，阻碍了鱼类等生物群落的迁徙与洄游，也导致了生态流量满足程度总体偏低，从而影响水生生物的生存环境，导致鱼类损失</w:t>
      </w:r>
      <w:r>
        <w:rPr>
          <w:rFonts w:hint="eastAsia" w:ascii="Times New Roman" w:hAnsi="Times New Roman" w:eastAsia="仿宋" w:cs="Times New Roman"/>
          <w:color w:val="auto"/>
          <w:kern w:val="0"/>
          <w:sz w:val="28"/>
          <w:szCs w:val="28"/>
        </w:rPr>
        <w:t>。此外，</w:t>
      </w:r>
      <w:r>
        <w:rPr>
          <w:rFonts w:hint="eastAsia" w:ascii="Times New Roman" w:hAnsi="Times New Roman" w:eastAsia="仿宋" w:cs="Times New Roman"/>
          <w:color w:val="auto"/>
          <w:kern w:val="0"/>
          <w:sz w:val="28"/>
          <w:szCs w:val="28"/>
          <w:lang w:eastAsia="zh-CN"/>
        </w:rPr>
        <w:t>资江</w:t>
      </w:r>
      <w:r>
        <w:rPr>
          <w:rFonts w:hint="eastAsia" w:ascii="Times New Roman" w:hAnsi="Times New Roman" w:eastAsia="仿宋" w:cs="Times New Roman"/>
          <w:color w:val="auto"/>
          <w:kern w:val="0"/>
          <w:sz w:val="28"/>
          <w:szCs w:val="28"/>
        </w:rPr>
        <w:t>各河段重金属虽然没有超标，但得分较低。</w:t>
      </w:r>
    </w:p>
    <w:p>
      <w:pPr>
        <w:rPr>
          <w:color w:val="auto"/>
        </w:rPr>
      </w:pPr>
    </w:p>
    <w:p>
      <w:pPr>
        <w:pStyle w:val="4"/>
        <w:bidi w:val="0"/>
        <w:rPr>
          <w:color w:val="auto"/>
        </w:rPr>
        <w:sectPr>
          <w:pgSz w:w="11906" w:h="16838"/>
          <w:pgMar w:top="1361" w:right="1361" w:bottom="1474" w:left="1418" w:header="1021" w:footer="964" w:gutter="0"/>
          <w:cols w:space="425" w:num="1"/>
          <w:docGrid w:linePitch="312" w:charSpace="0"/>
        </w:sectPr>
      </w:pPr>
      <w:bookmarkStart w:id="103" w:name="_Toc19981"/>
      <w:bookmarkStart w:id="104" w:name="_Toc21847"/>
      <w:bookmarkStart w:id="105" w:name="_Toc3709"/>
    </w:p>
    <w:p>
      <w:pPr>
        <w:pStyle w:val="4"/>
        <w:bidi w:val="0"/>
        <w:rPr>
          <w:color w:val="auto"/>
        </w:rPr>
      </w:pPr>
      <w:r>
        <w:rPr>
          <w:color w:val="auto"/>
        </w:rPr>
        <w:t>7 河流健康维护</w:t>
      </w:r>
      <w:bookmarkEnd w:id="103"/>
      <w:bookmarkEnd w:id="104"/>
      <w:bookmarkEnd w:id="105"/>
      <w:r>
        <w:rPr>
          <w:color w:val="auto"/>
        </w:rPr>
        <w:t xml:space="preserve"> </w:t>
      </w:r>
    </w:p>
    <w:p>
      <w:pPr>
        <w:pStyle w:val="5"/>
        <w:bidi w:val="0"/>
        <w:rPr>
          <w:rFonts w:cs="Times New Roman"/>
          <w:color w:val="auto"/>
        </w:rPr>
      </w:pPr>
      <w:bookmarkStart w:id="106" w:name="_Toc27245"/>
      <w:bookmarkStart w:id="107" w:name="_Toc20219"/>
      <w:r>
        <w:rPr>
          <w:rFonts w:cs="Times New Roman"/>
          <w:color w:val="auto"/>
        </w:rPr>
        <w:t>7.1 河流健康保护及修护目标</w:t>
      </w:r>
      <w:bookmarkEnd w:id="106"/>
      <w:bookmarkEnd w:id="107"/>
      <w:r>
        <w:rPr>
          <w:rFonts w:cs="Times New Roman"/>
          <w:color w:val="auto"/>
        </w:rPr>
        <w:t xml:space="preserve"> </w:t>
      </w:r>
    </w:p>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根据本次对</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的调查发现：</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沿河均有村镇，城市分布，两岸植被覆盖度较好，以草地和灌木形式为主；部分河段河岸分布有一些采沙场；乡镇河岸两旁的生活垃圾堆放，生活污水和工业污水直接排入河口</w:t>
      </w:r>
      <w:r>
        <w:rPr>
          <w:rFonts w:hint="eastAsia" w:ascii="Times New Roman" w:hAnsi="Times New Roman" w:eastAsia="仿宋" w:cs="Times New Roman"/>
          <w:color w:val="auto"/>
          <w:kern w:val="0"/>
          <w:sz w:val="28"/>
          <w:szCs w:val="28"/>
        </w:rPr>
        <w:t>；农田普遍使用工业化肥，造成面源污染比较严重</w:t>
      </w:r>
      <w:r>
        <w:rPr>
          <w:rFonts w:ascii="Times New Roman" w:hAnsi="Times New Roman" w:eastAsia="仿宋" w:cs="Times New Roman"/>
          <w:color w:val="auto"/>
          <w:kern w:val="0"/>
          <w:sz w:val="28"/>
          <w:szCs w:val="28"/>
        </w:rPr>
        <w:t>。因此，针对以上存在的问题，并且结合本次对</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河流健康综合评估结果，制定了</w:t>
      </w: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 xml:space="preserve">健康保护目标。 </w:t>
      </w:r>
    </w:p>
    <w:p>
      <w:pPr>
        <w:autoSpaceDE w:val="0"/>
        <w:autoSpaceDN w:val="0"/>
        <w:adjustRightInd w:val="0"/>
        <w:spacing w:line="360" w:lineRule="auto"/>
        <w:rPr>
          <w:rFonts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lang w:eastAsia="zh-CN"/>
        </w:rPr>
        <w:t>资江流域</w:t>
      </w:r>
      <w:r>
        <w:rPr>
          <w:rFonts w:ascii="Times New Roman" w:hAnsi="Times New Roman" w:eastAsia="仿宋" w:cs="Times New Roman"/>
          <w:color w:val="auto"/>
          <w:kern w:val="0"/>
          <w:sz w:val="28"/>
          <w:szCs w:val="28"/>
        </w:rPr>
        <w:t xml:space="preserve">健康保护目标包括以下几点： </w:t>
      </w:r>
    </w:p>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rPr>
        <w:t>1</w:t>
      </w:r>
      <w:r>
        <w:rPr>
          <w:rFonts w:ascii="Times New Roman" w:hAnsi="Times New Roman" w:eastAsia="仿宋" w:cs="Times New Roman"/>
          <w:color w:val="auto"/>
          <w:kern w:val="0"/>
          <w:sz w:val="28"/>
          <w:szCs w:val="28"/>
        </w:rPr>
        <w:t>）节约用水，使</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水资源得到有效合理利用，从根本上解决水资源短缺问题</w:t>
      </w:r>
      <w:r>
        <w:rPr>
          <w:rFonts w:hint="eastAsia" w:ascii="Times New Roman" w:hAnsi="Times New Roman" w:eastAsia="仿宋" w:cs="Times New Roman"/>
          <w:color w:val="auto"/>
          <w:kern w:val="0"/>
          <w:sz w:val="28"/>
          <w:szCs w:val="28"/>
        </w:rPr>
        <w:t>，利用水利工程有效调节水资源季节性分配不均匀问题</w:t>
      </w:r>
      <w:r>
        <w:rPr>
          <w:rFonts w:ascii="Times New Roman" w:hAnsi="Times New Roman" w:eastAsia="仿宋" w:cs="Times New Roman"/>
          <w:color w:val="auto"/>
          <w:kern w:val="0"/>
          <w:sz w:val="28"/>
          <w:szCs w:val="28"/>
        </w:rPr>
        <w:t xml:space="preserve">。 </w:t>
      </w:r>
    </w:p>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（2）严格控制河岸带开发利用强度，减少人类活动对河岸带的影响（如采砂等），防止水土流失对河床抬升的直接影响。 </w:t>
      </w:r>
    </w:p>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（3）建立健全</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水资源的保护管理监督制度，加强排污企业的污水达标排放管理，严格控制废污水排放，</w:t>
      </w:r>
      <w:r>
        <w:rPr>
          <w:rFonts w:hint="eastAsia" w:ascii="Times New Roman" w:hAnsi="Times New Roman" w:eastAsia="仿宋" w:cs="Times New Roman"/>
          <w:color w:val="auto"/>
          <w:kern w:val="0"/>
          <w:sz w:val="28"/>
          <w:szCs w:val="28"/>
        </w:rPr>
        <w:t>压减重金属排放，引导农民使用生态有机肥，减少面源污染，</w:t>
      </w:r>
      <w:r>
        <w:rPr>
          <w:rFonts w:ascii="Times New Roman" w:hAnsi="Times New Roman" w:eastAsia="仿宋" w:cs="Times New Roman"/>
          <w:color w:val="auto"/>
          <w:kern w:val="0"/>
          <w:sz w:val="28"/>
          <w:szCs w:val="28"/>
        </w:rPr>
        <w:t xml:space="preserve">维护区域水环境安全。 </w:t>
      </w:r>
    </w:p>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rPr>
        <w:t>4</w:t>
      </w:r>
      <w:r>
        <w:rPr>
          <w:rFonts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rPr>
        <w:t>加强河流</w:t>
      </w:r>
      <w:r>
        <w:rPr>
          <w:rFonts w:ascii="Times New Roman" w:hAnsi="Times New Roman" w:eastAsia="仿宋" w:cs="Times New Roman"/>
          <w:color w:val="auto"/>
          <w:kern w:val="0"/>
          <w:sz w:val="28"/>
          <w:szCs w:val="28"/>
        </w:rPr>
        <w:t>河流水质</w:t>
      </w:r>
      <w:r>
        <w:rPr>
          <w:rFonts w:hint="eastAsia" w:ascii="Times New Roman" w:hAnsi="Times New Roman" w:eastAsia="仿宋" w:cs="Times New Roman"/>
          <w:color w:val="auto"/>
          <w:kern w:val="0"/>
          <w:sz w:val="28"/>
          <w:szCs w:val="28"/>
        </w:rPr>
        <w:t>监测，控制渔业养殖及捕捞</w:t>
      </w:r>
      <w:r>
        <w:rPr>
          <w:rFonts w:ascii="Times New Roman" w:hAnsi="Times New Roman" w:eastAsia="仿宋" w:cs="Times New Roman"/>
          <w:color w:val="auto"/>
          <w:kern w:val="0"/>
          <w:sz w:val="28"/>
          <w:szCs w:val="28"/>
        </w:rPr>
        <w:t xml:space="preserve">，保护河流水生物资源及流域生物多样性。 </w:t>
      </w:r>
    </w:p>
    <w:p>
      <w:pPr>
        <w:pStyle w:val="5"/>
        <w:bidi w:val="0"/>
        <w:rPr>
          <w:rFonts w:cs="Times New Roman"/>
          <w:color w:val="auto"/>
        </w:rPr>
      </w:pPr>
      <w:bookmarkStart w:id="108" w:name="_Toc6322"/>
      <w:bookmarkStart w:id="109" w:name="_Toc326"/>
      <w:r>
        <w:rPr>
          <w:rFonts w:cs="Times New Roman"/>
          <w:color w:val="auto"/>
        </w:rPr>
        <w:t>7.2 河流健康管理对策</w:t>
      </w:r>
      <w:bookmarkEnd w:id="108"/>
      <w:bookmarkEnd w:id="109"/>
      <w:r>
        <w:rPr>
          <w:rFonts w:cs="Times New Roman"/>
          <w:color w:val="auto"/>
        </w:rPr>
        <w:t xml:space="preserve"> </w:t>
      </w:r>
    </w:p>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1、</w:t>
      </w:r>
      <w:r>
        <w:rPr>
          <w:rFonts w:ascii="Times New Roman" w:hAnsi="Times New Roman" w:eastAsia="仿宋" w:cs="Times New Roman"/>
          <w:color w:val="auto"/>
          <w:kern w:val="0"/>
          <w:sz w:val="28"/>
          <w:szCs w:val="28"/>
        </w:rPr>
        <w:t>节约用水</w:t>
      </w:r>
    </w:p>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节水优先，在全社会大力宣传节约用水，推广节水器具的使用，将节水制度列为新建项目的审批条件；进一步完善梯级用水制度，制定合理的水价，形成全社会节约用水氛围。</w:t>
      </w:r>
    </w:p>
    <w:p>
      <w:pPr>
        <w:numPr>
          <w:ilvl w:val="0"/>
          <w:numId w:val="1"/>
        </w:num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加强水资源调配能力</w:t>
      </w:r>
    </w:p>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加强上游水源林保护，涵养水源，</w:t>
      </w:r>
      <w:r>
        <w:rPr>
          <w:rFonts w:ascii="Times New Roman" w:hAnsi="Times New Roman" w:eastAsia="仿宋" w:cs="Times New Roman"/>
          <w:color w:val="auto"/>
          <w:kern w:val="0"/>
          <w:sz w:val="28"/>
          <w:szCs w:val="28"/>
        </w:rPr>
        <w:t>从根本上解决水资源短缺问题</w:t>
      </w:r>
      <w:r>
        <w:rPr>
          <w:rFonts w:hint="eastAsia" w:ascii="Times New Roman" w:hAnsi="Times New Roman" w:eastAsia="仿宋" w:cs="Times New Roman"/>
          <w:color w:val="auto"/>
          <w:kern w:val="0"/>
          <w:sz w:val="28"/>
          <w:szCs w:val="28"/>
        </w:rPr>
        <w:t>；统筹利用水利工程，积极研究高效、合理利用水利资源的方法和技术，提高水资源调配能力，解决水资源季节性分配不均的问题</w:t>
      </w:r>
      <w:r>
        <w:rPr>
          <w:rFonts w:ascii="Times New Roman" w:hAnsi="Times New Roman" w:eastAsia="仿宋" w:cs="Times New Roman"/>
          <w:color w:val="auto"/>
          <w:kern w:val="0"/>
          <w:sz w:val="28"/>
          <w:szCs w:val="28"/>
        </w:rPr>
        <w:t xml:space="preserve">。 </w:t>
      </w:r>
    </w:p>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3</w:t>
      </w:r>
      <w:r>
        <w:rPr>
          <w:rFonts w:ascii="Times New Roman" w:hAnsi="Times New Roman" w:eastAsia="仿宋" w:cs="Times New Roman"/>
          <w:color w:val="auto"/>
          <w:kern w:val="0"/>
          <w:sz w:val="28"/>
          <w:szCs w:val="28"/>
        </w:rPr>
        <w:t>、加强河岸带保护与治理</w:t>
      </w:r>
    </w:p>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采取植物措施对河流进行保护和治理，如河流岸坡植物防护、人工湿地建设等。在河岸带进行植物防护工程时应综合考虑河流的行洪安全，保障主河道的畅通，利用岸坡漫滩段，选择土著植被群落，结合河流的水位变动情况，有选择性的进行分区种植。推广人工湿地技术，强化河流自净能力，改善水污染状况，提高水环境质量。 </w:t>
      </w:r>
    </w:p>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4、加强水土保持与生态修复 </w:t>
      </w:r>
    </w:p>
    <w:p>
      <w:pPr>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水土保持与生态修复是促进河流生态系统的改善和恢复的基础, 是河流功能康复的必然要求。通过加强流域水土保持与生态环境建设和管理, 提高大自然的自我修复能力，改善和维护河流的生态系统，减小人类活动对河流的影响，维护河流健康生命。</w:t>
      </w:r>
    </w:p>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5</w:t>
      </w:r>
      <w:r>
        <w:rPr>
          <w:rFonts w:ascii="Times New Roman" w:hAnsi="Times New Roman" w:eastAsia="仿宋" w:cs="Times New Roman"/>
          <w:color w:val="auto"/>
          <w:kern w:val="0"/>
          <w:sz w:val="28"/>
          <w:szCs w:val="28"/>
        </w:rPr>
        <w:t>、</w:t>
      </w:r>
      <w:r>
        <w:rPr>
          <w:rFonts w:hint="eastAsia" w:ascii="Times New Roman" w:hAnsi="Times New Roman" w:eastAsia="仿宋" w:cs="Times New Roman"/>
          <w:color w:val="auto"/>
          <w:kern w:val="0"/>
          <w:sz w:val="28"/>
          <w:szCs w:val="28"/>
        </w:rPr>
        <w:t>减轻农业面源污染</w:t>
      </w:r>
      <w:r>
        <w:rPr>
          <w:rFonts w:ascii="Times New Roman" w:hAnsi="Times New Roman" w:eastAsia="仿宋" w:cs="Times New Roman"/>
          <w:color w:val="auto"/>
          <w:kern w:val="0"/>
          <w:sz w:val="28"/>
          <w:szCs w:val="28"/>
        </w:rPr>
        <w:t xml:space="preserve"> </w:t>
      </w:r>
    </w:p>
    <w:p>
      <w:pPr>
        <w:spacing w:line="360" w:lineRule="auto"/>
        <w:ind w:firstLine="560" w:firstLineChars="200"/>
        <w:rPr>
          <w:rFonts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由于农村农业种植结构变化较快，农村使用化肥量较大，且农村使用化肥大部分为无机肥料，造成农村土地板化，土壤肥力降低，水土中重金属含量逐年增加</w:t>
      </w:r>
      <w:r>
        <w:rPr>
          <w:rFonts w:ascii="Times New Roman" w:hAnsi="Times New Roman" w:eastAsia="仿宋" w:cs="Times New Roman"/>
          <w:color w:val="auto"/>
          <w:kern w:val="0"/>
          <w:sz w:val="28"/>
          <w:szCs w:val="28"/>
        </w:rPr>
        <w:t>。通过</w:t>
      </w:r>
      <w:r>
        <w:rPr>
          <w:rFonts w:hint="eastAsia" w:ascii="Times New Roman" w:hAnsi="Times New Roman" w:eastAsia="仿宋" w:cs="Times New Roman"/>
          <w:color w:val="auto"/>
          <w:kern w:val="0"/>
          <w:sz w:val="28"/>
          <w:szCs w:val="28"/>
        </w:rPr>
        <w:t>引导农民多使用生态有机肥，并制定一定奖励措施，提高农民使用生态有机肥的积极性和经济效益，降低水土中重金属含量</w:t>
      </w:r>
      <w:r>
        <w:rPr>
          <w:rFonts w:ascii="Times New Roman" w:hAnsi="Times New Roman" w:eastAsia="仿宋" w:cs="Times New Roman"/>
          <w:color w:val="auto"/>
          <w:kern w:val="0"/>
          <w:sz w:val="28"/>
          <w:szCs w:val="28"/>
        </w:rPr>
        <w:t>。</w:t>
      </w:r>
    </w:p>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6</w:t>
      </w:r>
      <w:r>
        <w:rPr>
          <w:rFonts w:ascii="Times New Roman" w:hAnsi="Times New Roman" w:eastAsia="仿宋" w:cs="Times New Roman"/>
          <w:color w:val="auto"/>
          <w:kern w:val="0"/>
          <w:sz w:val="28"/>
          <w:szCs w:val="28"/>
        </w:rPr>
        <w:t xml:space="preserve">、适度限制河流梯级开发利用程度 </w:t>
      </w:r>
    </w:p>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适度限制</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梯级开发利用程度，将可持续发展的理念应用于水资源的开发利用中，使得河流梯级开发从整体出发，提高对生态系统自我调节机制的认识，确保</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最低生态流量，实现</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 xml:space="preserve">生态系统的良性发展。 </w:t>
      </w:r>
    </w:p>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7</w:t>
      </w:r>
      <w:r>
        <w:rPr>
          <w:rFonts w:ascii="Times New Roman" w:hAnsi="Times New Roman" w:eastAsia="仿宋" w:cs="Times New Roman"/>
          <w:color w:val="auto"/>
          <w:kern w:val="0"/>
          <w:sz w:val="28"/>
          <w:szCs w:val="28"/>
        </w:rPr>
        <w:t xml:space="preserve">、加强渔业捕捞管理 </w:t>
      </w:r>
    </w:p>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结合珠江禁渔制度，制定适合</w:t>
      </w:r>
      <w:r>
        <w:rPr>
          <w:rFonts w:hint="eastAsia" w:ascii="Times New Roman" w:hAnsi="Times New Roman" w:eastAsia="仿宋" w:cs="Times New Roman"/>
          <w:color w:val="auto"/>
          <w:kern w:val="0"/>
          <w:sz w:val="28"/>
          <w:szCs w:val="28"/>
          <w:lang w:eastAsia="zh-CN"/>
        </w:rPr>
        <w:t>资江</w:t>
      </w:r>
      <w:r>
        <w:rPr>
          <w:rFonts w:ascii="Times New Roman" w:hAnsi="Times New Roman" w:eastAsia="仿宋" w:cs="Times New Roman"/>
          <w:color w:val="auto"/>
          <w:kern w:val="0"/>
          <w:sz w:val="28"/>
          <w:szCs w:val="28"/>
        </w:rPr>
        <w:t>的渔业捕捞管理制度，保护河流生物多样性资源，为鱼类等提供栖息场所，形成良好的食物链。</w:t>
      </w:r>
    </w:p>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8</w:t>
      </w:r>
      <w:r>
        <w:rPr>
          <w:rFonts w:ascii="Times New Roman" w:hAnsi="Times New Roman" w:eastAsia="仿宋" w:cs="Times New Roman"/>
          <w:color w:val="auto"/>
          <w:kern w:val="0"/>
          <w:sz w:val="28"/>
          <w:szCs w:val="28"/>
        </w:rPr>
        <w:t>、加强</w:t>
      </w:r>
      <w:r>
        <w:rPr>
          <w:rFonts w:hint="eastAsia" w:ascii="Times New Roman" w:hAnsi="Times New Roman" w:eastAsia="仿宋" w:cs="Times New Roman"/>
          <w:color w:val="auto"/>
          <w:kern w:val="0"/>
          <w:sz w:val="28"/>
          <w:szCs w:val="28"/>
        </w:rPr>
        <w:t>监测</w:t>
      </w:r>
      <w:r>
        <w:rPr>
          <w:rFonts w:ascii="Times New Roman" w:hAnsi="Times New Roman" w:eastAsia="仿宋" w:cs="Times New Roman"/>
          <w:color w:val="auto"/>
          <w:kern w:val="0"/>
          <w:sz w:val="28"/>
          <w:szCs w:val="28"/>
        </w:rPr>
        <w:t xml:space="preserve"> </w:t>
      </w:r>
    </w:p>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结合水功能区监测工作，逐步开展水生态常年监测，对鱼类、硅藻等生物指标逐年进行监测并跟进变化情况，及时采取生物恢复措施</w:t>
      </w:r>
      <w:r>
        <w:rPr>
          <w:rFonts w:ascii="Times New Roman" w:hAnsi="Times New Roman" w:eastAsia="仿宋" w:cs="Times New Roman"/>
          <w:color w:val="auto"/>
          <w:kern w:val="0"/>
          <w:sz w:val="28"/>
          <w:szCs w:val="28"/>
        </w:rPr>
        <w:t xml:space="preserve">。 </w:t>
      </w:r>
    </w:p>
    <w:p>
      <w:pPr>
        <w:autoSpaceDE w:val="0"/>
        <w:autoSpaceDN w:val="0"/>
        <w:adjustRightInd w:val="0"/>
        <w:spacing w:line="360" w:lineRule="auto"/>
        <w:ind w:firstLine="560" w:firstLineChars="200"/>
        <w:rPr>
          <w:rFonts w:ascii="Times New Roman" w:hAnsi="Times New Roman" w:eastAsia="仿宋" w:cs="Times New Roman"/>
          <w:color w:val="auto"/>
          <w:kern w:val="0"/>
          <w:sz w:val="28"/>
          <w:szCs w:val="28"/>
        </w:rPr>
      </w:pPr>
      <w:r>
        <w:rPr>
          <w:rFonts w:ascii="Times New Roman" w:hAnsi="Times New Roman" w:eastAsia="仿宋" w:cs="Times New Roman"/>
          <w:color w:val="auto"/>
          <w:kern w:val="0"/>
          <w:sz w:val="28"/>
          <w:szCs w:val="28"/>
        </w:rPr>
        <w:t xml:space="preserve"> </w:t>
      </w:r>
    </w:p>
    <w:sectPr>
      <w:pgSz w:w="11906" w:h="16838"/>
      <w:pgMar w:top="1361" w:right="1361" w:bottom="1474" w:left="1418" w:header="1021" w:footer="964"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Times New Roman" w:hAnsi="Times New Roman" w:eastAsia="宋体" w:cs="Times New Roman"/>
        <w:sz w:val="18"/>
        <w:szCs w:val="18"/>
        <w:u w:val="single"/>
      </w:rPr>
    </w:pPr>
    <w:r>
      <w:rPr>
        <w:rFonts w:hint="eastAsia" w:ascii="Times New Roman" w:hAnsi="Times New Roman" w:eastAsia="宋体" w:cs="Times New Roman"/>
        <w:sz w:val="18"/>
        <w:szCs w:val="18"/>
        <w:u w:val="single"/>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Times New Roman" w:hAnsi="Times New Roman" w:eastAsia="宋体" w:cs="Times New Roman"/>
        <w:sz w:val="18"/>
        <w:szCs w:val="18"/>
        <w:u w:val="single"/>
      </w:rPr>
    </w:pPr>
    <w:r>
      <w:rPr>
        <w:rFonts w:hint="eastAsia" w:ascii="Times New Roman" w:hAnsi="Times New Roman" w:eastAsia="宋体" w:cs="Times New Roman"/>
        <w:sz w:val="18"/>
        <w:szCs w:val="18"/>
        <w:u w:val="single"/>
      </w:rPr>
      <w:t xml:space="preserve">                  </w:t>
    </w:r>
    <w:r>
      <w:rPr>
        <w:rFonts w:ascii="Times New Roman" w:hAnsi="Times New Roman" w:eastAsia="宋体" w:cs="Times New Roman"/>
        <w:sz w:val="18"/>
        <w:szCs w:val="18"/>
        <w:u w:val="single"/>
      </w:rPr>
      <w:drawing>
        <wp:inline distT="0" distB="0" distL="0" distR="0">
          <wp:extent cx="238125" cy="190500"/>
          <wp:effectExtent l="0" t="0" r="9525" b="0"/>
          <wp:docPr id="28" name="图片 28" descr="页眉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页眉黑白"/>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38125" cy="190500"/>
                  </a:xfrm>
                  <a:prstGeom prst="rect">
                    <a:avLst/>
                  </a:prstGeom>
                  <a:noFill/>
                  <a:ln>
                    <a:noFill/>
                  </a:ln>
                </pic:spPr>
              </pic:pic>
            </a:graphicData>
          </a:graphic>
        </wp:inline>
      </w:drawing>
    </w:r>
    <w:r>
      <w:rPr>
        <w:rFonts w:ascii="Times New Roman" w:hAnsi="Times New Roman" w:eastAsia="宋体" w:cs="Times New Roman"/>
        <w:sz w:val="18"/>
        <w:szCs w:val="18"/>
        <w:u w:val="single"/>
      </w:rPr>
      <w:t xml:space="preserve">  GLY  </w:t>
    </w:r>
    <w:r>
      <w:rPr>
        <w:rFonts w:hint="eastAsia" w:ascii="Times New Roman" w:hAnsi="Times New Roman" w:eastAsia="宋体" w:cs="Times New Roman"/>
        <w:sz w:val="18"/>
        <w:szCs w:val="18"/>
        <w:u w:val="single"/>
      </w:rPr>
      <w:t xml:space="preserve">                                                                                   </w:t>
    </w:r>
    <w:r>
      <w:rPr>
        <w:rFonts w:ascii="Times New Roman" w:hAnsi="Times New Roman" w:eastAsia="宋体" w:cs="Times New Roman"/>
        <w:sz w:val="18"/>
        <w:szCs w:val="18"/>
        <w:u w:val="single"/>
      </w:rPr>
      <w:t xml:space="preserve">    </w:t>
    </w:r>
    <w:r>
      <w:rPr>
        <w:rFonts w:hint="eastAsia" w:ascii="Times New Roman" w:hAnsi="Times New Roman" w:eastAsia="宋体" w:cs="Times New Roman"/>
        <w:sz w:val="18"/>
        <w:szCs w:val="18"/>
        <w:u w:val="single"/>
        <w:lang w:eastAsia="zh-CN"/>
      </w:rPr>
      <w:t>桂林兴源水利科技有限责任公司</w:t>
    </w:r>
    <w:r>
      <w:rPr>
        <w:rFonts w:hint="eastAsia" w:ascii="Times New Roman" w:hAnsi="Times New Roman" w:eastAsia="宋体" w:cs="Times New Roman"/>
        <w:sz w:val="18"/>
        <w:szCs w:val="18"/>
        <w:u w:val="single"/>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Times New Roman" w:hAnsi="Times New Roman" w:eastAsia="宋体" w:cs="Times New Roman"/>
        <w:sz w:val="18"/>
        <w:szCs w:val="18"/>
        <w:u w:val="single"/>
      </w:rPr>
    </w:pPr>
    <w:r>
      <w:rPr>
        <w:rFonts w:hint="eastAsia" w:ascii="Times New Roman" w:hAnsi="Times New Roman" w:eastAsia="宋体" w:cs="Times New Roman"/>
        <w:sz w:val="18"/>
        <w:szCs w:val="18"/>
        <w:u w:val="single"/>
      </w:rPr>
      <w:t xml:space="preserve">                </w:t>
    </w:r>
    <w:r>
      <w:rPr>
        <w:rFonts w:ascii="Times New Roman" w:hAnsi="Times New Roman" w:eastAsia="宋体" w:cs="Times New Roman"/>
        <w:sz w:val="18"/>
        <w:szCs w:val="18"/>
        <w:u w:val="single"/>
      </w:rPr>
      <w:drawing>
        <wp:inline distT="0" distB="0" distL="0" distR="0">
          <wp:extent cx="238125" cy="190500"/>
          <wp:effectExtent l="0" t="0" r="9525" b="0"/>
          <wp:docPr id="24" name="图片 24" descr="页眉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页眉黑白"/>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38125" cy="190500"/>
                  </a:xfrm>
                  <a:prstGeom prst="rect">
                    <a:avLst/>
                  </a:prstGeom>
                  <a:noFill/>
                  <a:ln>
                    <a:noFill/>
                  </a:ln>
                </pic:spPr>
              </pic:pic>
            </a:graphicData>
          </a:graphic>
        </wp:inline>
      </w:drawing>
    </w:r>
    <w:r>
      <w:rPr>
        <w:rFonts w:ascii="Times New Roman" w:hAnsi="Times New Roman" w:eastAsia="宋体" w:cs="Times New Roman"/>
        <w:sz w:val="18"/>
        <w:szCs w:val="18"/>
        <w:u w:val="single"/>
      </w:rPr>
      <w:t xml:space="preserve">  GLY  </w:t>
    </w:r>
    <w:r>
      <w:rPr>
        <w:rFonts w:hint="eastAsia" w:ascii="Times New Roman" w:hAnsi="Times New Roman" w:eastAsia="宋体" w:cs="Times New Roman"/>
        <w:sz w:val="18"/>
        <w:szCs w:val="18"/>
        <w:u w:val="single"/>
      </w:rPr>
      <w:t xml:space="preserve">                              </w:t>
    </w:r>
    <w:r>
      <w:rPr>
        <w:rFonts w:ascii="Times New Roman" w:hAnsi="Times New Roman" w:eastAsia="宋体" w:cs="Times New Roman"/>
        <w:sz w:val="18"/>
        <w:szCs w:val="18"/>
        <w:u w:val="single"/>
      </w:rPr>
      <w:t xml:space="preserve">    </w:t>
    </w:r>
    <w:r>
      <w:rPr>
        <w:rFonts w:hint="eastAsia" w:ascii="Times New Roman" w:hAnsi="Times New Roman" w:eastAsia="宋体" w:cs="Times New Roman"/>
        <w:sz w:val="18"/>
        <w:szCs w:val="18"/>
        <w:u w:val="single"/>
        <w:lang w:eastAsia="zh-CN"/>
      </w:rPr>
      <w:t>桂林兴源水利科技有限责任公司</w:t>
    </w:r>
    <w:r>
      <w:rPr>
        <w:rFonts w:hint="eastAsia" w:ascii="Times New Roman" w:hAnsi="Times New Roman" w:eastAsia="宋体" w:cs="Times New Roman"/>
        <w:sz w:val="18"/>
        <w:szCs w:val="18"/>
        <w:u w:val="single"/>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Times New Roman" w:hAnsi="Times New Roman" w:eastAsia="宋体" w:cs="Times New Roman"/>
        <w:sz w:val="18"/>
        <w:szCs w:val="18"/>
        <w:u w:val="single"/>
      </w:rPr>
    </w:pPr>
    <w:r>
      <w:rPr>
        <w:rFonts w:hint="eastAsia" w:ascii="Times New Roman" w:hAnsi="Times New Roman" w:eastAsia="宋体" w:cs="Times New Roman"/>
        <w:sz w:val="18"/>
        <w:szCs w:val="18"/>
        <w:u w:val="single"/>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Times New Roman" w:hAnsi="Times New Roman" w:eastAsia="宋体" w:cs="Times New Roman"/>
        <w:sz w:val="18"/>
        <w:szCs w:val="18"/>
        <w:u w:val="single"/>
      </w:rPr>
    </w:pPr>
    <w:r>
      <w:rPr>
        <w:rFonts w:hint="eastAsia" w:ascii="Times New Roman" w:hAnsi="Times New Roman" w:eastAsia="宋体" w:cs="Times New Roman"/>
        <w:sz w:val="18"/>
        <w:szCs w:val="18"/>
        <w:u w:val="single"/>
      </w:rPr>
      <w:t xml:space="preserve">                </w:t>
    </w:r>
    <w:r>
      <w:rPr>
        <w:rFonts w:ascii="Times New Roman" w:hAnsi="Times New Roman" w:eastAsia="宋体" w:cs="Times New Roman"/>
        <w:sz w:val="18"/>
        <w:szCs w:val="18"/>
        <w:u w:val="single"/>
      </w:rPr>
      <w:drawing>
        <wp:inline distT="0" distB="0" distL="0" distR="0">
          <wp:extent cx="238125" cy="190500"/>
          <wp:effectExtent l="0" t="0" r="9525" b="0"/>
          <wp:docPr id="34" name="图片 34" descr="页眉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页眉黑白"/>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38125" cy="190500"/>
                  </a:xfrm>
                  <a:prstGeom prst="rect">
                    <a:avLst/>
                  </a:prstGeom>
                  <a:noFill/>
                  <a:ln>
                    <a:noFill/>
                  </a:ln>
                </pic:spPr>
              </pic:pic>
            </a:graphicData>
          </a:graphic>
        </wp:inline>
      </w:drawing>
    </w:r>
    <w:r>
      <w:rPr>
        <w:rFonts w:ascii="Times New Roman" w:hAnsi="Times New Roman" w:eastAsia="宋体" w:cs="Times New Roman"/>
        <w:sz w:val="18"/>
        <w:szCs w:val="18"/>
        <w:u w:val="single"/>
      </w:rPr>
      <w:t xml:space="preserve">  GLY  </w:t>
    </w:r>
    <w:r>
      <w:rPr>
        <w:rFonts w:hint="eastAsia" w:ascii="Times New Roman" w:hAnsi="Times New Roman" w:eastAsia="宋体" w:cs="Times New Roman"/>
        <w:sz w:val="18"/>
        <w:szCs w:val="18"/>
        <w:u w:val="single"/>
      </w:rPr>
      <w:t xml:space="preserve">                       </w:t>
    </w:r>
    <w:r>
      <w:rPr>
        <w:rFonts w:ascii="Times New Roman" w:hAnsi="Times New Roman" w:eastAsia="宋体" w:cs="Times New Roman"/>
        <w:sz w:val="18"/>
        <w:szCs w:val="18"/>
        <w:u w:val="single"/>
      </w:rPr>
      <w:t xml:space="preserve"> </w:t>
    </w:r>
    <w:r>
      <w:rPr>
        <w:rFonts w:hint="eastAsia" w:ascii="Times New Roman" w:hAnsi="Times New Roman" w:eastAsia="宋体" w:cs="Times New Roman"/>
        <w:sz w:val="18"/>
        <w:szCs w:val="18"/>
        <w:u w:val="single"/>
      </w:rPr>
      <w:t xml:space="preserve">                                                       </w:t>
    </w:r>
    <w:r>
      <w:rPr>
        <w:rFonts w:ascii="Times New Roman" w:hAnsi="Times New Roman" w:eastAsia="宋体" w:cs="Times New Roman"/>
        <w:sz w:val="18"/>
        <w:szCs w:val="18"/>
        <w:u w:val="single"/>
      </w:rPr>
      <w:t xml:space="preserve">   </w:t>
    </w:r>
    <w:r>
      <w:rPr>
        <w:rFonts w:hint="eastAsia" w:ascii="Times New Roman" w:hAnsi="Times New Roman" w:eastAsia="宋体" w:cs="Times New Roman"/>
        <w:sz w:val="18"/>
        <w:szCs w:val="18"/>
        <w:u w:val="single"/>
        <w:lang w:eastAsia="zh-CN"/>
      </w:rPr>
      <w:t>桂林兴源水利科技有限责任公司</w:t>
    </w:r>
    <w:r>
      <w:rPr>
        <w:rFonts w:hint="eastAsia" w:ascii="Times New Roman" w:hAnsi="Times New Roman" w:eastAsia="宋体" w:cs="Times New Roman"/>
        <w:sz w:val="18"/>
        <w:szCs w:val="18"/>
        <w:u w:val="single"/>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Times New Roman" w:hAnsi="Times New Roman" w:eastAsia="宋体" w:cs="Times New Roman"/>
        <w:sz w:val="18"/>
        <w:szCs w:val="18"/>
        <w:u w:val="single"/>
      </w:rPr>
    </w:pPr>
    <w:r>
      <w:rPr>
        <w:rFonts w:hint="eastAsia" w:ascii="Times New Roman" w:hAnsi="Times New Roman" w:eastAsia="宋体" w:cs="Times New Roman"/>
        <w:sz w:val="18"/>
        <w:szCs w:val="18"/>
        <w:u w:val="single"/>
      </w:rPr>
      <w:t xml:space="preserve">                  </w:t>
    </w:r>
    <w:r>
      <w:rPr>
        <w:rFonts w:ascii="Times New Roman" w:hAnsi="Times New Roman" w:eastAsia="宋体" w:cs="Times New Roman"/>
        <w:sz w:val="18"/>
        <w:szCs w:val="18"/>
        <w:u w:val="single"/>
      </w:rPr>
      <w:drawing>
        <wp:inline distT="0" distB="0" distL="0" distR="0">
          <wp:extent cx="238125" cy="190500"/>
          <wp:effectExtent l="0" t="0" r="9525" b="0"/>
          <wp:docPr id="20" name="图片 20" descr="页眉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页眉黑白"/>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38125" cy="190500"/>
                  </a:xfrm>
                  <a:prstGeom prst="rect">
                    <a:avLst/>
                  </a:prstGeom>
                  <a:noFill/>
                  <a:ln>
                    <a:noFill/>
                  </a:ln>
                </pic:spPr>
              </pic:pic>
            </a:graphicData>
          </a:graphic>
        </wp:inline>
      </w:drawing>
    </w:r>
    <w:r>
      <w:rPr>
        <w:rFonts w:ascii="Times New Roman" w:hAnsi="Times New Roman" w:eastAsia="宋体" w:cs="Times New Roman"/>
        <w:sz w:val="18"/>
        <w:szCs w:val="18"/>
        <w:u w:val="single"/>
      </w:rPr>
      <w:t xml:space="preserve">  GLY  </w:t>
    </w:r>
    <w:r>
      <w:rPr>
        <w:rFonts w:hint="eastAsia" w:ascii="Times New Roman" w:hAnsi="Times New Roman" w:eastAsia="宋体" w:cs="Times New Roman"/>
        <w:sz w:val="18"/>
        <w:szCs w:val="18"/>
        <w:u w:val="single"/>
      </w:rPr>
      <w:t xml:space="preserve">                          </w:t>
    </w:r>
    <w:r>
      <w:rPr>
        <w:rFonts w:ascii="Times New Roman" w:hAnsi="Times New Roman" w:eastAsia="宋体" w:cs="Times New Roman"/>
        <w:sz w:val="18"/>
        <w:szCs w:val="18"/>
        <w:u w:val="single"/>
      </w:rPr>
      <w:t xml:space="preserve">    </w:t>
    </w:r>
    <w:r>
      <w:rPr>
        <w:rFonts w:hint="eastAsia" w:ascii="Times New Roman" w:hAnsi="Times New Roman" w:eastAsia="宋体" w:cs="Times New Roman"/>
        <w:sz w:val="18"/>
        <w:szCs w:val="18"/>
        <w:u w:val="single"/>
        <w:lang w:eastAsia="zh-CN"/>
      </w:rPr>
      <w:t>桂林兴源水利科技有限责任公司</w:t>
    </w:r>
    <w:r>
      <w:rPr>
        <w:rFonts w:hint="eastAsia" w:ascii="Times New Roman" w:hAnsi="Times New Roman" w:eastAsia="宋体" w:cs="Times New Roman"/>
        <w:sz w:val="18"/>
        <w:szCs w:val="18"/>
        <w:u w:val="single"/>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Times New Roman" w:hAnsi="Times New Roman" w:eastAsia="宋体" w:cs="Times New Roman"/>
        <w:sz w:val="18"/>
        <w:szCs w:val="18"/>
        <w:u w:val="single"/>
      </w:rPr>
    </w:pPr>
    <w:r>
      <w:rPr>
        <w:rFonts w:hint="eastAsia" w:ascii="Times New Roman" w:hAnsi="Times New Roman" w:eastAsia="宋体" w:cs="Times New Roman"/>
        <w:sz w:val="18"/>
        <w:szCs w:val="18"/>
        <w:u w:val="single"/>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Times New Roman" w:hAnsi="Times New Roman" w:eastAsia="宋体" w:cs="Times New Roman"/>
        <w:sz w:val="18"/>
        <w:szCs w:val="18"/>
        <w:u w:val="single"/>
      </w:rPr>
    </w:pPr>
    <w:r>
      <w:rPr>
        <w:rFonts w:hint="eastAsia" w:ascii="Times New Roman" w:hAnsi="Times New Roman" w:eastAsia="宋体" w:cs="Times New Roman"/>
        <w:sz w:val="18"/>
        <w:szCs w:val="18"/>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Times New Roman" w:hAnsi="Times New Roman" w:eastAsia="宋体" w:cs="Times New Roman"/>
        <w:sz w:val="18"/>
        <w:szCs w:val="18"/>
        <w:u w:val="single"/>
      </w:rPr>
    </w:pPr>
    <w:r>
      <w:rPr>
        <w:rFonts w:hint="eastAsia" w:ascii="Times New Roman" w:hAnsi="Times New Roman" w:eastAsia="宋体" w:cs="Times New Roman"/>
        <w:sz w:val="18"/>
        <w:szCs w:val="18"/>
        <w:u w:val="singl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Times New Roman" w:hAnsi="Times New Roman" w:eastAsia="宋体" w:cs="Times New Roman"/>
        <w:sz w:val="18"/>
        <w:szCs w:val="18"/>
        <w:u w:val="single"/>
      </w:rPr>
    </w:pPr>
    <w:r>
      <w:rPr>
        <w:rFonts w:hint="eastAsia" w:ascii="Times New Roman" w:hAnsi="Times New Roman" w:eastAsia="宋体" w:cs="Times New Roman"/>
        <w:sz w:val="18"/>
        <w:szCs w:val="18"/>
        <w:u w:val="single"/>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Times New Roman" w:hAnsi="Times New Roman" w:eastAsia="宋体" w:cs="Times New Roman"/>
        <w:sz w:val="18"/>
        <w:szCs w:val="18"/>
        <w:u w:val="single"/>
      </w:rPr>
    </w:pPr>
    <w:r>
      <w:rPr>
        <w:rFonts w:hint="eastAsia" w:ascii="Times New Roman" w:hAnsi="Times New Roman" w:eastAsia="宋体" w:cs="Times New Roman"/>
        <w:sz w:val="18"/>
        <w:szCs w:val="18"/>
        <w:u w:val="single"/>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Times New Roman" w:hAnsi="Times New Roman" w:eastAsia="宋体" w:cs="Times New Roman"/>
        <w:sz w:val="18"/>
        <w:szCs w:val="18"/>
        <w:u w:val="single"/>
      </w:rPr>
    </w:pPr>
    <w:r>
      <w:rPr>
        <w:rFonts w:hint="eastAsia" w:ascii="Times New Roman" w:hAnsi="Times New Roman" w:eastAsia="宋体" w:cs="Times New Roman"/>
        <w:sz w:val="18"/>
        <w:szCs w:val="18"/>
        <w:u w:val="single"/>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Times New Roman" w:hAnsi="Times New Roman" w:eastAsia="宋体" w:cs="Times New Roman"/>
        <w:sz w:val="18"/>
        <w:szCs w:val="18"/>
        <w:u w:val="single"/>
      </w:rPr>
    </w:pPr>
    <w:r>
      <w:rPr>
        <w:rFonts w:hint="eastAsia" w:ascii="Times New Roman" w:hAnsi="Times New Roman" w:eastAsia="宋体" w:cs="Times New Roman"/>
        <w:sz w:val="18"/>
        <w:szCs w:val="18"/>
        <w:u w:val="single"/>
      </w:rPr>
      <w:t xml:space="preserve">                  </w:t>
    </w:r>
    <w:r>
      <w:rPr>
        <w:rFonts w:ascii="Times New Roman" w:hAnsi="Times New Roman" w:eastAsia="宋体" w:cs="Times New Roman"/>
        <w:sz w:val="18"/>
        <w:szCs w:val="18"/>
        <w:u w:val="single"/>
      </w:rPr>
      <w:drawing>
        <wp:inline distT="0" distB="0" distL="0" distR="0">
          <wp:extent cx="238125" cy="190500"/>
          <wp:effectExtent l="0" t="0" r="9525" b="0"/>
          <wp:docPr id="38" name="图片 38" descr="页眉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页眉黑白"/>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38125" cy="190500"/>
                  </a:xfrm>
                  <a:prstGeom prst="rect">
                    <a:avLst/>
                  </a:prstGeom>
                  <a:noFill/>
                  <a:ln>
                    <a:noFill/>
                  </a:ln>
                </pic:spPr>
              </pic:pic>
            </a:graphicData>
          </a:graphic>
        </wp:inline>
      </w:drawing>
    </w:r>
    <w:r>
      <w:rPr>
        <w:rFonts w:ascii="Times New Roman" w:hAnsi="Times New Roman" w:eastAsia="宋体" w:cs="Times New Roman"/>
        <w:sz w:val="18"/>
        <w:szCs w:val="18"/>
        <w:u w:val="single"/>
      </w:rPr>
      <w:t xml:space="preserve">  GLY  </w:t>
    </w:r>
    <w:r>
      <w:rPr>
        <w:rFonts w:hint="eastAsia" w:ascii="Times New Roman" w:hAnsi="Times New Roman" w:eastAsia="宋体" w:cs="Times New Roman"/>
        <w:sz w:val="18"/>
        <w:szCs w:val="18"/>
        <w:u w:val="single"/>
      </w:rPr>
      <w:t xml:space="preserve">                                                                                     </w:t>
    </w:r>
    <w:r>
      <w:rPr>
        <w:rFonts w:ascii="Times New Roman" w:hAnsi="Times New Roman" w:eastAsia="宋体" w:cs="Times New Roman"/>
        <w:sz w:val="18"/>
        <w:szCs w:val="18"/>
        <w:u w:val="single"/>
      </w:rPr>
      <w:t xml:space="preserve">    </w:t>
    </w:r>
    <w:r>
      <w:rPr>
        <w:rFonts w:hint="eastAsia" w:ascii="Times New Roman" w:hAnsi="Times New Roman" w:eastAsia="宋体" w:cs="Times New Roman"/>
        <w:sz w:val="18"/>
        <w:szCs w:val="18"/>
        <w:u w:val="single"/>
        <w:lang w:eastAsia="zh-CN"/>
      </w:rPr>
      <w:t>桂林兴源水利科技有限责任公司</w:t>
    </w:r>
    <w:r>
      <w:rPr>
        <w:rFonts w:hint="eastAsia" w:ascii="Times New Roman" w:hAnsi="Times New Roman" w:eastAsia="宋体" w:cs="Times New Roman"/>
        <w:sz w:val="18"/>
        <w:szCs w:val="18"/>
        <w:u w:val="single"/>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Times New Roman" w:hAnsi="Times New Roman" w:eastAsia="宋体" w:cs="Times New Roman"/>
        <w:sz w:val="18"/>
        <w:szCs w:val="18"/>
        <w:u w:val="single"/>
      </w:rPr>
    </w:pPr>
    <w:r>
      <w:rPr>
        <w:rFonts w:hint="eastAsia" w:ascii="Times New Roman" w:hAnsi="Times New Roman" w:eastAsia="宋体" w:cs="Times New Roman"/>
        <w:sz w:val="18"/>
        <w:szCs w:val="18"/>
        <w:u w:val="single"/>
      </w:rPr>
      <w:t xml:space="preserve">                  </w:t>
    </w:r>
    <w:r>
      <w:rPr>
        <w:rFonts w:ascii="Times New Roman" w:hAnsi="Times New Roman" w:eastAsia="宋体" w:cs="Times New Roman"/>
        <w:sz w:val="18"/>
        <w:szCs w:val="18"/>
        <w:u w:val="single"/>
      </w:rPr>
      <w:drawing>
        <wp:inline distT="0" distB="0" distL="0" distR="0">
          <wp:extent cx="238125" cy="190500"/>
          <wp:effectExtent l="0" t="0" r="9525" b="0"/>
          <wp:docPr id="39" name="图片 39" descr="页眉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页眉黑白"/>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38125" cy="190500"/>
                  </a:xfrm>
                  <a:prstGeom prst="rect">
                    <a:avLst/>
                  </a:prstGeom>
                  <a:noFill/>
                  <a:ln>
                    <a:noFill/>
                  </a:ln>
                </pic:spPr>
              </pic:pic>
            </a:graphicData>
          </a:graphic>
        </wp:inline>
      </w:drawing>
    </w:r>
    <w:r>
      <w:rPr>
        <w:rFonts w:ascii="Times New Roman" w:hAnsi="Times New Roman" w:eastAsia="宋体" w:cs="Times New Roman"/>
        <w:sz w:val="18"/>
        <w:szCs w:val="18"/>
        <w:u w:val="single"/>
      </w:rPr>
      <w:t xml:space="preserve">  GLY  </w:t>
    </w:r>
    <w:r>
      <w:rPr>
        <w:rFonts w:hint="eastAsia" w:ascii="Times New Roman" w:hAnsi="Times New Roman" w:eastAsia="宋体" w:cs="Times New Roman"/>
        <w:sz w:val="18"/>
        <w:szCs w:val="18"/>
        <w:u w:val="single"/>
      </w:rPr>
      <w:t xml:space="preserve">                          </w:t>
    </w:r>
    <w:r>
      <w:rPr>
        <w:rFonts w:ascii="Times New Roman" w:hAnsi="Times New Roman" w:eastAsia="宋体" w:cs="Times New Roman"/>
        <w:sz w:val="18"/>
        <w:szCs w:val="18"/>
        <w:u w:val="single"/>
      </w:rPr>
      <w:t xml:space="preserve">    </w:t>
    </w:r>
    <w:r>
      <w:rPr>
        <w:rFonts w:hint="eastAsia" w:ascii="Times New Roman" w:hAnsi="Times New Roman" w:eastAsia="宋体" w:cs="Times New Roman"/>
        <w:sz w:val="18"/>
        <w:szCs w:val="18"/>
        <w:u w:val="single"/>
        <w:lang w:eastAsia="zh-CN"/>
      </w:rPr>
      <w:t>桂林兴源水利科技有限责任公司</w:t>
    </w:r>
    <w:r>
      <w:rPr>
        <w:rFonts w:hint="eastAsia" w:ascii="Times New Roman" w:hAnsi="Times New Roman" w:eastAsia="宋体" w:cs="Times New Roman"/>
        <w:sz w:val="18"/>
        <w:szCs w:val="18"/>
        <w:u w:val="single"/>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Times New Roman" w:hAnsi="Times New Roman" w:eastAsia="宋体" w:cs="Times New Roman"/>
        <w:sz w:val="18"/>
        <w:szCs w:val="18"/>
        <w:u w:val="single"/>
      </w:rPr>
    </w:pPr>
    <w:r>
      <w:rPr>
        <w:rFonts w:hint="eastAsia" w:ascii="Times New Roman" w:hAnsi="Times New Roman" w:eastAsia="宋体" w:cs="Times New Roman"/>
        <w:sz w:val="18"/>
        <w:szCs w:val="18"/>
        <w:u w:val="single"/>
      </w:rPr>
      <w:t xml:space="preserve">                  </w:t>
    </w:r>
    <w:r>
      <w:rPr>
        <w:rFonts w:ascii="Times New Roman" w:hAnsi="Times New Roman" w:eastAsia="宋体" w:cs="Times New Roman"/>
        <w:sz w:val="18"/>
        <w:szCs w:val="18"/>
        <w:u w:val="single"/>
      </w:rPr>
      <w:drawing>
        <wp:inline distT="0" distB="0" distL="0" distR="0">
          <wp:extent cx="238125" cy="190500"/>
          <wp:effectExtent l="0" t="0" r="9525" b="0"/>
          <wp:docPr id="21" name="图片 21" descr="页眉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页眉黑白"/>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38125" cy="190500"/>
                  </a:xfrm>
                  <a:prstGeom prst="rect">
                    <a:avLst/>
                  </a:prstGeom>
                  <a:noFill/>
                  <a:ln>
                    <a:noFill/>
                  </a:ln>
                </pic:spPr>
              </pic:pic>
            </a:graphicData>
          </a:graphic>
        </wp:inline>
      </w:drawing>
    </w:r>
    <w:r>
      <w:rPr>
        <w:rFonts w:ascii="Times New Roman" w:hAnsi="Times New Roman" w:eastAsia="宋体" w:cs="Times New Roman"/>
        <w:sz w:val="18"/>
        <w:szCs w:val="18"/>
        <w:u w:val="single"/>
      </w:rPr>
      <w:t xml:space="preserve">  GLY  </w:t>
    </w:r>
    <w:r>
      <w:rPr>
        <w:rFonts w:hint="eastAsia" w:ascii="Times New Roman" w:hAnsi="Times New Roman" w:eastAsia="宋体" w:cs="Times New Roman"/>
        <w:sz w:val="18"/>
        <w:szCs w:val="18"/>
        <w:u w:val="single"/>
      </w:rPr>
      <w:t xml:space="preserve">                                                                              </w:t>
    </w:r>
    <w:r>
      <w:rPr>
        <w:rFonts w:ascii="Times New Roman" w:hAnsi="Times New Roman" w:eastAsia="宋体" w:cs="Times New Roman"/>
        <w:sz w:val="18"/>
        <w:szCs w:val="18"/>
        <w:u w:val="single"/>
      </w:rPr>
      <w:t xml:space="preserve">    </w:t>
    </w:r>
    <w:r>
      <w:rPr>
        <w:rFonts w:hint="eastAsia" w:ascii="Times New Roman" w:hAnsi="Times New Roman" w:eastAsia="宋体" w:cs="Times New Roman"/>
        <w:sz w:val="18"/>
        <w:szCs w:val="18"/>
        <w:u w:val="single"/>
        <w:lang w:eastAsia="zh-CN"/>
      </w:rPr>
      <w:t>桂林兴源水利科技有限责任公司</w:t>
    </w:r>
    <w:r>
      <w:rPr>
        <w:rFonts w:hint="eastAsia" w:ascii="Times New Roman" w:hAnsi="Times New Roman" w:eastAsia="宋体" w:cs="Times New Roman"/>
        <w:sz w:val="18"/>
        <w:szCs w:val="18"/>
        <w:u w:val="single"/>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Times New Roman" w:hAnsi="Times New Roman" w:eastAsia="宋体" w:cs="Times New Roman"/>
        <w:sz w:val="18"/>
        <w:szCs w:val="18"/>
        <w:u w:val="single"/>
      </w:rPr>
    </w:pPr>
    <w:r>
      <w:rPr>
        <w:rFonts w:hint="eastAsia" w:ascii="Times New Roman" w:hAnsi="Times New Roman" w:eastAsia="宋体" w:cs="Times New Roman"/>
        <w:sz w:val="18"/>
        <w:szCs w:val="18"/>
        <w:u w:val="single"/>
      </w:rPr>
      <w:t xml:space="preserve">                  </w:t>
    </w:r>
    <w:r>
      <w:rPr>
        <w:rFonts w:ascii="Times New Roman" w:hAnsi="Times New Roman" w:eastAsia="宋体" w:cs="Times New Roman"/>
        <w:sz w:val="18"/>
        <w:szCs w:val="18"/>
        <w:u w:val="single"/>
      </w:rPr>
      <w:drawing>
        <wp:inline distT="0" distB="0" distL="0" distR="0">
          <wp:extent cx="238125" cy="190500"/>
          <wp:effectExtent l="0" t="0" r="9525" b="0"/>
          <wp:docPr id="26" name="图片 26" descr="页眉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页眉黑白"/>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38125" cy="190500"/>
                  </a:xfrm>
                  <a:prstGeom prst="rect">
                    <a:avLst/>
                  </a:prstGeom>
                  <a:noFill/>
                  <a:ln>
                    <a:noFill/>
                  </a:ln>
                </pic:spPr>
              </pic:pic>
            </a:graphicData>
          </a:graphic>
        </wp:inline>
      </w:drawing>
    </w:r>
    <w:r>
      <w:rPr>
        <w:rFonts w:ascii="Times New Roman" w:hAnsi="Times New Roman" w:eastAsia="宋体" w:cs="Times New Roman"/>
        <w:sz w:val="18"/>
        <w:szCs w:val="18"/>
        <w:u w:val="single"/>
      </w:rPr>
      <w:t xml:space="preserve">  GLY  </w:t>
    </w:r>
    <w:r>
      <w:rPr>
        <w:rFonts w:hint="eastAsia" w:ascii="Times New Roman" w:hAnsi="Times New Roman" w:eastAsia="宋体" w:cs="Times New Roman"/>
        <w:sz w:val="18"/>
        <w:szCs w:val="18"/>
        <w:u w:val="single"/>
      </w:rPr>
      <w:t xml:space="preserve">                                 </w:t>
    </w:r>
    <w:r>
      <w:rPr>
        <w:rFonts w:ascii="Times New Roman" w:hAnsi="Times New Roman" w:eastAsia="宋体" w:cs="Times New Roman"/>
        <w:sz w:val="18"/>
        <w:szCs w:val="18"/>
        <w:u w:val="single"/>
      </w:rPr>
      <w:t xml:space="preserve">    </w:t>
    </w:r>
    <w:r>
      <w:rPr>
        <w:rFonts w:hint="eastAsia" w:ascii="Times New Roman" w:hAnsi="Times New Roman" w:eastAsia="宋体" w:cs="Times New Roman"/>
        <w:sz w:val="18"/>
        <w:szCs w:val="18"/>
        <w:u w:val="single"/>
        <w:lang w:eastAsia="zh-CN"/>
      </w:rPr>
      <w:t>桂林兴源水利科技有限责任公司</w:t>
    </w:r>
    <w:r>
      <w:rPr>
        <w:rFonts w:hint="eastAsia" w:ascii="Times New Roman" w:hAnsi="Times New Roman" w:eastAsia="宋体" w:cs="Times New Roman"/>
        <w:sz w:val="18"/>
        <w:szCs w:val="18"/>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982987"/>
    <w:multiLevelType w:val="singleLevel"/>
    <w:tmpl w:val="8B982987"/>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characterSpacingControl w:val="doNotCompress"/>
  <w:footnotePr>
    <w:footnote w:id="0"/>
    <w:footnote w:id="1"/>
  </w:footnotePr>
  <w:endnotePr>
    <w:endnote w:id="0"/>
    <w:endnote w:id="1"/>
  </w:endnotePr>
  <w:compat>
    <w:useFELayout/>
    <w:compatSetting w:name="compatibilityMode" w:uri="http://schemas.microsoft.com/office/word" w:val="12"/>
  </w:compat>
  <w:docVars>
    <w:docVar w:name="commondata" w:val="eyJoZGlkIjoiYTA5NTZiZTFmYzM1YTUxYjJmZTQxMmM4ZGJjYzk1MDUifQ=="/>
  </w:docVars>
  <w:rsids>
    <w:rsidRoot w:val="00701BF3"/>
    <w:rsid w:val="000067A3"/>
    <w:rsid w:val="0002019E"/>
    <w:rsid w:val="00053583"/>
    <w:rsid w:val="00062AA8"/>
    <w:rsid w:val="00071E42"/>
    <w:rsid w:val="00073B73"/>
    <w:rsid w:val="000819A0"/>
    <w:rsid w:val="00084EC2"/>
    <w:rsid w:val="000A4763"/>
    <w:rsid w:val="000A54E4"/>
    <w:rsid w:val="000D3D7C"/>
    <w:rsid w:val="000D718B"/>
    <w:rsid w:val="000E1B3E"/>
    <w:rsid w:val="000E47E4"/>
    <w:rsid w:val="000E50E6"/>
    <w:rsid w:val="00101157"/>
    <w:rsid w:val="0011133F"/>
    <w:rsid w:val="00111AB3"/>
    <w:rsid w:val="00114469"/>
    <w:rsid w:val="00120C5D"/>
    <w:rsid w:val="00124B80"/>
    <w:rsid w:val="00140504"/>
    <w:rsid w:val="0014518E"/>
    <w:rsid w:val="00150B97"/>
    <w:rsid w:val="001528D6"/>
    <w:rsid w:val="00152D26"/>
    <w:rsid w:val="0015343B"/>
    <w:rsid w:val="00154F20"/>
    <w:rsid w:val="0015741A"/>
    <w:rsid w:val="00164A77"/>
    <w:rsid w:val="00167E61"/>
    <w:rsid w:val="001A1AB2"/>
    <w:rsid w:val="001A1D2E"/>
    <w:rsid w:val="001A32E1"/>
    <w:rsid w:val="001A46E4"/>
    <w:rsid w:val="001B0478"/>
    <w:rsid w:val="001B19BE"/>
    <w:rsid w:val="001B3ACE"/>
    <w:rsid w:val="001C50C1"/>
    <w:rsid w:val="001C6189"/>
    <w:rsid w:val="001D60C4"/>
    <w:rsid w:val="001E1563"/>
    <w:rsid w:val="001E5028"/>
    <w:rsid w:val="00211119"/>
    <w:rsid w:val="002239D7"/>
    <w:rsid w:val="002275F8"/>
    <w:rsid w:val="002371F4"/>
    <w:rsid w:val="0024105A"/>
    <w:rsid w:val="00245CA6"/>
    <w:rsid w:val="002548F6"/>
    <w:rsid w:val="0028171E"/>
    <w:rsid w:val="00282191"/>
    <w:rsid w:val="00286A9C"/>
    <w:rsid w:val="002870AF"/>
    <w:rsid w:val="00287474"/>
    <w:rsid w:val="0029326E"/>
    <w:rsid w:val="00297FE4"/>
    <w:rsid w:val="002B13C6"/>
    <w:rsid w:val="002B4861"/>
    <w:rsid w:val="002E4490"/>
    <w:rsid w:val="00301100"/>
    <w:rsid w:val="00314399"/>
    <w:rsid w:val="0031447E"/>
    <w:rsid w:val="003175DE"/>
    <w:rsid w:val="00317FA9"/>
    <w:rsid w:val="0032442A"/>
    <w:rsid w:val="00330660"/>
    <w:rsid w:val="0034059B"/>
    <w:rsid w:val="00352995"/>
    <w:rsid w:val="003779F5"/>
    <w:rsid w:val="003B1122"/>
    <w:rsid w:val="003B1AFB"/>
    <w:rsid w:val="003B251B"/>
    <w:rsid w:val="003C0BEF"/>
    <w:rsid w:val="003C1DD5"/>
    <w:rsid w:val="003C30B4"/>
    <w:rsid w:val="003C639C"/>
    <w:rsid w:val="003D0603"/>
    <w:rsid w:val="003F62AB"/>
    <w:rsid w:val="0040346B"/>
    <w:rsid w:val="004411D7"/>
    <w:rsid w:val="00444C38"/>
    <w:rsid w:val="00445F6B"/>
    <w:rsid w:val="0045444E"/>
    <w:rsid w:val="00455B32"/>
    <w:rsid w:val="00460FEE"/>
    <w:rsid w:val="00476AD9"/>
    <w:rsid w:val="0048142A"/>
    <w:rsid w:val="00492CB1"/>
    <w:rsid w:val="004930D1"/>
    <w:rsid w:val="00494838"/>
    <w:rsid w:val="004C1FB8"/>
    <w:rsid w:val="004D0132"/>
    <w:rsid w:val="004D178F"/>
    <w:rsid w:val="004E1FB3"/>
    <w:rsid w:val="004E3FDE"/>
    <w:rsid w:val="004F1280"/>
    <w:rsid w:val="004F2C03"/>
    <w:rsid w:val="004F52AA"/>
    <w:rsid w:val="004F71D5"/>
    <w:rsid w:val="00505200"/>
    <w:rsid w:val="00513F2A"/>
    <w:rsid w:val="00525F8F"/>
    <w:rsid w:val="0054044B"/>
    <w:rsid w:val="005453EA"/>
    <w:rsid w:val="0054799E"/>
    <w:rsid w:val="005562A1"/>
    <w:rsid w:val="005636B3"/>
    <w:rsid w:val="0057496D"/>
    <w:rsid w:val="00576AE7"/>
    <w:rsid w:val="00585F37"/>
    <w:rsid w:val="00595DAD"/>
    <w:rsid w:val="005966B7"/>
    <w:rsid w:val="005A4E3E"/>
    <w:rsid w:val="005B3122"/>
    <w:rsid w:val="005B7D40"/>
    <w:rsid w:val="005C6893"/>
    <w:rsid w:val="005C7348"/>
    <w:rsid w:val="005D17E3"/>
    <w:rsid w:val="005E0D39"/>
    <w:rsid w:val="005E663C"/>
    <w:rsid w:val="005E6842"/>
    <w:rsid w:val="005F163D"/>
    <w:rsid w:val="005F3463"/>
    <w:rsid w:val="00607457"/>
    <w:rsid w:val="00610089"/>
    <w:rsid w:val="00615C17"/>
    <w:rsid w:val="0062687E"/>
    <w:rsid w:val="00641101"/>
    <w:rsid w:val="006442C4"/>
    <w:rsid w:val="00644588"/>
    <w:rsid w:val="006451AC"/>
    <w:rsid w:val="00654B40"/>
    <w:rsid w:val="0066354F"/>
    <w:rsid w:val="006711D5"/>
    <w:rsid w:val="00680EB6"/>
    <w:rsid w:val="006845B6"/>
    <w:rsid w:val="00695334"/>
    <w:rsid w:val="006A7872"/>
    <w:rsid w:val="00701BF3"/>
    <w:rsid w:val="00702765"/>
    <w:rsid w:val="00707B2B"/>
    <w:rsid w:val="007129BB"/>
    <w:rsid w:val="007163B7"/>
    <w:rsid w:val="00724F1B"/>
    <w:rsid w:val="007253CD"/>
    <w:rsid w:val="00726E65"/>
    <w:rsid w:val="00734DC3"/>
    <w:rsid w:val="007366BD"/>
    <w:rsid w:val="00741EBF"/>
    <w:rsid w:val="007510B4"/>
    <w:rsid w:val="00793567"/>
    <w:rsid w:val="0079656F"/>
    <w:rsid w:val="00796B2D"/>
    <w:rsid w:val="007A442B"/>
    <w:rsid w:val="007A4E69"/>
    <w:rsid w:val="007A6A03"/>
    <w:rsid w:val="007E4AE1"/>
    <w:rsid w:val="007F55D8"/>
    <w:rsid w:val="007F6D8F"/>
    <w:rsid w:val="00805853"/>
    <w:rsid w:val="00816ABC"/>
    <w:rsid w:val="00826477"/>
    <w:rsid w:val="00827D86"/>
    <w:rsid w:val="008366F8"/>
    <w:rsid w:val="008436B7"/>
    <w:rsid w:val="00845486"/>
    <w:rsid w:val="00857E2D"/>
    <w:rsid w:val="00866369"/>
    <w:rsid w:val="0087273C"/>
    <w:rsid w:val="008814BB"/>
    <w:rsid w:val="0088311A"/>
    <w:rsid w:val="00883243"/>
    <w:rsid w:val="00884007"/>
    <w:rsid w:val="00896893"/>
    <w:rsid w:val="008B0CD9"/>
    <w:rsid w:val="008B0EA2"/>
    <w:rsid w:val="008B6CA4"/>
    <w:rsid w:val="008C659D"/>
    <w:rsid w:val="008D5CFF"/>
    <w:rsid w:val="008E11C1"/>
    <w:rsid w:val="008E75A4"/>
    <w:rsid w:val="008F6E09"/>
    <w:rsid w:val="009031CD"/>
    <w:rsid w:val="009112B1"/>
    <w:rsid w:val="009209F0"/>
    <w:rsid w:val="00930C75"/>
    <w:rsid w:val="0093353D"/>
    <w:rsid w:val="00933997"/>
    <w:rsid w:val="009454FE"/>
    <w:rsid w:val="009470F0"/>
    <w:rsid w:val="00964231"/>
    <w:rsid w:val="009B28EC"/>
    <w:rsid w:val="009C00F6"/>
    <w:rsid w:val="009C236B"/>
    <w:rsid w:val="009C4A51"/>
    <w:rsid w:val="009C6C8D"/>
    <w:rsid w:val="009D1744"/>
    <w:rsid w:val="009D6B71"/>
    <w:rsid w:val="009E31A1"/>
    <w:rsid w:val="009E407E"/>
    <w:rsid w:val="009F6C73"/>
    <w:rsid w:val="00A004F1"/>
    <w:rsid w:val="00A02444"/>
    <w:rsid w:val="00A03688"/>
    <w:rsid w:val="00A15EF6"/>
    <w:rsid w:val="00A1737B"/>
    <w:rsid w:val="00A208FC"/>
    <w:rsid w:val="00A238A0"/>
    <w:rsid w:val="00A30480"/>
    <w:rsid w:val="00A51431"/>
    <w:rsid w:val="00A627A2"/>
    <w:rsid w:val="00A67303"/>
    <w:rsid w:val="00A80924"/>
    <w:rsid w:val="00A83CB2"/>
    <w:rsid w:val="00A85372"/>
    <w:rsid w:val="00AB7BD4"/>
    <w:rsid w:val="00AC4257"/>
    <w:rsid w:val="00AC7A99"/>
    <w:rsid w:val="00AD6A35"/>
    <w:rsid w:val="00AE2435"/>
    <w:rsid w:val="00AF4D9B"/>
    <w:rsid w:val="00B13238"/>
    <w:rsid w:val="00B264AC"/>
    <w:rsid w:val="00B27036"/>
    <w:rsid w:val="00B31D86"/>
    <w:rsid w:val="00B345A0"/>
    <w:rsid w:val="00B3556D"/>
    <w:rsid w:val="00B85468"/>
    <w:rsid w:val="00BA29C8"/>
    <w:rsid w:val="00BA76A1"/>
    <w:rsid w:val="00BA7A0B"/>
    <w:rsid w:val="00BB6A6B"/>
    <w:rsid w:val="00BD221E"/>
    <w:rsid w:val="00BD446B"/>
    <w:rsid w:val="00C11C44"/>
    <w:rsid w:val="00C15B25"/>
    <w:rsid w:val="00C20FFC"/>
    <w:rsid w:val="00C25E52"/>
    <w:rsid w:val="00C27AC8"/>
    <w:rsid w:val="00C330B0"/>
    <w:rsid w:val="00C33F1E"/>
    <w:rsid w:val="00C476BD"/>
    <w:rsid w:val="00C619F9"/>
    <w:rsid w:val="00C625BB"/>
    <w:rsid w:val="00C6265A"/>
    <w:rsid w:val="00CB35E6"/>
    <w:rsid w:val="00CC3EAA"/>
    <w:rsid w:val="00CD1ECD"/>
    <w:rsid w:val="00CD7E3A"/>
    <w:rsid w:val="00D04C1C"/>
    <w:rsid w:val="00D2115F"/>
    <w:rsid w:val="00D36FF9"/>
    <w:rsid w:val="00D529B6"/>
    <w:rsid w:val="00D52EEE"/>
    <w:rsid w:val="00D65988"/>
    <w:rsid w:val="00D76463"/>
    <w:rsid w:val="00D82C24"/>
    <w:rsid w:val="00D85DAF"/>
    <w:rsid w:val="00D94644"/>
    <w:rsid w:val="00DB3B49"/>
    <w:rsid w:val="00DD3B9D"/>
    <w:rsid w:val="00DF5FD4"/>
    <w:rsid w:val="00E05741"/>
    <w:rsid w:val="00E10267"/>
    <w:rsid w:val="00E23C7C"/>
    <w:rsid w:val="00E32149"/>
    <w:rsid w:val="00E32C59"/>
    <w:rsid w:val="00E36929"/>
    <w:rsid w:val="00E44097"/>
    <w:rsid w:val="00E456D8"/>
    <w:rsid w:val="00E522AF"/>
    <w:rsid w:val="00E62436"/>
    <w:rsid w:val="00E67D5C"/>
    <w:rsid w:val="00E701B0"/>
    <w:rsid w:val="00E704D2"/>
    <w:rsid w:val="00E723E6"/>
    <w:rsid w:val="00E7440D"/>
    <w:rsid w:val="00E75CC3"/>
    <w:rsid w:val="00E86C25"/>
    <w:rsid w:val="00E91192"/>
    <w:rsid w:val="00E948B7"/>
    <w:rsid w:val="00EA4888"/>
    <w:rsid w:val="00EA53F9"/>
    <w:rsid w:val="00EB1118"/>
    <w:rsid w:val="00ED0E40"/>
    <w:rsid w:val="00EE1AC7"/>
    <w:rsid w:val="00EE28A1"/>
    <w:rsid w:val="00EF00D1"/>
    <w:rsid w:val="00EF097C"/>
    <w:rsid w:val="00EF3C10"/>
    <w:rsid w:val="00F13A0F"/>
    <w:rsid w:val="00F25827"/>
    <w:rsid w:val="00F26FF9"/>
    <w:rsid w:val="00F27C75"/>
    <w:rsid w:val="00F338D6"/>
    <w:rsid w:val="00F40382"/>
    <w:rsid w:val="00F43C6D"/>
    <w:rsid w:val="00F50021"/>
    <w:rsid w:val="00FA13DC"/>
    <w:rsid w:val="00FA1C77"/>
    <w:rsid w:val="00FA7B15"/>
    <w:rsid w:val="00FB0335"/>
    <w:rsid w:val="00FB035E"/>
    <w:rsid w:val="00FB17F5"/>
    <w:rsid w:val="00FC036E"/>
    <w:rsid w:val="00FD7570"/>
    <w:rsid w:val="00FF297D"/>
    <w:rsid w:val="0179515F"/>
    <w:rsid w:val="068836E4"/>
    <w:rsid w:val="0ADC6A75"/>
    <w:rsid w:val="0BBD6121"/>
    <w:rsid w:val="0D7810DE"/>
    <w:rsid w:val="10073BE8"/>
    <w:rsid w:val="142F6987"/>
    <w:rsid w:val="1C04386A"/>
    <w:rsid w:val="1C7429EE"/>
    <w:rsid w:val="1C77053F"/>
    <w:rsid w:val="21072BC6"/>
    <w:rsid w:val="2E935A54"/>
    <w:rsid w:val="31033765"/>
    <w:rsid w:val="32070A4B"/>
    <w:rsid w:val="33961D6A"/>
    <w:rsid w:val="3AD56963"/>
    <w:rsid w:val="3BFB5223"/>
    <w:rsid w:val="3D56282C"/>
    <w:rsid w:val="40E94AD7"/>
    <w:rsid w:val="45852B28"/>
    <w:rsid w:val="49CE70B4"/>
    <w:rsid w:val="4ED53D5A"/>
    <w:rsid w:val="5011197E"/>
    <w:rsid w:val="51B37418"/>
    <w:rsid w:val="51E721D7"/>
    <w:rsid w:val="565646CA"/>
    <w:rsid w:val="59841C10"/>
    <w:rsid w:val="5A534D73"/>
    <w:rsid w:val="5D5F7942"/>
    <w:rsid w:val="60894C38"/>
    <w:rsid w:val="62887257"/>
    <w:rsid w:val="649C1DD6"/>
    <w:rsid w:val="64AD5AA9"/>
    <w:rsid w:val="65BF5CA3"/>
    <w:rsid w:val="65EE42E4"/>
    <w:rsid w:val="6E463D64"/>
    <w:rsid w:val="742359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iPriority="99" w:name="List 3"/>
    <w:lsdException w:qFormat="1" w:unhideWhenUsed="0" w:uiPriority="0" w:semiHidden="0"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eastAsia="宋体" w:asciiTheme="minorAscii" w:hAnsiTheme="minorAscii" w:cstheme="minorBidi"/>
      <w:kern w:val="2"/>
      <w:sz w:val="28"/>
      <w:szCs w:val="28"/>
      <w:lang w:val="en-US" w:eastAsia="zh-CN" w:bidi="ar-SA"/>
    </w:rPr>
  </w:style>
  <w:style w:type="paragraph" w:styleId="4">
    <w:name w:val="heading 1"/>
    <w:basedOn w:val="1"/>
    <w:next w:val="1"/>
    <w:link w:val="20"/>
    <w:qFormat/>
    <w:uiPriority w:val="9"/>
    <w:pPr>
      <w:keepNext/>
      <w:keepLines/>
      <w:widowControl/>
      <w:spacing w:line="579" w:lineRule="auto"/>
      <w:jc w:val="center"/>
      <w:outlineLvl w:val="0"/>
    </w:pPr>
    <w:rPr>
      <w:rFonts w:ascii="Calibri" w:hAnsi="Calibri" w:eastAsia="宋体" w:cs="Arial"/>
      <w:b/>
      <w:bCs/>
      <w:kern w:val="44"/>
      <w:sz w:val="36"/>
      <w:szCs w:val="44"/>
    </w:rPr>
  </w:style>
  <w:style w:type="paragraph" w:styleId="5">
    <w:name w:val="heading 2"/>
    <w:basedOn w:val="1"/>
    <w:next w:val="1"/>
    <w:link w:val="23"/>
    <w:unhideWhenUsed/>
    <w:qFormat/>
    <w:uiPriority w:val="9"/>
    <w:pPr>
      <w:keepNext/>
      <w:keepLines/>
      <w:widowControl/>
      <w:spacing w:before="260" w:line="416" w:lineRule="auto"/>
      <w:jc w:val="left"/>
      <w:outlineLvl w:val="1"/>
    </w:pPr>
    <w:rPr>
      <w:rFonts w:ascii="Cambria" w:hAnsi="Cambria" w:eastAsia="宋体" w:cs="Times New Roman"/>
      <w:b/>
      <w:bCs/>
      <w:kern w:val="0"/>
      <w:sz w:val="32"/>
      <w:szCs w:val="32"/>
    </w:rPr>
  </w:style>
  <w:style w:type="paragraph" w:styleId="6">
    <w:name w:val="heading 3"/>
    <w:basedOn w:val="1"/>
    <w:next w:val="1"/>
    <w:link w:val="24"/>
    <w:unhideWhenUsed/>
    <w:qFormat/>
    <w:uiPriority w:val="9"/>
    <w:pPr>
      <w:keepNext/>
      <w:keepLines/>
      <w:widowControl/>
      <w:spacing w:before="260" w:after="260" w:line="416" w:lineRule="auto"/>
      <w:jc w:val="left"/>
      <w:outlineLvl w:val="2"/>
    </w:pPr>
    <w:rPr>
      <w:rFonts w:ascii="Calibri" w:hAnsi="Calibri" w:eastAsia="宋体" w:cs="Arial"/>
      <w:b/>
      <w:bCs/>
      <w:kern w:val="0"/>
      <w:sz w:val="30"/>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正文-自建"/>
    <w:basedOn w:val="3"/>
    <w:qFormat/>
    <w:uiPriority w:val="0"/>
    <w:pPr>
      <w:ind w:firstLine="272"/>
      <w:jc w:val="left"/>
    </w:pPr>
    <w:rPr>
      <w:sz w:val="24"/>
      <w:szCs w:val="28"/>
    </w:rPr>
  </w:style>
  <w:style w:type="paragraph" w:styleId="3">
    <w:name w:val="Normal Indent"/>
    <w:basedOn w:val="1"/>
    <w:qFormat/>
    <w:uiPriority w:val="0"/>
    <w:pPr>
      <w:ind w:firstLine="420"/>
    </w:pPr>
    <w:rPr>
      <w:rFonts w:eastAsia="仿宋_GB2312"/>
      <w:sz w:val="28"/>
      <w:szCs w:val="20"/>
    </w:rPr>
  </w:style>
  <w:style w:type="paragraph" w:styleId="7">
    <w:name w:val="List 3"/>
    <w:basedOn w:val="1"/>
    <w:semiHidden/>
    <w:unhideWhenUsed/>
    <w:qFormat/>
    <w:uiPriority w:val="99"/>
    <w:pPr>
      <w:widowControl/>
      <w:ind w:left="100" w:leftChars="400" w:hanging="200" w:hangingChars="200"/>
      <w:contextualSpacing/>
      <w:jc w:val="left"/>
    </w:pPr>
    <w:rPr>
      <w:rFonts w:ascii="Calibri" w:hAnsi="Calibri" w:eastAsia="宋体" w:cs="Arial"/>
      <w:kern w:val="0"/>
      <w:sz w:val="20"/>
      <w:szCs w:val="20"/>
    </w:rPr>
  </w:style>
  <w:style w:type="paragraph" w:styleId="8">
    <w:name w:val="Balloon Text"/>
    <w:basedOn w:val="1"/>
    <w:link w:val="25"/>
    <w:semiHidden/>
    <w:unhideWhenUsed/>
    <w:qFormat/>
    <w:uiPriority w:val="99"/>
    <w:pPr>
      <w:widowControl/>
      <w:jc w:val="left"/>
    </w:pPr>
    <w:rPr>
      <w:rFonts w:ascii="Calibri" w:hAnsi="Calibri" w:eastAsia="宋体" w:cs="Arial"/>
      <w:kern w:val="0"/>
      <w:sz w:val="18"/>
      <w:szCs w:val="18"/>
    </w:rPr>
  </w:style>
  <w:style w:type="paragraph" w:styleId="9">
    <w:name w:val="footer"/>
    <w:basedOn w:val="1"/>
    <w:link w:val="22"/>
    <w:unhideWhenUsed/>
    <w:qFormat/>
    <w:uiPriority w:val="99"/>
    <w:pPr>
      <w:tabs>
        <w:tab w:val="center" w:pos="4153"/>
        <w:tab w:val="right" w:pos="8306"/>
      </w:tabs>
      <w:snapToGrid w:val="0"/>
      <w:jc w:val="left"/>
    </w:pPr>
    <w:rPr>
      <w:sz w:val="18"/>
      <w:szCs w:val="18"/>
    </w:rPr>
  </w:style>
  <w:style w:type="paragraph" w:styleId="10">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unhideWhenUsed/>
    <w:qFormat/>
    <w:uiPriority w:val="39"/>
  </w:style>
  <w:style w:type="paragraph" w:styleId="12">
    <w:name w:val="toc 2"/>
    <w:basedOn w:val="1"/>
    <w:next w:val="1"/>
    <w:semiHidden/>
    <w:unhideWhenUsed/>
    <w:qFormat/>
    <w:uiPriority w:val="39"/>
    <w:pPr>
      <w:spacing w:line="360" w:lineRule="auto"/>
      <w:ind w:left="221"/>
    </w:pPr>
    <w:rPr>
      <w:rFonts w:ascii="Times New Roman" w:hAnsi="Times New Roman" w:eastAsia="宋体" w:cs="Times New Roman"/>
      <w:smallCaps/>
      <w:sz w:val="20"/>
      <w:szCs w:val="20"/>
      <w:lang w:val="zh-CN" w:bidi="zh-CN"/>
    </w:rPr>
  </w:style>
  <w:style w:type="paragraph" w:styleId="13">
    <w:name w:val="List 4"/>
    <w:basedOn w:val="1"/>
    <w:qFormat/>
    <w:uiPriority w:val="0"/>
    <w:pPr>
      <w:ind w:left="100" w:leftChars="600" w:hanging="200" w:hangingChars="200"/>
    </w:pPr>
    <w:rPr>
      <w:rFonts w:ascii="Times New Roman" w:hAnsi="Times New Roman" w:eastAsia="宋体" w:cs="Times New Roman"/>
      <w:szCs w:val="24"/>
    </w:rPr>
  </w:style>
  <w:style w:type="paragraph" w:styleId="14">
    <w:name w:val="Normal (Web)"/>
    <w:basedOn w:val="1"/>
    <w:qFormat/>
    <w:uiPriority w:val="0"/>
    <w:pPr>
      <w:widowControl/>
      <w:spacing w:before="100" w:beforeAutospacing="1" w:after="100" w:afterAutospacing="1"/>
      <w:jc w:val="left"/>
    </w:pPr>
    <w:rPr>
      <w:rFonts w:ascii="宋体" w:hAnsi="宋体" w:cs="宋体"/>
      <w:kern w:val="0"/>
    </w:rPr>
  </w:style>
  <w:style w:type="table" w:styleId="16">
    <w:name w:val="Table Grid"/>
    <w:basedOn w:val="15"/>
    <w:qFormat/>
    <w:uiPriority w:val="0"/>
    <w:rPr>
      <w:rFonts w:ascii="Calibri" w:hAnsi="Calibr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style>
  <w:style w:type="character" w:styleId="18">
    <w:name w:val="FollowedHyperlink"/>
    <w:semiHidden/>
    <w:unhideWhenUsed/>
    <w:qFormat/>
    <w:uiPriority w:val="99"/>
    <w:rPr>
      <w:color w:val="800080"/>
      <w:u w:val="single"/>
    </w:rPr>
  </w:style>
  <w:style w:type="character" w:styleId="19">
    <w:name w:val="Hyperlink"/>
    <w:semiHidden/>
    <w:unhideWhenUsed/>
    <w:qFormat/>
    <w:uiPriority w:val="99"/>
    <w:rPr>
      <w:color w:val="0000FF"/>
      <w:u w:val="single"/>
    </w:rPr>
  </w:style>
  <w:style w:type="character" w:customStyle="1" w:styleId="20">
    <w:name w:val="标题 1 字符"/>
    <w:basedOn w:val="17"/>
    <w:link w:val="4"/>
    <w:qFormat/>
    <w:uiPriority w:val="9"/>
    <w:rPr>
      <w:rFonts w:ascii="Calibri" w:hAnsi="Calibri" w:eastAsia="宋体" w:cs="Arial"/>
      <w:b/>
      <w:bCs/>
      <w:kern w:val="44"/>
      <w:sz w:val="36"/>
      <w:szCs w:val="44"/>
    </w:rPr>
  </w:style>
  <w:style w:type="character" w:customStyle="1" w:styleId="21">
    <w:name w:val="页眉 字符"/>
    <w:basedOn w:val="17"/>
    <w:link w:val="10"/>
    <w:qFormat/>
    <w:uiPriority w:val="99"/>
    <w:rPr>
      <w:sz w:val="18"/>
      <w:szCs w:val="18"/>
    </w:rPr>
  </w:style>
  <w:style w:type="character" w:customStyle="1" w:styleId="22">
    <w:name w:val="页脚 字符"/>
    <w:basedOn w:val="17"/>
    <w:link w:val="9"/>
    <w:qFormat/>
    <w:uiPriority w:val="99"/>
    <w:rPr>
      <w:sz w:val="18"/>
      <w:szCs w:val="18"/>
    </w:rPr>
  </w:style>
  <w:style w:type="character" w:customStyle="1" w:styleId="23">
    <w:name w:val="标题 2 字符"/>
    <w:basedOn w:val="17"/>
    <w:link w:val="5"/>
    <w:qFormat/>
    <w:uiPriority w:val="9"/>
    <w:rPr>
      <w:rFonts w:ascii="Cambria" w:hAnsi="Cambria" w:eastAsia="宋体" w:cs="Times New Roman"/>
      <w:b/>
      <w:bCs/>
      <w:kern w:val="0"/>
      <w:sz w:val="32"/>
      <w:szCs w:val="32"/>
    </w:rPr>
  </w:style>
  <w:style w:type="character" w:customStyle="1" w:styleId="24">
    <w:name w:val="标题 3 字符"/>
    <w:basedOn w:val="17"/>
    <w:link w:val="6"/>
    <w:qFormat/>
    <w:uiPriority w:val="9"/>
    <w:rPr>
      <w:rFonts w:ascii="Calibri" w:hAnsi="Calibri" w:eastAsia="宋体" w:cs="Arial"/>
      <w:b/>
      <w:bCs/>
      <w:kern w:val="0"/>
      <w:sz w:val="30"/>
      <w:szCs w:val="32"/>
    </w:rPr>
  </w:style>
  <w:style w:type="character" w:customStyle="1" w:styleId="25">
    <w:name w:val="批注框文本 字符"/>
    <w:basedOn w:val="17"/>
    <w:link w:val="8"/>
    <w:semiHidden/>
    <w:qFormat/>
    <w:uiPriority w:val="99"/>
    <w:rPr>
      <w:rFonts w:ascii="Calibri" w:hAnsi="Calibri" w:eastAsia="宋体" w:cs="Arial"/>
      <w:kern w:val="0"/>
      <w:sz w:val="18"/>
      <w:szCs w:val="18"/>
    </w:rPr>
  </w:style>
  <w:style w:type="paragraph" w:customStyle="1" w:styleId="26">
    <w:name w:val="表格 Char Char Char Char Char Char"/>
    <w:basedOn w:val="1"/>
    <w:qFormat/>
    <w:uiPriority w:val="0"/>
    <w:pPr>
      <w:widowControl/>
      <w:jc w:val="center"/>
    </w:pPr>
    <w:rPr>
      <w:rFonts w:ascii="Times New Roman" w:hAnsi="Times New Roman" w:eastAsia="宋体" w:cs="Times New Roman"/>
      <w:kern w:val="0"/>
      <w:szCs w:val="21"/>
      <w:lang w:eastAsia="en-US"/>
    </w:rPr>
  </w:style>
  <w:style w:type="paragraph" w:customStyle="1" w:styleId="27">
    <w:name w:val="默认段落字体 Para Char Char Char Char"/>
    <w:basedOn w:val="1"/>
    <w:qFormat/>
    <w:uiPriority w:val="0"/>
    <w:rPr>
      <w:rFonts w:ascii="Times New Roman" w:hAnsi="Times New Roman" w:eastAsia="宋体" w:cs="Times New Roman"/>
      <w:sz w:val="24"/>
      <w:szCs w:val="24"/>
    </w:rPr>
  </w:style>
  <w:style w:type="paragraph" w:customStyle="1" w:styleId="28">
    <w:name w:val="Char1"/>
    <w:basedOn w:val="1"/>
    <w:qFormat/>
    <w:uiPriority w:val="0"/>
    <w:pPr>
      <w:spacing w:line="360" w:lineRule="auto"/>
    </w:pPr>
    <w:rPr>
      <w:rFonts w:ascii="Times New Roman" w:hAnsi="Times New Roman" w:eastAsia="宋体" w:cs="Times New Roman"/>
      <w:szCs w:val="24"/>
    </w:rPr>
  </w:style>
  <w:style w:type="paragraph" w:customStyle="1" w:styleId="29">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30">
    <w:name w:val="font6"/>
    <w:basedOn w:val="1"/>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31">
    <w:name w:val="font7"/>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32">
    <w:name w:val="xl2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33">
    <w:name w:val="xl296"/>
    <w:basedOn w:val="1"/>
    <w:qFormat/>
    <w:uiPriority w:val="0"/>
    <w:pPr>
      <w:widowControl/>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4">
    <w:name w:val="xl2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20"/>
      <w:szCs w:val="20"/>
    </w:rPr>
  </w:style>
  <w:style w:type="paragraph" w:customStyle="1" w:styleId="35">
    <w:name w:val="xl2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Cs w:val="21"/>
    </w:rPr>
  </w:style>
  <w:style w:type="paragraph" w:customStyle="1" w:styleId="36">
    <w:name w:val="xl299"/>
    <w:basedOn w:val="1"/>
    <w:qFormat/>
    <w:uiPriority w:val="0"/>
    <w:pPr>
      <w:widowControl/>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37">
    <w:name w:val="xl30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38">
    <w:name w:val="xl30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39">
    <w:name w:val="font8"/>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40">
    <w:name w:val="font9"/>
    <w:basedOn w:val="1"/>
    <w:qFormat/>
    <w:uiPriority w:val="0"/>
    <w:pPr>
      <w:widowControl/>
      <w:spacing w:before="100" w:beforeAutospacing="1" w:after="100" w:afterAutospacing="1"/>
      <w:jc w:val="left"/>
    </w:pPr>
    <w:rPr>
      <w:rFonts w:ascii="宋体" w:hAnsi="宋体" w:eastAsia="宋体" w:cs="宋体"/>
      <w:kern w:val="0"/>
      <w:szCs w:val="21"/>
    </w:rPr>
  </w:style>
  <w:style w:type="paragraph" w:customStyle="1" w:styleId="41">
    <w:name w:val="font10"/>
    <w:basedOn w:val="1"/>
    <w:qFormat/>
    <w:uiPriority w:val="0"/>
    <w:pPr>
      <w:widowControl/>
      <w:spacing w:before="100" w:beforeAutospacing="1" w:after="100" w:afterAutospacing="1"/>
      <w:jc w:val="left"/>
    </w:pPr>
    <w:rPr>
      <w:rFonts w:ascii="宋体" w:hAnsi="宋体" w:eastAsia="宋体" w:cs="宋体"/>
      <w:kern w:val="0"/>
      <w:szCs w:val="21"/>
    </w:rPr>
  </w:style>
  <w:style w:type="paragraph" w:customStyle="1" w:styleId="42">
    <w:name w:val="font11"/>
    <w:basedOn w:val="1"/>
    <w:qFormat/>
    <w:uiPriority w:val="0"/>
    <w:pPr>
      <w:widowControl/>
      <w:spacing w:before="100" w:beforeAutospacing="1" w:after="100" w:afterAutospacing="1"/>
      <w:jc w:val="left"/>
    </w:pPr>
    <w:rPr>
      <w:rFonts w:ascii="Times New Roman" w:hAnsi="Times New Roman" w:eastAsia="宋体" w:cs="Times New Roman"/>
      <w:kern w:val="0"/>
      <w:szCs w:val="21"/>
    </w:rPr>
  </w:style>
  <w:style w:type="paragraph" w:customStyle="1" w:styleId="43">
    <w:name w:val="xl30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Cs w:val="21"/>
    </w:rPr>
  </w:style>
  <w:style w:type="paragraph" w:customStyle="1" w:styleId="44">
    <w:name w:val="xl30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Cs w:val="21"/>
    </w:rPr>
  </w:style>
  <w:style w:type="paragraph" w:customStyle="1" w:styleId="45">
    <w:name w:val="xl30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Times New Roman" w:hAnsi="Times New Roman" w:eastAsia="宋体" w:cs="Times New Roman"/>
      <w:kern w:val="0"/>
      <w:szCs w:val="21"/>
    </w:rPr>
  </w:style>
  <w:style w:type="paragraph" w:customStyle="1" w:styleId="46">
    <w:name w:val="xl30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Cs w:val="21"/>
    </w:rPr>
  </w:style>
  <w:style w:type="paragraph" w:customStyle="1" w:styleId="47">
    <w:name w:val="Default"/>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table" w:customStyle="1" w:styleId="48">
    <w:name w:val="网格型1"/>
    <w:basedOn w:val="15"/>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
    <w:name w:val="网格型2"/>
    <w:basedOn w:val="15"/>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0">
    <w:name w:val="修订1"/>
    <w:hidden/>
    <w:semiHidden/>
    <w:qFormat/>
    <w:uiPriority w:val="99"/>
    <w:rPr>
      <w:rFonts w:ascii="Calibri" w:hAnsi="Calibri" w:eastAsia="宋体" w:cs="Arial"/>
      <w:lang w:val="en-US" w:eastAsia="zh-CN" w:bidi="ar-SA"/>
    </w:rPr>
  </w:style>
  <w:style w:type="character" w:styleId="51">
    <w:name w:val="Placeholder Text"/>
    <w:basedOn w:val="17"/>
    <w:semiHidden/>
    <w:qFormat/>
    <w:uiPriority w:val="99"/>
    <w:rPr>
      <w:color w:val="808080"/>
    </w:rPr>
  </w:style>
  <w:style w:type="paragraph" w:customStyle="1" w:styleId="52">
    <w:name w:val="xl6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3">
    <w:name w:val="xl6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54">
    <w:name w:val="xl6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55">
    <w:name w:val="xl6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Calibri" w:hAnsi="Calibri" w:eastAsia="宋体" w:cs="Calibri"/>
      <w:color w:val="000000"/>
      <w:kern w:val="0"/>
      <w:sz w:val="20"/>
      <w:szCs w:val="20"/>
    </w:rPr>
  </w:style>
  <w:style w:type="paragraph" w:customStyle="1" w:styleId="56">
    <w:name w:val="xl7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Calibri" w:hAnsi="Calibri" w:eastAsia="宋体" w:cs="Calibri"/>
      <w:color w:val="000000"/>
      <w:kern w:val="0"/>
      <w:sz w:val="20"/>
      <w:szCs w:val="20"/>
    </w:rPr>
  </w:style>
  <w:style w:type="paragraph" w:customStyle="1" w:styleId="57">
    <w:name w:val="xl7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Calibri" w:hAnsi="Calibri" w:eastAsia="宋体" w:cs="Calibri"/>
      <w:color w:val="000000"/>
      <w:kern w:val="0"/>
      <w:sz w:val="20"/>
      <w:szCs w:val="20"/>
    </w:rPr>
  </w:style>
  <w:style w:type="paragraph" w:customStyle="1" w:styleId="58">
    <w:name w:val="xl72"/>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59">
    <w:name w:val="xl73"/>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Calibri" w:hAnsi="Calibri" w:eastAsia="宋体" w:cs="Calibri"/>
      <w:color w:val="000000"/>
      <w:kern w:val="0"/>
      <w:sz w:val="20"/>
      <w:szCs w:val="20"/>
    </w:rPr>
  </w:style>
  <w:style w:type="paragraph" w:customStyle="1" w:styleId="60">
    <w:name w:val="xl74"/>
    <w:basedOn w:val="1"/>
    <w:qFormat/>
    <w:uiPriority w:val="0"/>
    <w:pPr>
      <w:widowControl/>
      <w:pBdr>
        <w:top w:val="single" w:color="000000" w:sz="4" w:space="0"/>
        <w:bottom w:val="single" w:color="000000" w:sz="4" w:space="0"/>
      </w:pBdr>
      <w:spacing w:before="100" w:beforeAutospacing="1" w:after="100" w:afterAutospacing="1"/>
      <w:jc w:val="center"/>
    </w:pPr>
    <w:rPr>
      <w:rFonts w:ascii="Calibri" w:hAnsi="Calibri" w:eastAsia="宋体" w:cs="Calibri"/>
      <w:color w:val="000000"/>
      <w:kern w:val="0"/>
      <w:sz w:val="20"/>
      <w:szCs w:val="20"/>
    </w:rPr>
  </w:style>
  <w:style w:type="paragraph" w:customStyle="1" w:styleId="61">
    <w:name w:val="xl75"/>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Calibri" w:hAnsi="Calibri" w:eastAsia="宋体" w:cs="Calibri"/>
      <w:color w:val="000000"/>
      <w:kern w:val="0"/>
      <w:sz w:val="20"/>
      <w:szCs w:val="20"/>
    </w:rPr>
  </w:style>
  <w:style w:type="paragraph" w:customStyle="1" w:styleId="62">
    <w:name w:val="xl76"/>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63">
    <w:name w:val="xl77"/>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64">
    <w:name w:val="xl78"/>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65">
    <w:name w:val="xl79"/>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66">
    <w:name w:val="xl80"/>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6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68">
    <w:name w:val="xl82"/>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69">
    <w:name w:val="xl83"/>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70">
    <w:name w:val="xl84"/>
    <w:basedOn w:val="1"/>
    <w:qFormat/>
    <w:uiPriority w:val="0"/>
    <w:pPr>
      <w:widowControl/>
      <w:pBdr>
        <w:bottom w:val="single" w:color="000000" w:sz="4" w:space="0"/>
      </w:pBdr>
      <w:spacing w:before="100" w:beforeAutospacing="1" w:after="100" w:afterAutospacing="1"/>
      <w:jc w:val="center"/>
    </w:pPr>
    <w:rPr>
      <w:rFonts w:ascii="宋体" w:hAnsi="宋体" w:eastAsia="宋体" w:cs="宋体"/>
      <w:b/>
      <w:bCs/>
      <w:color w:val="000000"/>
      <w:kern w:val="0"/>
      <w:sz w:val="20"/>
      <w:szCs w:val="20"/>
    </w:rPr>
  </w:style>
  <w:style w:type="paragraph" w:customStyle="1" w:styleId="71">
    <w:name w:val="xl8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Calibri" w:hAnsi="Calibri" w:eastAsia="宋体" w:cs="Calibri"/>
      <w:color w:val="000000"/>
      <w:kern w:val="0"/>
      <w:sz w:val="20"/>
      <w:szCs w:val="20"/>
    </w:rPr>
  </w:style>
  <w:style w:type="paragraph" w:customStyle="1" w:styleId="72">
    <w:name w:val="xl86"/>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Calibri" w:hAnsi="Calibri" w:eastAsia="宋体" w:cs="Calibri"/>
      <w:color w:val="000000"/>
      <w:kern w:val="0"/>
      <w:sz w:val="20"/>
      <w:szCs w:val="20"/>
    </w:rPr>
  </w:style>
  <w:style w:type="paragraph" w:customStyle="1" w:styleId="73">
    <w:name w:val="WPSOffice手动目录 1"/>
    <w:qFormat/>
    <w:uiPriority w:val="0"/>
    <w:pPr>
      <w:ind w:leftChars="0"/>
    </w:pPr>
    <w:rPr>
      <w:rFonts w:ascii="Times New Roman" w:hAnsi="Times New Roman" w:eastAsia="宋体" w:cs="Times New Roman"/>
      <w:sz w:val="20"/>
      <w:szCs w:val="20"/>
    </w:rPr>
  </w:style>
  <w:style w:type="paragraph" w:customStyle="1" w:styleId="74">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numbering" Target="numbering.xml"/><Relationship Id="rId41" Type="http://schemas.openxmlformats.org/officeDocument/2006/relationships/image" Target="media/image19.wmf"/><Relationship Id="rId40" Type="http://schemas.openxmlformats.org/officeDocument/2006/relationships/image" Target="media/image18.jpeg"/><Relationship Id="rId4" Type="http://schemas.openxmlformats.org/officeDocument/2006/relationships/endnotes" Target="endnotes.xml"/><Relationship Id="rId39" Type="http://schemas.openxmlformats.org/officeDocument/2006/relationships/image" Target="media/image17.jpeg"/><Relationship Id="rId38" Type="http://schemas.openxmlformats.org/officeDocument/2006/relationships/image" Target="media/image16.jpeg"/><Relationship Id="rId37" Type="http://schemas.openxmlformats.org/officeDocument/2006/relationships/image" Target="media/image15.jpeg"/><Relationship Id="rId36" Type="http://schemas.openxmlformats.org/officeDocument/2006/relationships/image" Target="media/image14.jpeg"/><Relationship Id="rId35" Type="http://schemas.openxmlformats.org/officeDocument/2006/relationships/image" Target="media/image13.emf"/><Relationship Id="rId34" Type="http://schemas.openxmlformats.org/officeDocument/2006/relationships/image" Target="media/image12.emf"/><Relationship Id="rId33" Type="http://schemas.openxmlformats.org/officeDocument/2006/relationships/image" Target="media/image11.jpe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emf"/><Relationship Id="rId27" Type="http://schemas.openxmlformats.org/officeDocument/2006/relationships/image" Target="media/image5.emf"/><Relationship Id="rId26" Type="http://schemas.openxmlformats.org/officeDocument/2006/relationships/image" Target="media/image4.jpeg"/><Relationship Id="rId25" Type="http://schemas.openxmlformats.org/officeDocument/2006/relationships/image" Target="media/image3.png"/><Relationship Id="rId24" Type="http://schemas.openxmlformats.org/officeDocument/2006/relationships/image" Target="media/image2.jpeg"/><Relationship Id="rId23" Type="http://schemas.openxmlformats.org/officeDocument/2006/relationships/theme" Target="theme/theme1.xml"/><Relationship Id="rId22" Type="http://schemas.openxmlformats.org/officeDocument/2006/relationships/footer" Target="footer2.xml"/><Relationship Id="rId21" Type="http://schemas.openxmlformats.org/officeDocument/2006/relationships/footer" Target="footer1.xml"/><Relationship Id="rId20" Type="http://schemas.openxmlformats.org/officeDocument/2006/relationships/header" Target="header16.xml"/><Relationship Id="rId2" Type="http://schemas.openxmlformats.org/officeDocument/2006/relationships/settings" Target="settings.xml"/><Relationship Id="rId19" Type="http://schemas.openxmlformats.org/officeDocument/2006/relationships/header" Target="header15.xml"/><Relationship Id="rId18" Type="http://schemas.openxmlformats.org/officeDocument/2006/relationships/header" Target="header14.xml"/><Relationship Id="rId17" Type="http://schemas.openxmlformats.org/officeDocument/2006/relationships/header" Target="header13.xml"/><Relationship Id="rId16" Type="http://schemas.openxmlformats.org/officeDocument/2006/relationships/header" Target="header12.xml"/><Relationship Id="rId15" Type="http://schemas.openxmlformats.org/officeDocument/2006/relationships/header" Target="header11.xml"/><Relationship Id="rId14" Type="http://schemas.openxmlformats.org/officeDocument/2006/relationships/header" Target="header10.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7DBAA-E124-451F-A428-551A8AE6A72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121</Pages>
  <Words>48635</Words>
  <Characters>61472</Characters>
  <Lines>666</Lines>
  <Paragraphs>187</Paragraphs>
  <TotalTime>27</TotalTime>
  <ScaleCrop>false</ScaleCrop>
  <LinksUpToDate>false</LinksUpToDate>
  <CharactersWithSpaces>64961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2018-04-17T03:24:00Z</dcterms:created>
  <dc:creator>微软用户</dc:creator>
  <cp:lastModifiedBy>提拉米书</cp:lastModifiedBy>
  <cp:lastPrinted>2021-12-13T09:49:00Z</cp:lastPrinted>
  <dcterms:modified xsi:type="dcterms:W3CDTF">2023-03-14T02:31:36Z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DC99DDD1C7504A54AA4907178BF598FC</vt:lpwstr>
  </property>
</Properties>
</file>