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880" w:type="dxa"/>
        <w:tblInd w:w="93" w:type="dxa"/>
        <w:tblLayout w:type="fixed"/>
        <w:tblCellMar>
          <w:top w:w="0" w:type="dxa"/>
          <w:left w:w="108" w:type="dxa"/>
          <w:bottom w:w="0" w:type="dxa"/>
          <w:right w:w="108" w:type="dxa"/>
        </w:tblCellMar>
      </w:tblPr>
      <w:tblGrid>
        <w:gridCol w:w="870"/>
        <w:gridCol w:w="1350"/>
        <w:gridCol w:w="1344"/>
        <w:gridCol w:w="2195"/>
        <w:gridCol w:w="2073"/>
        <w:gridCol w:w="1048"/>
      </w:tblGrid>
      <w:tr>
        <w:tblPrEx>
          <w:tblCellMar>
            <w:top w:w="0" w:type="dxa"/>
            <w:left w:w="108" w:type="dxa"/>
            <w:bottom w:w="0" w:type="dxa"/>
            <w:right w:w="108" w:type="dxa"/>
          </w:tblCellMar>
        </w:tblPrEx>
        <w:trPr>
          <w:trHeight w:val="1020" w:hRule="atLeast"/>
        </w:trPr>
        <w:tc>
          <w:tcPr>
            <w:tcW w:w="8880" w:type="dxa"/>
            <w:gridSpan w:val="6"/>
            <w:tcBorders>
              <w:top w:val="nil"/>
              <w:left w:val="nil"/>
              <w:bottom w:val="nil"/>
              <w:right w:val="nil"/>
            </w:tcBorders>
            <w:shd w:val="clear" w:color="auto" w:fill="auto"/>
            <w:vAlign w:val="center"/>
          </w:tcPr>
          <w:p>
            <w:pPr>
              <w:widowControl/>
              <w:spacing w:line="586" w:lineRule="exact"/>
              <w:jc w:val="left"/>
              <w:textAlignment w:val="center"/>
              <w:rPr>
                <w:rFonts w:ascii="黑体" w:hAnsi="黑体" w:eastAsia="黑体" w:cs="仿宋_GB2312"/>
                <w:bCs/>
                <w:kern w:val="0"/>
                <w:sz w:val="32"/>
                <w:szCs w:val="32"/>
              </w:rPr>
            </w:pPr>
            <w:r>
              <w:rPr>
                <w:rFonts w:hint="eastAsia" w:ascii="黑体" w:hAnsi="黑体" w:eastAsia="黑体" w:cs="仿宋_GB2312"/>
                <w:bCs/>
                <w:kern w:val="0"/>
                <w:sz w:val="32"/>
                <w:szCs w:val="32"/>
              </w:rPr>
              <w:t>附件</w:t>
            </w:r>
            <w:r>
              <w:rPr>
                <w:rFonts w:hint="default" w:ascii="Times New Roman" w:hAnsi="Times New Roman" w:eastAsia="黑体" w:cs="Times New Roman"/>
                <w:bCs/>
                <w:kern w:val="0"/>
                <w:sz w:val="32"/>
                <w:szCs w:val="32"/>
              </w:rPr>
              <w:t>2</w:t>
            </w:r>
          </w:p>
          <w:p>
            <w:pPr>
              <w:widowControl/>
              <w:spacing w:line="586" w:lineRule="exact"/>
              <w:jc w:val="center"/>
              <w:textAlignment w:val="center"/>
              <w:rPr>
                <w:rFonts w:ascii="黑体" w:hAnsi="黑体" w:eastAsia="黑体" w:cs="仿宋_GB2312"/>
                <w:bCs/>
                <w:spacing w:val="-16"/>
                <w:kern w:val="0"/>
                <w:sz w:val="44"/>
                <w:szCs w:val="44"/>
              </w:rPr>
            </w:pPr>
          </w:p>
          <w:p>
            <w:pPr>
              <w:widowControl/>
              <w:spacing w:line="586" w:lineRule="exact"/>
              <w:jc w:val="center"/>
              <w:textAlignment w:val="center"/>
              <w:rPr>
                <w:rFonts w:ascii="黑体" w:hAnsi="黑体" w:eastAsia="黑体" w:cs="仿宋_GB2312"/>
                <w:bCs/>
                <w:spacing w:val="-16"/>
                <w:sz w:val="44"/>
                <w:szCs w:val="44"/>
              </w:rPr>
            </w:pPr>
            <w:bookmarkStart w:id="0" w:name="_GoBack"/>
            <w:r>
              <w:rPr>
                <w:rFonts w:hint="eastAsia" w:ascii="黑体" w:hAnsi="黑体" w:eastAsia="黑体" w:cs="仿宋_GB2312"/>
                <w:bCs/>
                <w:spacing w:val="-16"/>
                <w:kern w:val="0"/>
                <w:sz w:val="44"/>
                <w:szCs w:val="44"/>
              </w:rPr>
              <w:t>中峰镇</w:t>
            </w:r>
            <w:r>
              <w:rPr>
                <w:rFonts w:hint="default" w:ascii="黑体" w:hAnsi="黑体" w:eastAsia="黑体" w:cs="Times New Roman"/>
                <w:b w:val="0"/>
                <w:bCs/>
                <w:color w:val="auto"/>
                <w:spacing w:val="-16"/>
                <w:sz w:val="44"/>
                <w:szCs w:val="44"/>
                <w:u w:val="none"/>
              </w:rPr>
              <w:t>202</w:t>
            </w:r>
            <w:r>
              <w:rPr>
                <w:rFonts w:hint="eastAsia" w:ascii="黑体" w:hAnsi="黑体" w:eastAsia="黑体" w:cs="Times New Roman"/>
                <w:b w:val="0"/>
                <w:bCs/>
                <w:color w:val="auto"/>
                <w:spacing w:val="-16"/>
                <w:sz w:val="44"/>
                <w:szCs w:val="44"/>
                <w:u w:val="none"/>
              </w:rPr>
              <w:t>2</w:t>
            </w:r>
            <w:r>
              <w:rPr>
                <w:rFonts w:hint="default" w:ascii="黑体" w:hAnsi="黑体" w:eastAsia="黑体" w:cs="仿宋_GB2312"/>
                <w:b w:val="0"/>
                <w:bCs/>
                <w:color w:val="auto"/>
                <w:spacing w:val="-16"/>
                <w:sz w:val="44"/>
                <w:szCs w:val="44"/>
                <w:u w:val="none"/>
              </w:rPr>
              <w:t>年农村危房改造任务分解表</w:t>
            </w:r>
            <w:bookmarkEnd w:id="0"/>
          </w:p>
        </w:tc>
      </w:tr>
      <w:tr>
        <w:tblPrEx>
          <w:tblCellMar>
            <w:top w:w="0" w:type="dxa"/>
            <w:left w:w="108" w:type="dxa"/>
            <w:bottom w:w="0" w:type="dxa"/>
            <w:right w:w="108" w:type="dxa"/>
          </w:tblCellMar>
        </w:tblPrEx>
        <w:trPr>
          <w:trHeight w:val="765" w:hRule="atLeast"/>
        </w:trPr>
        <w:tc>
          <w:tcPr>
            <w:tcW w:w="8880" w:type="dxa"/>
            <w:gridSpan w:val="6"/>
            <w:tcBorders>
              <w:top w:val="nil"/>
              <w:left w:val="nil"/>
              <w:bottom w:val="nil"/>
              <w:right w:val="nil"/>
            </w:tcBorders>
            <w:shd w:val="clear" w:color="auto" w:fill="auto"/>
            <w:vAlign w:val="center"/>
          </w:tcPr>
          <w:p>
            <w:pPr>
              <w:widowControl/>
              <w:jc w:val="center"/>
              <w:textAlignment w:val="center"/>
              <w:rPr>
                <w:rFonts w:ascii="黑体" w:hAnsi="宋体" w:eastAsia="黑体" w:cs="黑体"/>
                <w:bCs/>
                <w:szCs w:val="21"/>
              </w:rPr>
            </w:pPr>
            <w:r>
              <w:rPr>
                <w:rFonts w:hint="eastAsia" w:ascii="黑体" w:hAnsi="宋体" w:eastAsia="黑体" w:cs="黑体"/>
                <w:bCs/>
                <w:kern w:val="0"/>
                <w:szCs w:val="21"/>
              </w:rPr>
              <w:t xml:space="preserve">                                                      </w:t>
            </w:r>
            <w:r>
              <w:rPr>
                <w:rFonts w:hint="eastAsia" w:ascii="黑体" w:hAnsi="宋体" w:eastAsia="黑体" w:cs="黑体"/>
                <w:bCs/>
                <w:kern w:val="0"/>
                <w:sz w:val="28"/>
                <w:szCs w:val="28"/>
              </w:rPr>
              <w:t xml:space="preserve">       </w:t>
            </w:r>
            <w:r>
              <w:rPr>
                <w:rFonts w:ascii="仿宋_GB2312" w:hAnsi="宋体" w:eastAsia="仿宋_GB2312" w:cs="仿宋_GB2312"/>
                <w:bCs/>
                <w:kern w:val="0"/>
                <w:sz w:val="28"/>
                <w:szCs w:val="28"/>
              </w:rPr>
              <w:t>单位：户</w:t>
            </w:r>
          </w:p>
        </w:tc>
      </w:tr>
      <w:tr>
        <w:tblPrEx>
          <w:tblCellMar>
            <w:top w:w="0" w:type="dxa"/>
            <w:left w:w="108" w:type="dxa"/>
            <w:bottom w:w="0" w:type="dxa"/>
            <w:right w:w="108" w:type="dxa"/>
          </w:tblCellMar>
        </w:tblPrEx>
        <w:trPr>
          <w:trHeight w:val="2010" w:hRule="atLeast"/>
        </w:trPr>
        <w:tc>
          <w:tcPr>
            <w:tcW w:w="87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_GB2312" w:hAnsi="宋体" w:eastAsia="仿宋_GB2312" w:cs="仿宋_GB2312"/>
                <w:bCs/>
                <w:kern w:val="0"/>
                <w:sz w:val="32"/>
                <w:szCs w:val="32"/>
              </w:rPr>
            </w:pPr>
            <w:r>
              <w:rPr>
                <w:rFonts w:ascii="仿宋_GB2312" w:hAnsi="宋体" w:eastAsia="仿宋_GB2312" w:cs="仿宋_GB2312"/>
                <w:bCs/>
                <w:kern w:val="0"/>
                <w:sz w:val="32"/>
                <w:szCs w:val="32"/>
              </w:rPr>
              <w:t>序号</w:t>
            </w:r>
          </w:p>
        </w:tc>
        <w:tc>
          <w:tcPr>
            <w:tcW w:w="135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Cs/>
                <w:kern w:val="0"/>
                <w:sz w:val="32"/>
                <w:szCs w:val="32"/>
              </w:rPr>
            </w:pPr>
            <w:r>
              <w:rPr>
                <w:rFonts w:hint="eastAsia" w:ascii="仿宋_GB2312" w:hAnsi="宋体" w:eastAsia="仿宋_GB2312" w:cs="仿宋_GB2312"/>
                <w:bCs/>
                <w:kern w:val="0"/>
                <w:sz w:val="32"/>
                <w:szCs w:val="32"/>
              </w:rPr>
              <w:t>村别</w:t>
            </w:r>
          </w:p>
        </w:tc>
        <w:tc>
          <w:tcPr>
            <w:tcW w:w="1344"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32"/>
                <w:szCs w:val="32"/>
              </w:rPr>
            </w:pPr>
            <w:r>
              <w:rPr>
                <w:rFonts w:ascii="仿宋_GB2312" w:hAnsi="宋体" w:eastAsia="仿宋_GB2312" w:cs="仿宋_GB2312"/>
                <w:bCs/>
                <w:kern w:val="0"/>
                <w:sz w:val="32"/>
                <w:szCs w:val="32"/>
              </w:rPr>
              <w:t>任务数</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32"/>
                <w:szCs w:val="32"/>
              </w:rPr>
            </w:pPr>
            <w:r>
              <w:rPr>
                <w:rFonts w:hint="eastAsia" w:ascii="仿宋_GB2312" w:hAnsi="宋体" w:eastAsia="仿宋_GB2312" w:cs="仿宋_GB2312"/>
                <w:bCs/>
                <w:kern w:val="0"/>
                <w:sz w:val="32"/>
                <w:szCs w:val="32"/>
              </w:rPr>
              <w:t>乡村振兴局</w:t>
            </w:r>
          </w:p>
          <w:p>
            <w:pPr>
              <w:widowControl/>
              <w:jc w:val="center"/>
              <w:textAlignment w:val="center"/>
              <w:rPr>
                <w:rFonts w:ascii="仿宋_GB2312" w:hAnsi="宋体" w:eastAsia="仿宋_GB2312" w:cs="仿宋_GB2312"/>
                <w:bCs/>
                <w:sz w:val="32"/>
                <w:szCs w:val="32"/>
              </w:rPr>
            </w:pPr>
            <w:r>
              <w:rPr>
                <w:rFonts w:hint="eastAsia" w:ascii="仿宋_GB2312" w:hAnsi="宋体" w:eastAsia="仿宋_GB2312" w:cs="仿宋_GB2312"/>
                <w:bCs/>
                <w:kern w:val="0"/>
                <w:sz w:val="32"/>
                <w:szCs w:val="32"/>
              </w:rPr>
              <w:t>认定的对象</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32"/>
                <w:szCs w:val="32"/>
              </w:rPr>
            </w:pPr>
            <w:r>
              <w:rPr>
                <w:rFonts w:hint="eastAsia" w:ascii="仿宋_GB2312" w:hAnsi="宋体" w:eastAsia="仿宋_GB2312" w:cs="仿宋_GB2312"/>
                <w:bCs/>
                <w:kern w:val="0"/>
                <w:sz w:val="32"/>
                <w:szCs w:val="32"/>
              </w:rPr>
              <w:t>民政局认定的对象</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32"/>
                <w:szCs w:val="32"/>
              </w:rPr>
            </w:pPr>
            <w:r>
              <w:rPr>
                <w:rFonts w:ascii="仿宋_GB2312" w:hAnsi="宋体" w:eastAsia="仿宋_GB2312" w:cs="仿宋_GB2312"/>
                <w:bCs/>
                <w:kern w:val="0"/>
                <w:sz w:val="32"/>
                <w:szCs w:val="32"/>
              </w:rPr>
              <w:t>备注</w:t>
            </w:r>
          </w:p>
        </w:tc>
      </w:tr>
      <w:tr>
        <w:tblPrEx>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Times New Roman"/>
                <w:sz w:val="32"/>
                <w:szCs w:val="32"/>
              </w:rPr>
            </w:pPr>
            <w:r>
              <w:rPr>
                <w:rFonts w:ascii="Times New Roman" w:hAnsi="Times New Roman" w:eastAsia="黑体" w:cs="Times New Roman"/>
                <w:sz w:val="32"/>
                <w:szCs w:val="32"/>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eastAsia="仿宋_GB2312" w:cs="仿宋_GB2312"/>
                <w:bCs/>
                <w:sz w:val="32"/>
                <w:szCs w:val="32"/>
              </w:rPr>
            </w:pPr>
            <w:r>
              <w:rPr>
                <w:rFonts w:hint="eastAsia" w:ascii="仿宋_GB2312" w:hAnsi="宋体" w:eastAsia="仿宋_GB2312" w:cs="仿宋_GB2312"/>
                <w:bCs/>
                <w:sz w:val="32"/>
                <w:szCs w:val="32"/>
              </w:rPr>
              <w:t>中峰村</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Cs/>
                <w:sz w:val="32"/>
                <w:szCs w:val="32"/>
              </w:rPr>
            </w:pPr>
            <w:r>
              <w:rPr>
                <w:rFonts w:hint="eastAsia" w:ascii="Times New Roman" w:hAnsi="Times New Roman" w:eastAsia="宋体" w:cs="Times New Roman"/>
                <w:bCs/>
                <w:kern w:val="0"/>
                <w:sz w:val="32"/>
                <w:szCs w:val="32"/>
              </w:rPr>
              <w:t>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Cs/>
                <w:sz w:val="32"/>
                <w:szCs w:val="32"/>
              </w:rPr>
            </w:pPr>
            <w:r>
              <w:rPr>
                <w:rFonts w:hint="eastAsia" w:ascii="Times New Roman" w:hAnsi="Times New Roman" w:eastAsia="宋体" w:cs="Times New Roman"/>
                <w:bCs/>
                <w:kern w:val="0"/>
                <w:sz w:val="32"/>
                <w:szCs w:val="32"/>
              </w:rPr>
              <w:t>1</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Cs/>
                <w:sz w:val="32"/>
                <w:szCs w:val="32"/>
              </w:rPr>
            </w:pPr>
            <w:r>
              <w:rPr>
                <w:rFonts w:hint="eastAsia" w:ascii="Times New Roman" w:hAnsi="Times New Roman" w:eastAsia="宋体" w:cs="Times New Roman"/>
                <w:bCs/>
                <w:kern w:val="0"/>
                <w:sz w:val="32"/>
                <w:szCs w:val="32"/>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sz w:val="32"/>
                <w:szCs w:val="32"/>
              </w:rPr>
            </w:pPr>
          </w:p>
        </w:tc>
      </w:tr>
      <w:tr>
        <w:tblPrEx>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黑体" w:cs="Times New Roman"/>
                <w:sz w:val="32"/>
                <w:szCs w:val="32"/>
              </w:rPr>
            </w:pPr>
            <w:r>
              <w:rPr>
                <w:rFonts w:ascii="Times New Roman" w:hAnsi="Times New Roman" w:eastAsia="黑体" w:cs="Times New Roman"/>
                <w:kern w:val="0"/>
                <w:sz w:val="32"/>
                <w:szCs w:val="32"/>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eastAsia="仿宋_GB2312" w:cs="仿宋_GB2312"/>
                <w:bCs/>
                <w:sz w:val="32"/>
                <w:szCs w:val="32"/>
              </w:rPr>
            </w:pPr>
            <w:r>
              <w:rPr>
                <w:rFonts w:hint="eastAsia" w:ascii="仿宋_GB2312" w:hAnsi="宋体" w:eastAsia="仿宋_GB2312" w:cs="仿宋_GB2312"/>
                <w:bCs/>
                <w:sz w:val="32"/>
                <w:szCs w:val="32"/>
              </w:rPr>
              <w:t>八坊村</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Cs/>
                <w:sz w:val="32"/>
                <w:szCs w:val="32"/>
              </w:rPr>
            </w:pPr>
            <w:r>
              <w:rPr>
                <w:rFonts w:hint="eastAsia" w:ascii="Times New Roman" w:hAnsi="Times New Roman" w:eastAsia="宋体" w:cs="Times New Roman"/>
                <w:bCs/>
                <w:kern w:val="0"/>
                <w:sz w:val="32"/>
                <w:szCs w:val="32"/>
              </w:rPr>
              <w:t>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Cs/>
                <w:sz w:val="32"/>
                <w:szCs w:val="32"/>
              </w:rPr>
            </w:pPr>
            <w:r>
              <w:rPr>
                <w:rFonts w:hint="eastAsia" w:ascii="Times New Roman" w:hAnsi="Times New Roman" w:eastAsia="宋体" w:cs="Times New Roman"/>
                <w:bCs/>
                <w:kern w:val="0"/>
                <w:sz w:val="32"/>
                <w:szCs w:val="32"/>
              </w:rPr>
              <w:t>0</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Cs/>
                <w:sz w:val="32"/>
                <w:szCs w:val="32"/>
              </w:rPr>
            </w:pPr>
            <w:r>
              <w:rPr>
                <w:rFonts w:hint="eastAsia" w:ascii="Times New Roman" w:hAnsi="Times New Roman" w:eastAsia="宋体" w:cs="Times New Roman"/>
                <w:bCs/>
                <w:kern w:val="0"/>
                <w:sz w:val="32"/>
                <w:szCs w:val="32"/>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sz w:val="32"/>
                <w:szCs w:val="32"/>
              </w:rPr>
            </w:pPr>
          </w:p>
        </w:tc>
      </w:tr>
      <w:tr>
        <w:tblPrEx>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黑体" w:cs="Times New Roman"/>
                <w:kern w:val="0"/>
                <w:sz w:val="32"/>
                <w:szCs w:val="3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eastAsia="仿宋_GB2312" w:cs="仿宋_GB2312"/>
                <w:bCs/>
                <w:sz w:val="32"/>
                <w:szCs w:val="32"/>
              </w:rPr>
            </w:pPr>
            <w:r>
              <w:rPr>
                <w:rFonts w:hint="eastAsia" w:ascii="仿宋_GB2312" w:hAnsi="宋体" w:eastAsia="仿宋_GB2312" w:cs="仿宋_GB2312"/>
                <w:bCs/>
                <w:sz w:val="32"/>
                <w:szCs w:val="32"/>
              </w:rPr>
              <w:t>合计</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Cs/>
                <w:kern w:val="0"/>
                <w:sz w:val="32"/>
                <w:szCs w:val="32"/>
              </w:rPr>
            </w:pPr>
            <w:r>
              <w:rPr>
                <w:rFonts w:hint="eastAsia" w:ascii="Times New Roman" w:hAnsi="Times New Roman" w:eastAsia="宋体" w:cs="Times New Roman"/>
                <w:bCs/>
                <w:kern w:val="0"/>
                <w:sz w:val="32"/>
                <w:szCs w:val="32"/>
              </w:rPr>
              <w:t>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Cs/>
                <w:kern w:val="0"/>
                <w:sz w:val="32"/>
                <w:szCs w:val="32"/>
              </w:rPr>
            </w:pPr>
            <w:r>
              <w:rPr>
                <w:rFonts w:hint="eastAsia" w:ascii="Times New Roman" w:hAnsi="Times New Roman" w:eastAsia="宋体" w:cs="Times New Roman"/>
                <w:bCs/>
                <w:kern w:val="0"/>
                <w:sz w:val="32"/>
                <w:szCs w:val="32"/>
              </w:rPr>
              <w:t>1</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Cs/>
                <w:kern w:val="0"/>
                <w:sz w:val="32"/>
                <w:szCs w:val="32"/>
              </w:rPr>
            </w:pPr>
            <w:r>
              <w:rPr>
                <w:rFonts w:hint="eastAsia" w:ascii="Times New Roman" w:hAnsi="Times New Roman" w:eastAsia="宋体" w:cs="Times New Roman"/>
                <w:bCs/>
                <w:kern w:val="0"/>
                <w:sz w:val="32"/>
                <w:szCs w:val="32"/>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sz w:val="32"/>
                <w:szCs w:val="32"/>
              </w:rPr>
            </w:pPr>
          </w:p>
        </w:tc>
      </w:tr>
    </w:tbl>
    <w:p>
      <w:pPr>
        <w:widowControl/>
        <w:spacing w:line="400" w:lineRule="exact"/>
        <w:ind w:left="720" w:hanging="720" w:hangingChars="300"/>
        <w:textAlignment w:val="top"/>
        <w:rPr>
          <w:rFonts w:ascii="仿宋_GB2312" w:hAnsi="宋体" w:eastAsia="仿宋_GB2312" w:cs="仿宋_GB2312"/>
          <w:bCs/>
          <w:kern w:val="0"/>
          <w:sz w:val="24"/>
        </w:rPr>
      </w:pPr>
    </w:p>
    <w:p>
      <w:pPr>
        <w:widowControl/>
        <w:spacing w:line="400" w:lineRule="exact"/>
        <w:ind w:left="720" w:hanging="720" w:hangingChars="300"/>
        <w:textAlignment w:val="top"/>
        <w:rPr>
          <w:rFonts w:ascii="Calibri" w:hAnsi="宋体" w:eastAsia="宋体" w:cs="Times New Roman"/>
          <w:b w:val="0"/>
          <w:color w:val="auto"/>
        </w:rPr>
      </w:pPr>
      <w:r>
        <w:rPr>
          <w:rFonts w:ascii="仿宋_GB2312" w:hAnsi="宋体" w:eastAsia="仿宋_GB2312" w:cs="仿宋_GB2312"/>
          <w:bCs/>
          <w:kern w:val="0"/>
          <w:sz w:val="24"/>
        </w:rPr>
        <w:t>注：</w:t>
      </w:r>
      <w:r>
        <w:rPr>
          <w:rFonts w:hint="default" w:ascii="Times New Roman" w:hAnsi="Times New Roman" w:eastAsia="仿宋_GB2312" w:cs="Times New Roman"/>
          <w:b w:val="0"/>
          <w:bCs/>
          <w:color w:val="auto"/>
          <w:sz w:val="24"/>
          <w:u w:val="none"/>
        </w:rPr>
        <w:t>1．</w:t>
      </w:r>
      <w:r>
        <w:rPr>
          <w:rFonts w:hint="eastAsia" w:ascii="仿宋_GB2312" w:hAnsi="宋体" w:eastAsia="仿宋_GB2312" w:cs="仿宋_GB2312"/>
          <w:b w:val="0"/>
          <w:bCs/>
          <w:color w:val="auto"/>
          <w:sz w:val="24"/>
          <w:u w:val="none"/>
        </w:rPr>
        <w:t>乡村振兴局认定的对象为：易返贫致贫户、因病因灾因意外事故等刚性支出较大或收入大幅缩减导致基本生活出现严重困难家庭、未享受过农村住房保障政策支持且依靠自身力量无法解决住房安全问题的其他脱贫户</w:t>
      </w:r>
      <w:r>
        <w:rPr>
          <w:rFonts w:hint="default" w:ascii="仿宋_GB2312" w:hAnsi="宋体" w:eastAsia="仿宋_GB2312" w:cs="仿宋_GB2312"/>
          <w:b w:val="0"/>
          <w:bCs/>
          <w:color w:val="auto"/>
          <w:sz w:val="24"/>
          <w:u w:val="none"/>
        </w:rPr>
        <w:t>；</w:t>
      </w:r>
    </w:p>
    <w:p>
      <w:pPr>
        <w:spacing w:line="400" w:lineRule="exact"/>
        <w:ind w:left="719" w:leftChars="228" w:hanging="240" w:hangingChars="100"/>
        <w:jc w:val="left"/>
        <w:rPr>
          <w:rFonts w:ascii="Calibri" w:hAnsi="Calibri" w:eastAsia="宋体" w:cs="Times New Roman"/>
        </w:rPr>
      </w:pPr>
      <w:r>
        <w:rPr>
          <w:rFonts w:hint="default" w:ascii="Times New Roman" w:hAnsi="Times New Roman" w:eastAsia="仿宋_GB2312" w:cs="Times New Roman"/>
          <w:b w:val="0"/>
          <w:bCs/>
          <w:color w:val="auto"/>
          <w:sz w:val="24"/>
          <w:u w:val="none"/>
        </w:rPr>
        <w:t>2</w:t>
      </w:r>
      <w:r>
        <w:rPr>
          <w:rFonts w:hint="eastAsia" w:ascii="Times New Roman" w:hAnsi="Times New Roman" w:eastAsia="仿宋_GB2312" w:cs="Times New Roman"/>
          <w:b w:val="0"/>
          <w:bCs/>
          <w:color w:val="auto"/>
          <w:sz w:val="24"/>
          <w:u w:val="none"/>
        </w:rPr>
        <w:t>．</w:t>
      </w:r>
      <w:r>
        <w:rPr>
          <w:rFonts w:hint="eastAsia" w:ascii="仿宋_GB2312" w:hAnsi="宋体" w:eastAsia="仿宋_GB2312" w:cs="仿宋_GB2312"/>
          <w:b w:val="0"/>
          <w:bCs/>
          <w:color w:val="auto"/>
          <w:sz w:val="24"/>
          <w:u w:val="none"/>
        </w:rPr>
        <w:t>民政局认定对象为：</w:t>
      </w:r>
      <w:r>
        <w:rPr>
          <w:rFonts w:hint="default" w:ascii="仿宋_GB2312" w:hAnsi="宋体" w:eastAsia="仿宋_GB2312" w:cs="仿宋_GB2312"/>
          <w:b w:val="0"/>
          <w:bCs/>
          <w:color w:val="auto"/>
          <w:sz w:val="24"/>
          <w:u w:val="none"/>
        </w:rPr>
        <w:t>指</w:t>
      </w:r>
      <w:r>
        <w:rPr>
          <w:rFonts w:hint="eastAsia" w:ascii="仿宋_GB2312" w:hAnsi="宋体" w:eastAsia="仿宋_GB2312" w:cs="仿宋_GB2312"/>
          <w:b w:val="0"/>
          <w:bCs/>
          <w:color w:val="auto"/>
          <w:sz w:val="24"/>
          <w:u w:val="none"/>
        </w:rPr>
        <w:t>农村低保户、农村分散供养特困人员、农村低保边缘户（农村低收入家庭）</w:t>
      </w:r>
    </w:p>
    <w:p/>
    <w:sectPr>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DFhZTRhNTUyYTg5OTVjOTEwMTJiZDM1MzYyYjAifQ=="/>
  </w:docVars>
  <w:rsids>
    <w:rsidRoot w:val="28425686"/>
    <w:rsid w:val="27F05787"/>
    <w:rsid w:val="2842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2024-12-26T02:14:00Z</dcterms:created>
  <dc:creator>琳QL</dc:creator>
  <cp:lastModifiedBy>琳QL</cp:lastModifiedBy>
  <dcterms:modified xsi:type="dcterms:W3CDTF">2024-12-26T02:16:43Z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26F6AE62B336486DB9E7CCFFFFB99824_13</vt:lpwstr>
  </property>
</Properties>
</file>