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before="240" w:beforeLines="100" w:after="240" w:afterLines="100" w:line="59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资源县2016—2020年脱贫户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产业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项目分类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奖补标准</w:t>
      </w:r>
    </w:p>
    <w:tbl>
      <w:tblPr>
        <w:tblStyle w:val="2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58"/>
        <w:gridCol w:w="1511"/>
        <w:gridCol w:w="1890"/>
        <w:gridCol w:w="1449"/>
        <w:gridCol w:w="1893"/>
        <w:gridCol w:w="1878"/>
        <w:gridCol w:w="3636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2" w:hRule="atLeast"/>
          <w:jc w:val="center"/>
        </w:trPr>
        <w:tc>
          <w:tcPr>
            <w:tcW w:w="224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514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品种</w:t>
            </w:r>
          </w:p>
        </w:tc>
        <w:tc>
          <w:tcPr>
            <w:tcW w:w="1136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扩大规模</w:t>
            </w:r>
          </w:p>
        </w:tc>
        <w:tc>
          <w:tcPr>
            <w:tcW w:w="252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从劣变优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224" w:type="pct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43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最小规模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单位补助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标准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最小规模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单位补助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标准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zh-CN"/>
              </w:rPr>
              <w:t>评定依据及佐证材料</w:t>
            </w: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优质稻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400元/亩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pct"/>
            <w:vMerge w:val="restart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zh-CN"/>
              </w:rPr>
              <w:t>（“从劣变优”主要有3个条件，符合其中一个条件即可认定为“从劣变优”，每个条件的具体细化标准由县农业农村局结合本县实际组织制定。）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同一项目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扩大规模和从劣变优奖补只能二选一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富硒水稻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00元/亩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中药材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元/亩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茄果类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00元/亩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猪（含母猪）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3头以上（含）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头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2头以上（含）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地方特色猪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3头以上（含）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头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2头以上（含）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鸡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45羽以上（含）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羽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30羽以上（含）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2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地方特色鸡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45羽以上（含）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羽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30羽以上（含）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F761F-7221-483A-9670-F3827803F2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5376EC-8CEC-4AB8-B192-C42CE8976B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F7A93A4-374F-4533-AE84-A13DA8998A6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D10B10F-06DD-4F50-90AE-BAF1BB2823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2F9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FDEEB32670644D889AC81CF9B76B619F_13</vt:lpwstr>
  </property>
</Properties>
</file>