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rPr>
          <w:rFonts w:hint="eastAsia" w:ascii="方正小标宋_GBK" w:hAnsi="方正小标宋_GBK" w:eastAsia="方正小标宋_GBK" w:cs="方正小标宋_GBK"/>
          <w:sz w:val="44"/>
          <w:szCs w:val="44"/>
        </w:rPr>
      </w:pPr>
      <w:r>
        <w:rPr>
          <w:rFonts w:hint="eastAsia" w:ascii="黑体" w:hAnsi="黑体" w:eastAsia="黑体"/>
          <w:sz w:val="32"/>
          <w:szCs w:val="32"/>
        </w:rPr>
        <w:t>附件1</w:t>
      </w:r>
      <w:r>
        <w:rPr>
          <w:rFonts w:hint="eastAsia" w:ascii="黑体" w:hAnsi="黑体" w:eastAsia="黑体"/>
          <w:sz w:val="32"/>
          <w:szCs w:val="32"/>
          <w:lang w:val="en-US" w:eastAsia="zh-CN"/>
        </w:rPr>
        <w:t>-6</w:t>
      </w:r>
    </w:p>
    <w:p>
      <w:pPr>
        <w:adjustRightInd w:val="0"/>
        <w:snapToGrid w:val="0"/>
        <w:spacing w:line="57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资源县发展和改革局（资源县粮食和物资储备局）权责清单</w:t>
      </w:r>
    </w:p>
    <w:p>
      <w:pPr>
        <w:adjustRightInd w:val="0"/>
        <w:snapToGrid w:val="0"/>
        <w:spacing w:line="570" w:lineRule="exact"/>
        <w:jc w:val="center"/>
        <w:rPr>
          <w:rFonts w:hint="eastAsia" w:eastAsia="方正仿宋_GBK"/>
          <w:sz w:val="32"/>
          <w:szCs w:val="32"/>
          <w:lang w:eastAsia="zh-CN"/>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504"/>
        <w:gridCol w:w="546"/>
        <w:gridCol w:w="966"/>
        <w:gridCol w:w="738"/>
        <w:gridCol w:w="3285"/>
        <w:gridCol w:w="2361"/>
        <w:gridCol w:w="4842"/>
        <w:gridCol w:w="2237"/>
        <w:gridCol w:w="4440"/>
        <w:gridCol w:w="532"/>
        <w:gridCol w:w="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08"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039" w:type="dxa"/>
            <w:gridSpan w:val="5"/>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412" w:type="dxa"/>
            <w:gridSpan w:val="5"/>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81"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p>
        </w:tc>
        <w:tc>
          <w:tcPr>
            <w:tcW w:w="308"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p>
        </w:tc>
        <w:tc>
          <w:tcPr>
            <w:tcW w:w="504" w:type="dxa"/>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46" w:type="dxa"/>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966" w:type="dxa"/>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738" w:type="dxa"/>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285" w:type="dxa"/>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361" w:type="dxa"/>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4842" w:type="dxa"/>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2237" w:type="dxa"/>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440" w:type="dxa"/>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2" w:type="dxa"/>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81"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976" w:hRule="atLeast"/>
          <w:jc w:val="center"/>
        </w:trPr>
        <w:tc>
          <w:tcPr>
            <w:tcW w:w="40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1</w:t>
            </w:r>
          </w:p>
        </w:tc>
        <w:tc>
          <w:tcPr>
            <w:tcW w:w="30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行政许可</w:t>
            </w:r>
          </w:p>
        </w:tc>
        <w:tc>
          <w:tcPr>
            <w:tcW w:w="504"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企业、事业单位、社会团体等投资建设的固定资产投资项目核准</w:t>
            </w:r>
          </w:p>
        </w:tc>
        <w:tc>
          <w:tcPr>
            <w:tcW w:w="546" w:type="dxa"/>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18"/>
                <w:szCs w:val="18"/>
              </w:rPr>
            </w:pPr>
          </w:p>
        </w:tc>
        <w:tc>
          <w:tcPr>
            <w:tcW w:w="96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行政审批办、各相关业务股室</w:t>
            </w:r>
          </w:p>
        </w:tc>
        <w:tc>
          <w:tcPr>
            <w:tcW w:w="3285"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1.【行政法规】《企业投资项目核准和备案管理条例》（2016年国务院令第673号）第三条：对关系国家安全、涉及全国重大生产力布局、战略性资源开发和重大公共利益等项目，实行核准管理，具体项目范围以及核准机关、核准权限依照政府核准的投资项目目录执行。</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部门规章】《企业投资项目核准和备案管理办法》（2017年国家发展改革委令第2号）第三条：县级以上人民政府投资主管部门对投资项目履行综合管理职责。县级以上人民政府其他部门依照法律、法规规定，按照本级政府规定职责分工，对投资项目履行相应管理职责。第四条：根据项目不同情况，分别实行核准管理或备案管理。对关系国家安全、涉及全国重大生产力布局、战略性资源开发和重大公共利益等项目，实行核准管理。其他项目实行备案管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3.【规范性文件】《国务院关于投资体制改革的决定》（国发〔2004〕20号）二、转变政府管理职能，确立企业的投资主体地位 （一） ……对于企业不使用政府投资建设的项目，一律不再实行审批制，区别不同情况实行核准制和备案制。其中，政府仅对重大项目和限制类项目从维护社会公共利益角度进行核准。（二）……对于外商投资项目，政府还要从市场准入、资本项目管理等方面进行核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规范性文件】《广西壮族自治区人民政府关于印发广西壮族自治区企业投资项目核准和备案管理办法的通知》（桂政发〔2018〕35号）第五条：依据自治区和设区市、县（市、区）人民政府确定的职责分工，具有项目核准权限的行政机关包括：发展改革、工业和信息化或者行政审批部门。实行核准管理的具体项目范围、核准权限，由自治区人民政府发布的《政府核准的投资项目目录（广西壮族自治区2017年本）》确定。法律、行政法规和国务院对项目核准的范围、权限有专门规定的，从其规定。”</w:t>
            </w:r>
          </w:p>
        </w:tc>
        <w:tc>
          <w:tcPr>
            <w:tcW w:w="2361"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1.受理责任（行政审批办）：公布依法应当提交的材料；一次性告知补正材料；依法受理或不予受理（不予受理应告知理由）。</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审查责任（各相关业务股室）：对材料从是否符合国家法律法规和宏观调控政策，是否符合发展规划、产业政策、技术政策和准入标准，是否合理开发并有效利用了资源，是否不影响我国国家安全、经济安全和生态安全，是否对公众利益特别是项目建设地的公众利益不产生重大不利影响五个方面进行审核，并提出审查意见。</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3.决定责任（各相关业务股室）：作出决定（不予行政许可的应当告知理由），按时办结并向社会公开。</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4.送达责任（行政审批办）：制发送达项目核准批复文件，信息公开。</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5.监管责任（各相关业务股室）：会同行业管理、城乡规划（建设）、国土资源、环境保护等部门，加强对企业投资项目的监管；对于未按规定取得规划选址、用地预审等的项目不予核准。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6.法律法规规章文件规定的其他应履行的责任（有关股室）。</w:t>
            </w:r>
          </w:p>
        </w:tc>
        <w:tc>
          <w:tcPr>
            <w:tcW w:w="484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部门规章】《企业投资项目核准和备案管理办法》（2017年国家发展改革委令第2号）第二十五条：申报材料不齐全或者不符合法定形式的，项目核准机关应当在收到申报材料之日起5个工作日内一次告知项目单位补充相关文件。或对相关内容进行调整。逾期不告知的，自收到项目申报材料之日起即为受理。项目核准机关受理或者不予受理申报材料，都应当出具加盖本机关专用印章并注明日期的书面凭证。对于受理的申报材料，书面凭证应注明项目代码，项目单位可以根据项目代码在线查询、监督核准过程和结果。</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部门规章】《企业投资项目核准和备案管理办法》（2017年国家发展改革委令第2号）第三十五条：项目核准机关应当从以下方面对项目进行审查：（一）是否危害经济安全、社会安全、生态安全等国家安全；（二）是否符合相关发展建设规划、产业政策和技术标准；（三）是否合理开发并有效利用资源；（四）是否对重大公共利益产生不利影响；</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4.【部门规章】《企业投资项目核准和备案管理办法》（2017年国家发展改革委令第2号）第三十一条：项目核准机关应当在正式受理申报材料后20 个工作日内作出是否予以核准的决定，或向上级项目核准机关提出审核意见。项目情况复杂或者需要征求有关单位意见的，经本行政机关主要负责人批准，可延长核准时限，但延长的时限不得超过40个工作日，并应当将延长期限的理由告知项目单位。第三十二条项目符合核准条件的，项目核准机关应当对项目予以核准并向项目单位出具项目核准文件。项目不符合核准条件的，项目核准机关应当出具不予核准的书面通知，并说明不予核准的理由。属于国务院核准权限的项目，由国务院投资主管部门根据国务院的决定向项目单位出具项目核准文件或者不予核准的书面通知。项目核准机关出具项目核准文件或者不予核准的书面通知应当抄送同级行业管理、城乡规划、国土资源、水行政管理、环境保护、节能审查等相关部门和下级机关。</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部门规章】《企业投资项目核准和备案管理办法》（2017年国家发展改革委令第2号）第四十六条：项目核准和备案机关、行业管理、城乡规划（建设）、国家安全、国土（海洋）资源、环境保护、节能审查、金融监管、安全生产监管、审计等部门，应当按照谁审批谁监管、谁主管谁监管的原则，采取在线监测、现场核查等方式，依法加强对项目的事中事后监管。第四十八条：对不符合法定条件的项目予以核准，或者超越法定职权予以核准的，应依法予以撤销。</w:t>
            </w:r>
          </w:p>
        </w:tc>
        <w:tc>
          <w:tcPr>
            <w:tcW w:w="2237"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1.对符合条件的申请不予办理或不在法定期限内办理（县纪委监委派驻县发改局纪检监察组）；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2.对不符合许可条件的予以许可的（县纪委监委派驻县发改局纪检监察组）；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3.未严格审查申报材料或弄虚作假审批、有失职行为，造成项目损失的（县纪委监委派驻县发改局纪检监察组）；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4.不按照法定条件或者违反法定程序审核、审批，以及乱收费用，情节严重的（县纪委监委派驻县发改局纪检监察组）；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5.在审批过程中徇私舞弊、滥用职权、玩忽职守的（县纪委监委派驻县发改局纪检监察组）；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6.利用职务上的便利，索取他人财物，为他人谋取利益的（县纪委监委派驻县发改局纪检监察组）；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 xml:space="preserve">7.除以上追责情形外，其他违反法律法规规章的行为依法追究相应责任（县纪委监委派驻县发改局纪检监察组）。 </w:t>
            </w:r>
          </w:p>
        </w:tc>
        <w:tc>
          <w:tcPr>
            <w:tcW w:w="4440"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 xml:space="preserve">  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 xml:space="preserve">  2.【规章】《企业投资项目核准和备案管理办法》（2017年国家发改委第2号令公布）第五十二条“项目核准、备案机关有下列情形之一的，由其上级行政机关责令改正；情节严重的，对负有责任的领导人员和直接责任人员由有关单位和部门依纪依法给予处分：（一）超越法定职权予以核准或备案的；（二）对不符合法定条件的项目予以核准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 xml:space="preserve">  3.【规章】《企业投资项目核准和备案管理办法》（2017年国家发改委第2号令公布）第五十二条“项目核准、备案机关有下列情形之一的，由其上级行政机关责令改正；情节严重的，对负有责任的领导人员和直接责任人员由有关单位和部门依纪依法给予处分：（四）擅自增减核准审查条件的，或者以备案名义变相审批、核准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 xml:space="preserve">  4.【规章】《企业投资项目核准和备案管理办法》（2017年国家发改委第2号令公布）第五十二条“项目核准、备案机关有下列情形之一的，由其上级行政机关责令改正；情节严重的，对负有责任的领导人员和直接责任人员由有关单位和部门依纪依法给予处分：（五）不在法定期限内作出核准决定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 xml:space="preserve">  5.【规章】《企业投资项目核准和备案管理办法》（2017年国家发改委第2号令公布）第五十二条“项目核准、备案机关有下列情形之一的，由其上级行政机关责令改正；情节严重的，对负有责任的领导人员和直接责任人员由有关单位和部门依纪依法给予处分：（六）不依法履行监管职责或者监督不力，造成严重后果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 xml:space="preserve">  6-1.【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 xml:space="preserve">  6-2.【规章】企业投资项目核准和备案管理办法》（2017年国家发改委第2号令公布）第五十三条“项目核准、备案机关工作人员，以及其他相关部门及其工作人员，在项目核准、备案以及相关审批手续办理过程中玩忽职守、滥用职权、徇私舞弊、索贿受贿的，对负有责任的领导人员和直接责任人员依法给予处分；构成犯罪的，依法追究刑事责任。” </w:t>
            </w:r>
          </w:p>
        </w:tc>
        <w:tc>
          <w:tcPr>
            <w:tcW w:w="53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25" w:hRule="atLeast"/>
          <w:jc w:val="center"/>
        </w:trPr>
        <w:tc>
          <w:tcPr>
            <w:tcW w:w="40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2</w:t>
            </w:r>
          </w:p>
        </w:tc>
        <w:tc>
          <w:tcPr>
            <w:tcW w:w="30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行政许可</w:t>
            </w:r>
          </w:p>
        </w:tc>
        <w:tc>
          <w:tcPr>
            <w:tcW w:w="504"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固定资产投资项目节能评估和审查</w:t>
            </w:r>
          </w:p>
        </w:tc>
        <w:tc>
          <w:tcPr>
            <w:tcW w:w="546" w:type="dxa"/>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18"/>
                <w:szCs w:val="18"/>
              </w:rPr>
            </w:pPr>
          </w:p>
        </w:tc>
        <w:tc>
          <w:tcPr>
            <w:tcW w:w="96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行政审批办、工交能源股</w:t>
            </w:r>
          </w:p>
        </w:tc>
        <w:tc>
          <w:tcPr>
            <w:tcW w:w="3285"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1.【法律】《中华人民共和国节约能源法》第十五条： 国家实行固定资产投资项目节能评估和审查制度。不符合强制性节能标准的项目，建设单位不得开工建设；已经建成的，不得投入生产、使用。政府投资项目不符合强制性节能标准的，依法负责项目审批的机关不得批准建设。具体办法由国务院管理节能工作的部门会同国务院有关部门制定。</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部门规章】《固定资产投资项目节能审查办法》（2016年国家发展和改革委员会令第44号）第三条：固定资产投资项目节能审查意见是项目开工建设、竣工验收和运营管理的重要依据。政府投资项目，建设单位在报送项目可行性研究报告前，需取得节能审查机关出具的节能审查意见。企业投资项目，建设单位需在开工建设前取得节能审查机关出具的节能审查意见。未按本办法规定进行节能审查，或节能审查未通过的项目，建设单位不得开工建设，已经建成的不得投入生产、使用。</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第八条： 节能审查机关受理固定资产投资项目节能报告后，应委托有关机构进行评审，形成评审意见，作为节能审查的重要依据。</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规范性文件】《广西壮族自治区固定资产投资项目节能审查办法》（桂发改环资〔2017〕635号）第五条：年综合能源消费量在1000吨标准煤（含1000吨标准煤；改扩建项目按照建成投产后年综合能源消费增量计算，电力折算系数按当量值，下同）以上，或年电力消费量500万千瓦时以上（含500万千瓦时）的固定资产投资项目，需要进行节能审查。国务院投资主管部门核报国务院审批、核准以及国务院投资主管部门审批、核准的固定资产投资项目，高耗能高排放（简称“两高”）项目，年综合能源消费量5000吨标准煤以上（含5000吨标准煤），或年电力消费量在2500万千瓦时以上（含2500万千瓦时）的固定资产投资项目，其节能审查由自治区节能审查机关负责。年综合能源消费量1000吨至5000吨标准煤，或年电力消费量500万千瓦时至2500万千瓦时的固定资产投资项目，其节能审查按照项目管理权限实行分级管理，即自治区、设区市、县（市、区）投资主管部门核报本级人民政府审批或核准的项目，以及自治区、设区市、县（市、区）投资主管部门审批、核准或备案的项目，其节能审查由本级节能审查机关负责。</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第六条： 年综合能源消费量不满1000吨标准煤且年电力消费量不满500万千瓦时，以及用能工艺简单、节能潜力小的行业（根据国家发展改革委公布的具体行业目录执行）的固定资产投资项目，应按相关行业节能标准、规范建设，不再单独进行节能审查。</w:t>
            </w:r>
          </w:p>
        </w:tc>
        <w:tc>
          <w:tcPr>
            <w:tcW w:w="2361"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1．受理责任（行政审批办）：公示依法应当提交的材料；一次性告知补正材料；依法受理或不予受理（不予受理应当告知理由）。</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2．审查责任（工交能源股）：委托有关机构对项目建设单位提交的项目节能评估报告进行评审，根据评审机构形成的评审意见，依法对项目节能评估报告进行审查。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3．决定责任（工交能源股）：作出决定（不予行政许可的应当告知理由）；按时办结。</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4．送达责任（行政审批办）：制发送达项目节能评估报告审查意见；信息公开。</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5．监管责任（工交能源股）：在固定资产投资项目设计、施工及投入使用过程中，加强对节能评估报告及其节能审查意见的落实情况进行监督检查。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6．法律法规规章文件规定的其他应履行的责任（有关股室）。</w:t>
            </w:r>
          </w:p>
        </w:tc>
        <w:tc>
          <w:tcPr>
            <w:tcW w:w="484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部门规章】《固定资产投资项目节能审查办法》（2016年国家发展和改革委员会令第44号）第五条：固定资产投资项目节能审查由地方节能审查机关负责。国家发展改革委核报国务院审批以及国家发展改革委审批的政府投资项目，建设单位在报送项目可行性研究报告前，需取得省级节能审查机关出具的节能审查意见。国家发展改革委核报国务院核准以及国家发展改革委核准的企业投资项目，建设单位需在开工建设前取得省级节能审查机关出具的节能审查意见。</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部门规章】《固定资产投资项目节能审查办法》（2016年国家发展和改革委员会令第44号）第八条：节能审查机关受理节能报告后，应委托有关机构进行评审，形成评审意见。作为节能审查的重要依据。节能审查应依据项目是否符合节能有关法律、标准规范、政策；项目用能分析是否客观准确，方法是否科学，结论是否正确；节能措施是否合理可行；项目的能源消费量和能效水平是否满足本地区能源消耗总量和强度“双控”管理要求等对项目节能报告进行审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4.【部门规章】《固定资产投资项目节能审查办法》（2016年国家发展和改革委员会令第44号）第九条：节能审查机关应在法律规定的时限内出具节能审查意见。节能审查意见自印发之日起2年内有效。</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5.【部门规章】《固定资产投资项目节能审查办法》（2016年国家发展和改革委员会令第44号）第十条：固定资产投资项目投入生产、使用前，应对其节能审查意见落实情况进行验收。</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部门规章】《固定资产投资项目节能审查办法》（2016年国家发展和改革委员会令第44号）第十二条：节能审查机关应加强节能审查信息的统计分析，强化事中事后监管，对节能审查落实情况进行监督检查。省级节能审查机关应按季度向国家发展改革委报送本地区节能审查实施情况。</w:t>
            </w:r>
          </w:p>
        </w:tc>
        <w:tc>
          <w:tcPr>
            <w:tcW w:w="2237"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1.对符合条件的申请不予办理或不在法定期限内办理（县纪委监委派驻县发改局纪检监察组）；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2.对不符合许可条件的予以许可的（县纪委监委派驻县发改局纪检监察组）；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3.未严格审查申报材料或弄虚作假审批、有失职行为，造成项目损失的（县纪委监委派驻县发改局纪检监察组）；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4.不按照法定条件或者违反法定程序审核、审批，以及乱收费用，情节严重的（县纪委监委派驻县发改局纪检监察组）；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5.在审批过程中徇私舞弊、滥用职权、玩忽职守的（县纪委监委派驻县发改局纪检监察组）；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6.利用职务上的便利，索取他人财物，为他人谋取利益的（县纪委监委派驻县发改局纪检监察组）；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 xml:space="preserve">7.除以上追责情形外，其他违反法律法规规章的行为依法追究相应责任（县纪委监委派驻县发改局纪检监察组）。 </w:t>
            </w:r>
          </w:p>
        </w:tc>
        <w:tc>
          <w:tcPr>
            <w:tcW w:w="4440"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 xml:space="preserve">  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 xml:space="preserve">  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 xml:space="preserve">  3.【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 xml:space="preserve">  4.【法律】《中华人民共和国行政许可法》（2003年主席令第七号公布）第七十七条“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 xml:space="preserve">  5.【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53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18"/>
                <w:szCs w:val="18"/>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486" w:hRule="atLeast"/>
          <w:jc w:val="center"/>
        </w:trPr>
        <w:tc>
          <w:tcPr>
            <w:tcW w:w="40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3</w:t>
            </w:r>
          </w:p>
        </w:tc>
        <w:tc>
          <w:tcPr>
            <w:tcW w:w="30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行政处罚</w:t>
            </w:r>
          </w:p>
        </w:tc>
        <w:tc>
          <w:tcPr>
            <w:tcW w:w="504"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企业、事业单位、社会团体等未按法律、法规进行项目核准的处罚</w:t>
            </w:r>
          </w:p>
        </w:tc>
        <w:tc>
          <w:tcPr>
            <w:tcW w:w="546" w:type="dxa"/>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c>
          <w:tcPr>
            <w:tcW w:w="96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固定资产投资和社会发展股、农村经济发展股、工交能源股</w:t>
            </w:r>
          </w:p>
        </w:tc>
        <w:tc>
          <w:tcPr>
            <w:tcW w:w="3285"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行政法规】《企业投资项目核准和备案管理条例》（2016年国务院令第673号）第十八条：实行核准管理的项目，企业未依照本条例规定办理核准手续开工建设或者未按照核准的建设地点、建设规模、建设内容等进行建设的，由核准机关责令停止建设或者责令停产，对企业处项目总投资额1‰以上5‰以下的罚款；对直接负责的主管人员和其他直接责任人员处2万元以上5万元以下的罚款，属于国家工作人员的，依法给予处分。以欺骗、贿赂等不正当手段取得项目核准文件，尚未开工建设的，由核准机关撤销核准文件，处项目总投资额1‰以上5‰以下的罚款；已经开工建设的，依照前款规定予以处罚；构成犯罪的，依法追究刑事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部门规章】《企业投资项目核准和备案管理办法》（2017年国家发展和改革委员会令第2号）第五十五条：企业以分拆项目、隐瞒有关情况或者提供虚假申报材料等不正当手段申请核准、备案的，项目核准机关不予受理或者不予核准、备案，并给予警告。</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第五十六条：实行核准管理的项目，企业未依法办理核准手续开工建设或者未按照核准的建设地点、建设规模、建设内容等进行建设的，由核准机关责令停止建设或者责令停产，对企业处项目总投资额 1‰以上 5‰以下的罚款；对直接负责的主管人员和其他直接责任人员处2万元以上5万元以下的罚款，属于国家工作人员的，依法给予处分。项目应视情况予以拆除或者补办相关手续。以欺骗、贿赂等不正当手段取得项目核准文件，尚未开工建设的，由核准机关撤销核准文件，处项目总投资额 1‰以上5‰以下的罚款；已经开工建设的，依照前款规定予以处罚；构成犯罪的，依法追究刑事责任。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第五十九条：项目单位在项目建设过程中不遵守国土（海洋）资源、城乡规划、环境保护、节能、安全监管、建设等方面法律法规和有关审批文件要求的，相关部门应依法予以处理。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六十条：承担项目申请报告编写、评估任务的工程咨询评估机构及其人员、参与专家评议的专家，在编制项目申请报告、受项目核准机关委托开展评估或者参与专家评议过程中，违反从业规定，造成重大损失和恶劣影响的，依法降低或撤销工程咨询单位资格，取消主要责任人员的相关职业资格。</w:t>
            </w:r>
          </w:p>
        </w:tc>
        <w:tc>
          <w:tcPr>
            <w:tcW w:w="2361"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1.立案责任（各相关业务股室）：项目核准、备案机关对初步调查或检查发现的涉嫌违法行为应当立案。</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2.调查取证责任（各相关业务股室）：对立案的案件，项目核准、备案机关必须全面、客观、公正地调查或检查，收集有关证据。</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审理审查责任（各相关业务股室）：对案件管辖权、当事人基本情况、违法事实及证据、定性、法律适用、法定程序、处罚种类和幅度、当事人陈述理由等方面进行审理审查，提出处理意见，对情节复杂或者重大违法行为给予较重的行政处罚，应当集体讨论决定。</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4.告知责任（各相关业务股室）：告知当事人拟作出行政处罚的事实、理由和依据，并依法享有的陈述申辩或者要求听证的权利等。</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5.决定责任（各相关业务股室）：依法作出行政处罚的，应制作行政处罚决定书，载明违法事实和证据、处罚种类和依据、履行方式和期限、救济途径和期限等。</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6.送达责任（各相关业务股室）：行政处罚决定书应在7日内送达当事人。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7.执行责任（各相关业务股室）：当事人在法定期限内不申请行政复议或者提起行政诉讼，又不履行行政处罚决定的，可依法申请人民法院强制执行。</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8.监管责任（各相关业务股室）：项目核准、备案机关应当根据法律法规和发展规划、产业政策、总量控制目标、技术政策、准入标准及相关环保要求等，对项目进行监管。</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9.法律法规规章文件规定的其他应履行的责任（有关股室）。</w:t>
            </w:r>
          </w:p>
        </w:tc>
        <w:tc>
          <w:tcPr>
            <w:tcW w:w="484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2.【地方政府规章】《广西壮族自治区行政执法程序规定》（1997年广西壮族自治区人民政府令第13号）第二十八条：行政执法机关对违法事项经过审查，认为有违法事实，依法需要给予行政处罚的，应当登记立案。</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2.【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4.【法律】《中华人民共和国行政处罚法》第三十一条：行政机关在作出行政处罚决定之前，应当告知当事人作出行政处罚决定的事实、理由及依据，并告知当事人依法享有的权利。</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第三十二条：当事人有权进行陈述和申辩。行政机关必须充分听取当事人的意见，对当事人提出的事实、理由和证据，应当进行复核；当事人提出的事实、理由或者证据成立的，行政机关应当采纳。</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8.【行政法规】《企业投资项目核准和备案管理条例》（2016年国务院令第673号）第十六条：核准机关、备案机关以及依法对项目负有监督管理职责的其他有关部门应当加强事中事后监管，按照谁审批谁监管、谁主管谁监管的原则，落实监管责任，采取在线监测、现场核查等方式，加强对项目实施的监督检查。</w:t>
            </w:r>
          </w:p>
        </w:tc>
        <w:tc>
          <w:tcPr>
            <w:tcW w:w="2237"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因不履行或不正确履行职责，有下列情形的行政机关及相关工作人员应承担相应的责任：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1.不具备行政处罚主体资格（县纪委监委派驻县发改局纪检监察组）；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2.没有事实和法律依据（县纪委监委派驻县发改局纪检监察组）；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3.擅自改变处罚种类、幅度（县纪委监委派驻县发改局纪检监察组）；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4.违反法定程序（县纪委监委派驻县发改局纪检监察组）；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5.违法处理罚没财物（县纪委监委派驻县发改局纪检监察组）；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6.涉嫌犯罪，不移交司法机关（县纪委监委派驻县发改局纪检监察组）；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7.对违法行为应当处罚不处罚或者乱处罚（县纪委监委派驻县发改局纪检监察组）；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8.除以上追责情形外，其他违反法律法规规章的行为依法追究相应责任（县纪委监委派驻县发改局纪检监察组）。</w:t>
            </w:r>
          </w:p>
        </w:tc>
        <w:tc>
          <w:tcPr>
            <w:tcW w:w="4440"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【法律】《中华人民共和国行政处罚法》第七十六条　行政机关实施行政处罚，有下列情形之一，由上级行政机关或者有关机关责令改正，对直接负责的主管人员和其他直接责任人员依法给予处分：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（一）没有法定的行政处罚依据的；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（二）擅自改变行政处罚种类、幅度的；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（三）违反法定的行政处罚程序的；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（四）违反本法第二十条关于委托处罚的规定的；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（五）执法人员未取得执法证件的。</w:t>
            </w:r>
          </w:p>
        </w:tc>
        <w:tc>
          <w:tcPr>
            <w:tcW w:w="53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76" w:hRule="atLeast"/>
          <w:jc w:val="center"/>
        </w:trPr>
        <w:tc>
          <w:tcPr>
            <w:tcW w:w="40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4</w:t>
            </w:r>
          </w:p>
        </w:tc>
        <w:tc>
          <w:tcPr>
            <w:tcW w:w="30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行政处罚</w:t>
            </w:r>
          </w:p>
        </w:tc>
        <w:tc>
          <w:tcPr>
            <w:tcW w:w="504"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企业、事业单位、社会团体等未按法律、法规进行项目备案的处罚</w:t>
            </w:r>
          </w:p>
        </w:tc>
        <w:tc>
          <w:tcPr>
            <w:tcW w:w="546" w:type="dxa"/>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c>
          <w:tcPr>
            <w:tcW w:w="96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固定资产投资和社会发展股、农村经济发展股、工交能源股</w:t>
            </w:r>
          </w:p>
        </w:tc>
        <w:tc>
          <w:tcPr>
            <w:tcW w:w="3285"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行政法规】《企业投资项目核准和备案管理条例》（2016年国务院令第673号）第十九条：实行备案管理的项目，企业未依照本条例规定将项目信息或者已备案项目的信息变更情况告知备案机关，由备案机关责令限期改正；逾期不改正的，处2万元以上5万元以下的罚款。</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部门规章】《企业投资项目核准和备案管理办法》（2017年国家发展和改革委员会令第2号）第五十五条：企业以分拆项目、隐瞒有关情况或者提供虚假申报材料等不正当手段申请核准、备案的，项目核准机关不予受理或者不予核准、备案，并给予警告。第五十七条：实行备案管理的项目，企业未依法将项目信息或者已备案项目信息变更情况告知备案机关，或者向备案机关提供虚假信息的，由备案机关责令限期改正；逾期不改正的，处 2 万元以上 5 万元以下的罚款。第五十九条：项目单位在项目建设过程中不遵守国土（海洋）资源、城乡规划、环境保护、节能、安全监管、建设等方面法律法规和有关审批文件要求的，相关部门应依法予以处理。第六十条：承担项目申请报告编写、评估任务的工程咨询评估机构及其人员、参与专家评议的专家，在编制项目申请报告、受项目核准机关委托开展评估或者参与专家评议过程中，违反从业规定，造成重大损失和恶劣影响的，依法降低或撤销工程咨询单位资格，取消主要责任人员的相关职业资格。</w:t>
            </w:r>
          </w:p>
        </w:tc>
        <w:tc>
          <w:tcPr>
            <w:tcW w:w="2361"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1.立案责任（各相关业务股室）：项目核准、备案机关对初步调查或检查发现的涉嫌违法行为应当立案。</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2.调查取证责任（各相关业务股室）：对立案的案件，项目核准、备案机关必须全面、客观、公正地调查或检查，收集有关证据。</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审理审查责任（各相关业务股室）：对案件管辖权、当事人基本情况、违法事实及证据、定性、法律适用、法定程序、处罚种类和幅度、当事人陈述理由等方面进行审理审查，提出处理意见，对情节复杂或者重大违法行为给予较重的行政处罚，应当集体讨论决定。</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4.告知责任（各相关业务股室）：告知当事人拟作出行政处罚的事实、理由和依据，并依法享有的陈述申辩或者要求听证的权利等。</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5.决定责任（各相关业务股室）：依法作出行政处罚的，应制作行政处罚决定书，载明违法事实和证据、处罚种类和依据、履行方式和期限、救济途径和期限等。</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6.送达责任（各相关业务股室）：行政处罚决定书应在7日内送达当事人。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7.执行责任（各相关业务股室）：当事人在法定期限内不申请行政复议或者提起行政诉讼，又不履行行政处罚决定的，可依法申请人民法院强制执行。</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8.监管责任（各相关业务股室）：项目核准、备案机关应当根据法律法规和发展规划、产业政策、总量控制目标、技术政策、准入标准及相关环保要求等，对项目进行监管。</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9.法律法规规章文件规定的其他应履行的责任（有关股室）。</w:t>
            </w:r>
          </w:p>
        </w:tc>
        <w:tc>
          <w:tcPr>
            <w:tcW w:w="484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1－2. 【地方政府规章】《广西壮族自治区行政执法程序规定》（1997年广西壮族自治区人民政府令第13号）第二十八条：行政执法机关对违法事项经过审查，认为有违法事实，依法需要给予行政处罚的，应当登记立案。</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2.【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4.【法律】《中华人民共和国行政处罚法》第三十一条：行政机关在作出行政处罚决定之前，应当告知当事人作出行政处罚决定的事实、理由及依据，并告知当事人依法享有的权利。</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第三十二条：当事人有权进行陈述和申辩。行政机关必须充分听取当事人的意见，对当事人提出的事实、理由和证据，应当进行复核；当事人提出的事实、理由或者证据成立的，行政机关应当采纳。</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8.【行政法规】《企业投资项目核准和备案管理条例》（2016年国务院令第673号）第十六条：核准机关、备案机关以及依法对项目负有监督管理职责的其他有关部门应当加强事中事后监管，按照谁审批谁监管、谁主管谁监管的原则，落实监管责任，采取在线监测、现场核查等方式，加强对项目实施的监督检查。</w:t>
            </w:r>
          </w:p>
        </w:tc>
        <w:tc>
          <w:tcPr>
            <w:tcW w:w="2237"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spacing w:val="-6"/>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因不履行或不正确履行职责，有下列情形的行政机关及相关工作人员应承担相应的责任：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1.不具备行政处罚主体资格（县纪委监委派驻县发改局纪检监察组）；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2.没有事实和法律依据（县纪委监委派驻县发改局纪检监察组）；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3.擅自改变处罚种类、幅度（县纪委监委派驻县发改局纪检监察组）；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4.违反法定程序（县纪委监委派驻县发改局纪检监察组）；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5.违法处理罚没财物（县纪委监委派驻县发改局纪检监察组）；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6.涉嫌犯罪，不移交司法机关（县纪委监委派驻县发改局纪检监察组）；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7.对违法行为应当处罚不处罚或者乱处罚（县纪委监委派驻县发改局纪检监察组）；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8.除以上追责情形外，其他违反法律法规规章的行为依法追究相应责任（县纪委监委派驻县发改局纪检监察组）。</w:t>
            </w:r>
          </w:p>
        </w:tc>
        <w:tc>
          <w:tcPr>
            <w:tcW w:w="4440"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【法律】《中华人民共和国行政处罚法》第七十六条　行政机关实施行政处罚，有下列情形之一，由上级行政机关或者有关机关责令改正，对直接负责的主管人员和其他直接责任人员依法给予处分：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（一）没有法定的行政处罚依据的；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（二）擅自改变行政处罚种类、幅度的；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（三）违反法定的行政处罚程序的；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（四）违反本法第二十条关于委托处罚的规定的；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（五）执法人员未取得执法证件的。</w:t>
            </w:r>
          </w:p>
        </w:tc>
        <w:tc>
          <w:tcPr>
            <w:tcW w:w="53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850" w:hRule="atLeast"/>
          <w:jc w:val="center"/>
        </w:trPr>
        <w:tc>
          <w:tcPr>
            <w:tcW w:w="40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5</w:t>
            </w:r>
          </w:p>
        </w:tc>
        <w:tc>
          <w:tcPr>
            <w:tcW w:w="30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行政处罚</w:t>
            </w:r>
          </w:p>
        </w:tc>
        <w:tc>
          <w:tcPr>
            <w:tcW w:w="504"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对投资建设产业政策禁止投资建设项目的企业处罚</w:t>
            </w:r>
          </w:p>
        </w:tc>
        <w:tc>
          <w:tcPr>
            <w:tcW w:w="546" w:type="dxa"/>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c>
          <w:tcPr>
            <w:tcW w:w="96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固定资产投资和社会发展股、农村经济发展股、工交能源股</w:t>
            </w:r>
          </w:p>
        </w:tc>
        <w:tc>
          <w:tcPr>
            <w:tcW w:w="3285"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行政法规】《企业投资项目核准和备案管理条例》（2016年国务院令第673号）第二十条：企业投资建设产业政策禁止投资建设项目的，由县级以上人民政府投资主管部门责令停止建设或者责令停产并恢复原状，对企业处项目总投资额5‰以上10‰以下的罚款；对直接负责的主管人员和其他直接责任人员处5万元以上10万元以下的罚款，属于国家工作人员的，依法给予处分。法律、行政法规另有规定的，依照其规定。</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部门规章】《企业投资项目核准和备案管理办法》（2017年国家发展和改革委员会令第2号）第五十八条：企业投资建设产业政策禁止投资建设项目的，由县级以上人民政府投资主管部门责令停止建设或者责令停产并恢复原状，对企业处项目总投资额5‰以上10‰以下的罚款；对直接负责的主管人员和其他直接责任人员处5万元以上10万元以下的罚款，属于国家工作人员的，依法给予处分。法律、行政法规另有规定的，依照其规定。</w:t>
            </w:r>
          </w:p>
        </w:tc>
        <w:tc>
          <w:tcPr>
            <w:tcW w:w="2361"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1.立案责任（各相关业务股室）：投资主管部门在检查中发现或接到举报或者交办、上报、移送的此类案件，应予以审查，决定是否立案。</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2.调查责任（各相关业务股室）：对立案的案件，指定专人负责，与当事人有直接利害关系的应当回避。执法人员不得少于两人，调查时应出示执法证件，允许当事人辩解陈述，执法人员应保守有关秘密。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审查责任（各相关业务股室）：对案件违法事实、证据、调查取证程序、法律适用、处罚种类和幅度、当事人陈述和申辩理由等方面进行审理审查，提出处理意见，对情节复杂或者重大违法行为给予较重的行政处罚，应当集体讨论决定；</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4.告知责任（各相关业务股室）：在做出行政处罚决定前，应当填写行政处罚事先告知书，告知当事人违法事实、处罚的理由和依据，以及当事人依法享有的陈述、申辩、要求听证等权利。</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5.决定责任（各相关业务股室）：根据审查情况决定是否予以行政处罚。</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6.送达责任（各相关业务股室）：制发文书并送达被处罚人、利害关系人（举报人）或有关单位。</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7.执行责任（各相关业务股室）：监督当事人在决定的期限内，履行生效的行政处罚决定。</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8.监督责任（各相关业务股室）：根据法律法规对项目进行监管</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9.法律法规规章文件规定的其他应履行的责任（有关股室）。</w:t>
            </w:r>
          </w:p>
        </w:tc>
        <w:tc>
          <w:tcPr>
            <w:tcW w:w="484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1—1.【法律】《中华人民共和国行政处罚法》第二十条：行政处罚由违法行为发生地的县级以上地方人民政府具有行政处罚权的行政机关管辖。法律、行政法规另有规定的除外。</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4.【法律】《中华人民共和国行政处罚法》第三十一条：行政机关在作出行政处罚决定之前，应当告知当事人作出行政处罚决定的事实、理由及依据，并告知当事人依法享有的权利。</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法律】《中华人民共和国行政处罚法》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8.【部门规章】《企业投资项目核准和备案管理办法》（2017年国家发展和改革委员会令第2号）第四十六条：项目核准和备案机关、行业管理、城乡规划（建设）、国家安全、国土（海洋）资源、环境保护、节能审查、金融监管、安全生产监管、审计等部门，应当按照谁审批谁监管、谁主管谁监管的原则，采取在线监测、现场核查等方式，依法加强对项目的事中事后监管。项目核准、备案机关应当根据法律法规和发展规划、产业政策、总量控制目标、技术政策、准入标准及相关环保要求等，对项目进行监管。</w:t>
            </w:r>
          </w:p>
        </w:tc>
        <w:tc>
          <w:tcPr>
            <w:tcW w:w="2237"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因不履行或不正确履行职责，有下列情形的行政机关及相关工作人员应承担相应的责任：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1.不具备行政处罚主体资格（县纪委监委派驻县发改局纪检监察组）；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2.没有事实和法律依据（县纪委监委派驻县发改局纪检监察组）；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3.擅自改变处罚种类、幅度（县纪委监委派驻县发改局纪检监察组）；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4.违反法定程序（县纪委监委派驻县发改局纪检监察组）；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5.违法处理罚没财物（县纪委监委派驻县发改局纪检监察组）；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6.涉嫌犯罪，不移交司法机关（县纪委监委派驻县发改局纪检监察组）；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7.对违法行为应当处罚不处罚或者乱处罚（县纪委监委派驻县发改局纪检监察组）；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8.除以上追责情形外，其他违反法律法规规章的行为依法追究相应责任（县纪委监委派驻县发改局纪检监察组）。</w:t>
            </w:r>
          </w:p>
        </w:tc>
        <w:tc>
          <w:tcPr>
            <w:tcW w:w="4440"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【法律】《中华人民共和国行政处罚法》第七十六条　行政机关实施行政处罚，有下列情形之一，由上级行政机关或者有关机关责令改正，对直接负责的主管人员和其他直接责任人员依法给予处分：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（一）没有法定的行政处罚依据的；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（二）擅自改变行政处罚种类、幅度的；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（三）违反法定的行政处罚程序的；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（四）违反本法第二十条关于委托处罚的规定的；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（五）执法人员未取得执法证件的。</w:t>
            </w:r>
          </w:p>
        </w:tc>
        <w:tc>
          <w:tcPr>
            <w:tcW w:w="53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70" w:hRule="atLeast"/>
          <w:jc w:val="center"/>
        </w:trPr>
        <w:tc>
          <w:tcPr>
            <w:tcW w:w="40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6</w:t>
            </w:r>
          </w:p>
        </w:tc>
        <w:tc>
          <w:tcPr>
            <w:tcW w:w="30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行政处罚</w:t>
            </w:r>
          </w:p>
        </w:tc>
        <w:tc>
          <w:tcPr>
            <w:tcW w:w="504"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对提供虚假信息的节能咨询、设计、评估、检测、审计、认证等服务的机构处罚</w:t>
            </w:r>
          </w:p>
        </w:tc>
        <w:tc>
          <w:tcPr>
            <w:tcW w:w="546" w:type="dxa"/>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c>
          <w:tcPr>
            <w:tcW w:w="96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工交能源股</w:t>
            </w:r>
          </w:p>
        </w:tc>
        <w:tc>
          <w:tcPr>
            <w:tcW w:w="3285"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中华人民共和国节约能源法》第七十六条：从事节能咨询、设计、评估、检测、审计、认证等服务的机构提供虚假信息的，由管理节能工作的部门责令改正，没收违法所得，并处五万元以上十万元以下罚款。</w:t>
            </w:r>
          </w:p>
        </w:tc>
        <w:tc>
          <w:tcPr>
            <w:tcW w:w="2361"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1.立案责任（工交能源股）：节能工作管理部门在检查中发现或者接到举报或者交办、上报、移送的此类案件，应予以审查，决定是否立案。</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2.调查责任（工交能源股）：对立案的案件，指定专人负责，与当事人有直接利害关系的应当回避。执法人员不得少于两人，调查时应出示执法证件，允许当事人辩解陈述，执法人员应保守有关秘密。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审查责任（工交能源股）：对案件违法事实、证据、调查取证程序、法律适用、处罚种类和幅度、当事人陈述和申辩理由等方面进行审理审查，提出处理意见，对情节复杂或者重大违法行为给予较重的行政处罚，应当集体讨论决定；</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4.告知责任（工交能源股）：在做出行政处罚决定前，应当填写行政处罚事先告知书，告知当事人违法事实、处罚的理由和依据，以及当事人依法享有的陈述、申辩、要求听证等权利。</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5.决定责任（工交能源股）：根据审查情况决定是否予以行政处罚。</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6.送达责任（工交能源股）：制发文书并送达被处罚人、利害关系人（举报人）或有关单位。</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7.执行责任（工交能源股）：监督当事人在决定的期限内，履行生效的行政处罚决定。</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8.监督责任（工交能源股）：根据法律法规对节能咨询、设计、评估、检测、审计、认证等服务的机构进行监管</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9.法律法规规章文件规定的其他应履行的责任（有关股室）。</w:t>
            </w:r>
          </w:p>
        </w:tc>
        <w:tc>
          <w:tcPr>
            <w:tcW w:w="484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1.【法律】《中华人民共和国行政处罚法》第二十条：行政处罚由违法行为发生地的县级以上地方人民政府具有行政处罚权的行政机关管辖。法律、行政法规另有规定的除外。</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4.【法律】《中华人民共和国行政处罚法》第三十一条：行政机关在作出行政处罚决定之前，应当告知当事人作出行政处罚决定的事实、理由及依据，并告知当事人依法享有的权利。</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法律】《中华人民共和国行政处罚法》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8.【部门规章】《固定资产投资项目节能审查办法》（2016年国家发展和改革委员会令第44号）第十四条：节能审查机关对建设单位、中介机构等的违法违规信息进行记录，将违法违规信息纳入全国信用信息共享平台和投资项目审批监管平台，在“信用中国”网站向社会公开。</w:t>
            </w:r>
          </w:p>
        </w:tc>
        <w:tc>
          <w:tcPr>
            <w:tcW w:w="2237"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因不履行或不正确履行职责，有下列情形的行政机关及相关工作人员应承担相应的责任：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1.不具备行政处罚主体资格（县纪委监委派驻县发改局纪检监察组）；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2.没有事实和法律依据（县纪委监委派驻县发改局纪检监察组）；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3.擅自改变处罚种类、幅度（县纪委监委派驻县发改局纪检监察组）；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4.违反法定程序（县纪委监委派驻县发改局纪检监察组）；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5.违法处理罚没财物（县纪委监委派驻县发改局纪检监察组）；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6.涉嫌犯罪，不移交司法机关（县纪委监委派驻县发改局纪检监察组）；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7.对违法行为应当处罚不处罚或者乱处罚（县纪委监委派驻县发改局纪检监察组）；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8.除以上追责情形外，其他违反法律法规规章的行为依法追究相应责任（县纪委监委派驻县发改局纪检监察组）。</w:t>
            </w:r>
          </w:p>
        </w:tc>
        <w:tc>
          <w:tcPr>
            <w:tcW w:w="4440"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【法律】《中华人民共和国行政处罚法》第七十六条　行政机关实施行政处罚，有下列情形之一，由上级行政机关或者有关机关责令改正，对直接负责的主管人员和其他直接责任人员依法给予处分：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（一）没有法定的行政处罚依据的；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（二）擅自改变行政处罚种类、幅度的；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（三）违反法定的行政处罚程序的；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（四）违反本法第二十条关于委托处罚的规定的；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（五）执法人员未取得执法证件的。</w:t>
            </w:r>
          </w:p>
        </w:tc>
        <w:tc>
          <w:tcPr>
            <w:tcW w:w="53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12" w:hRule="atLeast"/>
          <w:jc w:val="center"/>
        </w:trPr>
        <w:tc>
          <w:tcPr>
            <w:tcW w:w="406"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7</w:t>
            </w:r>
          </w:p>
        </w:tc>
        <w:tc>
          <w:tcPr>
            <w:tcW w:w="308"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行政检查</w:t>
            </w:r>
          </w:p>
        </w:tc>
        <w:tc>
          <w:tcPr>
            <w:tcW w:w="504"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各级财政资金计划下达、项目实施和投资政策执行情况监督检查</w:t>
            </w:r>
          </w:p>
        </w:tc>
        <w:tc>
          <w:tcPr>
            <w:tcW w:w="546" w:type="dxa"/>
            <w:vMerge w:val="restart"/>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c>
          <w:tcPr>
            <w:tcW w:w="966"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固定资产投资和社会发展股、农村经济发展股、工交能源股</w:t>
            </w:r>
          </w:p>
        </w:tc>
        <w:tc>
          <w:tcPr>
            <w:tcW w:w="3285"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1.【部门规章】《中央预算内直接投资项目管理办法》（2014年国家发展和改革委员会令第7号）第三十三条：发展改革、财政、审计、监察和其它有关部门，依据职能分工，对直接投资项目进行监督检查。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部门规章】《中央预算内投资补助和贴息项目管理办法》（2016年国家发展和改革委令第45号）第二十三条：各级发展改革部门应当会同有关部门，依据职责分工，利用在线平台，对使用投资补助和贴息资金的项目加强监管，防止转移、侵占或者挪用投资补助和贴息资金，保证政府投资资金的合理使用和项目顺利建设实施。</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3.【规范性文件】《中央预算内投资监督管理暂行办法》（发改投资〔2015〕525号）第十二条： 落实中央预算内投资监管分级负责的要求。安排下达中央预算内投资年度计划时，应当明确有关省级发展改革部门、中央部门、计划单列企业集团、中央管理企业的监管主体责任，提出监管重点、监管方式、奖惩措施等内容，督促其切实履行好监管职责。</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规范性文件】《广西壮族自治区人民政府办公厅关于进一步加强中央预算内投资管理的若干意见》（桂政办发（2017）35号）：强化项目稽察和督查。……全区各级督查、发展改革、财政和行业主管部门要单独或联合对中央预算内投资项目开展督查。……</w:t>
            </w:r>
          </w:p>
        </w:tc>
        <w:tc>
          <w:tcPr>
            <w:tcW w:w="2361"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1.告知责任（各相关业务股室）：印发检查通知，制定检查方案，内容包括检查范围、内容、方式、时间及迎接稽察材料准备要求等。</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检查责任（各相关业务股室）：根据检查方案，组成检查组，依据国家、自治区、市级相关标准规范及要求，通过听取汇报、查阅项目材料、实地考察项目现场等方式，对项目建设及资金计划执行情况进行检查，形成检查情况报告。</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处理责任（各相关业务股室）：对检查中发现的问题，及时提出整改要求；情节较轻的，责令其限期整改、暂停项目建设或者暂停投资安排；情节严重的，则根据《中央预算内直接投资项目管理办法》、《中央预算内投资补助和贴息项目管理办法》等相关法律法规，提请或者移交有关机关依法追究有关责任人的行政或者法律责任。被检查单位对检查结果有异议的，可向承检单位提出书面意见，否则视为承认检查结果。承检单位收到被检查单位和个人的书面意见后，应当作出书面答复，并依申请对整改项目进行复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4.监管责任（各相关业务股室）：依法加强对市级各类财政资金投资项目计划编制、实施情况和投资政策执行情况监督检查的监管。</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5.法律法规规章文件规定的其他应履行的责任（有关股室）。</w:t>
            </w:r>
          </w:p>
        </w:tc>
        <w:tc>
          <w:tcPr>
            <w:tcW w:w="4842"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2.【部门规章】《中央预算内直接投资项目管理办法》（2014年国家发展和改革委员会令第7号）第三十三条：发展改革、财政、审计、监察和其它有关部门，依据职能分工，对直接投资项目进行监督检查。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部门规章】《中央预算内投资补助和贴息项目管理办法》（2016年国家发展和改革委令第45号）第二十三条：各级发展改革部门应当会同有关部门，依据职责分工，利用在线平台，对使用投资补助和贴息资金的项目加强监管，防止转移、侵占或者挪用投资补助和贴息资金，保证政府投资资金的合理使用和项目顺利建设实施。</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4.【规范性文件】《中央预算内投资监督管理暂行办法》（发改投资〔2015〕525号）第十二条： 落实中央预算内投资监管分级负责的要求。安排下达中央预算内投资年度计划时，应当明确有关省级发展改革部门、中央部门、计划单列企业集团、中央管理企业的监管主体责任，提出监管重点、监管方式、奖惩措施等内容，督促其切实履行好监管职责。</w:t>
            </w:r>
          </w:p>
        </w:tc>
        <w:tc>
          <w:tcPr>
            <w:tcW w:w="2237"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1.不履行或不正确履行职责，对各级财政资金计划下达、项目实施和投资政策执行情况不符合要求的行为不予制止和有效处理的（县纪委监委派驻县发改局纪检监察组）；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2.在监督检查中玩忽职守、徇私舞弊的（县纪委监委派驻县发改局纪检监察组）；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3.在监督检查中滥用职权，谋取不正当利益和发生腐败行为的（县纪委监委派驻县发改局纪检监察组）；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4.除以上追责情形外，其他违反法律法规规章的行为依法追究相应责任（县纪委监委派驻县发改局纪检监察组）。</w:t>
            </w:r>
          </w:p>
        </w:tc>
        <w:tc>
          <w:tcPr>
            <w:tcW w:w="4440"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规】《行政机关公务员处分条例》（国务院令第495号）第二十条：“有下列行为之一的，给予记过、记大过处分；情节较重的，给予降级或者撤职处分；情节严重的，给予开除处分：（四）其他玩忽职守、贻误工作的行为。”。 第二十五条：“有下列行为之一的，给予记过或者记大过处分；情节较重的，给予降级或者撤职处分；情节严重的，给予开除处分：（五）其他滥用职权，侵害公民、法人或者其他组织合法权益的行为。”</w:t>
            </w:r>
          </w:p>
        </w:tc>
        <w:tc>
          <w:tcPr>
            <w:tcW w:w="532"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vMerge w:val="restart"/>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83" w:hRule="atLeast"/>
          <w:jc w:val="center"/>
        </w:trPr>
        <w:tc>
          <w:tcPr>
            <w:tcW w:w="40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308"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50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54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96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738"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3285"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2361"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4842"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2237"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4440"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532"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381"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12" w:hRule="atLeast"/>
          <w:jc w:val="center"/>
        </w:trPr>
        <w:tc>
          <w:tcPr>
            <w:tcW w:w="406"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8</w:t>
            </w:r>
          </w:p>
        </w:tc>
        <w:tc>
          <w:tcPr>
            <w:tcW w:w="308"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行政检查</w:t>
            </w:r>
          </w:p>
        </w:tc>
        <w:tc>
          <w:tcPr>
            <w:tcW w:w="504"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节能执法检查</w:t>
            </w:r>
          </w:p>
        </w:tc>
        <w:tc>
          <w:tcPr>
            <w:tcW w:w="546" w:type="dxa"/>
            <w:vMerge w:val="restart"/>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c>
          <w:tcPr>
            <w:tcW w:w="966"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工交能源股</w:t>
            </w:r>
          </w:p>
        </w:tc>
        <w:tc>
          <w:tcPr>
            <w:tcW w:w="3285"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中华人民共和国节约能源法》第十一条：国务院和县级以上地方各级人民政府应当加强对节能工作的领导，部署、协调、监督、检查、推动节能工作。第十二条：县级以上人民政府管理节能工作的部门和有关部门应当在各自的职责范围内，加强对节能法律、法规和节能标准执行情况的监督检查，依法查处违法用能行为。</w:t>
            </w:r>
          </w:p>
        </w:tc>
        <w:tc>
          <w:tcPr>
            <w:tcW w:w="2361"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1.告知责任（工交能源股）：制定检查计划，将检查人员及检查依据、内容、时间、要求等告知被检查单位。</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2.检查责任（工交能源股）：监督检查被监察单位执行节能法律、法规、规章和强制性节能标准的情况，督促被监察单位依法用能、合理用能，依法处理违法违规行为；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3.处理责任（工交能源股）：受理对违法违规用能行为的举报和投诉，办理其他行政执法单位依法移送或者政府有关部门交办的违法违规用能案件；</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4.监管责任（工交能源股）：协助政府管理节能工作的部门和有关部门开展其他节能监督管理工作；</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5.法律法规规章文件规定的其他应履行的责任（有关股室）。</w:t>
            </w:r>
          </w:p>
        </w:tc>
        <w:tc>
          <w:tcPr>
            <w:tcW w:w="4842"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法律】《中华人民共和国节约能源法》第十二条：县级以上人民政府管理节能工作的部门和有关部门应当在各自的职责范围内，加强对节能法律、法规和节能标准执行情况的监督检查，依法查处违法用能行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法律】《中华人民共和国节约能源法》第六十八条：固定资产投资项目建设单位开工建设不符合强制性节能标准的项目或者将该项目投入生产、使用的，由管理节能工作的部门责令停止建设或者停止生产、使用，限期改造；不能改造或者逾期不改造的生产性项目，由管理节能工作的部门报请本级人民政府按照国务院规定的权限责令关闭。</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 xml:space="preserve">3.【部门规章】《节能监察办法》（2016年国家发展和改革委员会第33号令）第十三条：节能监察分为书面监察和现场监察。实施书面监察，应当将实施监察的依据、内容、时间和要求书面通知被监察单位。实施现场监察，应当于实施监察的五日前将监察的依据、内容、时间和要求书面通知被监察单位。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第十六条：现场监察应当有两名以上节能监察人员在场。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4.【部门规章】《节能监察办法》（2016年国家发展和改革委员会第33号令）第六条：节能监察机构应当开展下列工作：（三）协助政府管理节能工作的部门和有关部门开展其他节能监督管理工作。</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5.【部门规章】《节能监察办法》（2016年国家发展和改革委员会第33号令）第六条：节能监察机构应当开展下列工作：（四）节能法律、法规、规章和规范性文件规定的其他工作。</w:t>
            </w:r>
          </w:p>
        </w:tc>
        <w:tc>
          <w:tcPr>
            <w:tcW w:w="2237"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1.不履行或不正确履行职责，对节能执法不符合要求的行为不予制止和有效处理的（县纪委监委派驻县发改局纪检监察组）；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2.在监督检查中玩忽职守、徇私舞弊的（县纪委监委派驻县发改局纪检监察组）；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3.在监督检查中滥用职权，谋取不正当利益和发生腐败行为的（县纪委监委派驻县发改局纪检监察组）；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4.除以上追责情形外，其他违反法律法规规章的行为依法追究相应责任（县纪委监委派驻县发改局纪检监察组）。</w:t>
            </w:r>
          </w:p>
        </w:tc>
        <w:tc>
          <w:tcPr>
            <w:tcW w:w="4440"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规】《行政机关公务员处分条例》（国务院令第495号）第二十条：“有下列行为之一的，给予记过、记大过处分；情节较重的，给予降级或者撤职处分；情节严重的，给予开除处分：（四）其他玩忽职守、贻误工作的行为。”。 第二十五条：“有下列行为之一的，给予记过或者记大过处分；情节较重的，给予降级或者撤职处分；情节严重的，给予开除处分：（五）其他滥用职权，侵害公民、法人或者其他组织合法权益的行为。”</w:t>
            </w:r>
          </w:p>
        </w:tc>
        <w:tc>
          <w:tcPr>
            <w:tcW w:w="532"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vMerge w:val="restart"/>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248" w:hRule="atLeast"/>
          <w:jc w:val="center"/>
        </w:trPr>
        <w:tc>
          <w:tcPr>
            <w:tcW w:w="40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308"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50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54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96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738"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3285"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2361"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4842"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2237"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4440"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532"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381"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250" w:hRule="atLeast"/>
          <w:jc w:val="center"/>
        </w:trPr>
        <w:tc>
          <w:tcPr>
            <w:tcW w:w="40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9</w:t>
            </w:r>
          </w:p>
        </w:tc>
        <w:tc>
          <w:tcPr>
            <w:tcW w:w="30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行政确认</w:t>
            </w:r>
          </w:p>
        </w:tc>
        <w:tc>
          <w:tcPr>
            <w:tcW w:w="504"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涉纪检监察、司法、行政工作价格认定、价格认定复核</w:t>
            </w:r>
          </w:p>
        </w:tc>
        <w:tc>
          <w:tcPr>
            <w:tcW w:w="54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涉纪检监察、司法、行政工作价格认定</w:t>
            </w:r>
          </w:p>
        </w:tc>
        <w:tc>
          <w:tcPr>
            <w:tcW w:w="96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价格综合股</w:t>
            </w:r>
          </w:p>
        </w:tc>
        <w:tc>
          <w:tcPr>
            <w:tcW w:w="3285"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地方性法规】《广西壮族自治区赃物估价管理条例》（1994年6月1日广西壮族自治区人大常委会第九次会议通过）第三条：行政执法机关、司法机关办理案件中价格难以确定或者对价格有争议的赃物，以及需要变卖的赃物，应当由物价主管部门进行估价。第十一条：物价主管部门对赃物的估价结论和复核估价结论是行政执法机关、司法机关办理案件的依据。</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2.【规范性文件】《国家发展改革委关于印发〈价格认定规定〉的通知》（发改价格〔2015〕2251号）第二条： 本规定所称价格认定，是指经有关国家机关提出，价格认定机构对纪检监察、司法、行政工作中所涉及的，价格不明或者价格有争议的，实行市场调节价的有形产品、无形资产和各类有偿服务进行价格确认的行为。　第九条： 地市级人民政府价格主管部门的价格认定机构办理本级纪律检查委员会、中级人民法院或者直辖市辖区人民法院，本级或者直辖市辖区人民检察院，本级人民政府各部门以及国务院垂直管理部门所属机构提出的价格认定事项和本行政区域内的价格认定复核事项。第十条： 县级人民政府价格主管部门的价格认定机构办理本级纪律检查委员会、基层人民法院、人民检察院、人民政府各部门以及国务院垂直管理部门所属机构提出的价格认定事项。</w:t>
            </w:r>
          </w:p>
        </w:tc>
        <w:tc>
          <w:tcPr>
            <w:tcW w:w="2361"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1.受理责任（价格综合股）：提出机关出具价格认定协助书及补充材料，依法受理或不予受理（不予受理应当告知理由）。</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2.认定责任（价格综合股）：承办人依法开展查（勘）验、听取意见、市场调查、审查测算、作出结论。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3.决定责任（价格综合股）：审议及审核出具价格认定结论书。</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4.监管责任（价格综合股）：按照价格认定工作制度、规则、程序和方法进行价格认定监管。</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5.法律法规规章文件规定的其他应履行的责任（有关股室）。</w:t>
            </w:r>
          </w:p>
        </w:tc>
        <w:tc>
          <w:tcPr>
            <w:tcW w:w="484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1.【地方性法规】《广西壮族自治区赃物估价管理条例》（1994年6月1日广西壮族自治区人大常委会第九次会议通过）第六条：行政执法机关、司法机关委托物价主管部门对赃物进行估价时，应当出具估价委托书。估价委托书应当载明赃物的品名、规格、数量、来源、违法犯罪获取赃物的时间等有关情况和资料。</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1－2.【规范性文件】《国家发展改革委关于印发〈价格认定规定〉的通知》（发改价格〔2015〕2251号）第十二条：价格认定机构办理价格认定事项，应当具有价格认定提出机关出具的价格认定协助书。</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3.【规范性文件】《国家发展和改革委员会价格认证中心关于印发〈价格认定行为规范〉的通知》（发改价证办〔2016〕84号）第十一条：价格认定机构应当根据提出机关提供的价格认定协助书和相关材料，决定受理或者不予受理价格认定，不予受理的，价格认定机构应当出具价格认定不予受理通知书。</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十三条：有下列情形之一的，价格认定机构应当书面告知提出机关补充相关材料：（一）价格认定协助书内容不符合要求的；（二）相关材料不齐全的；（三）应当提供有效的真伪、质量、技术等检测、鉴定报告而未提供的；（四）提出价格认定时，价格认定标的已灭失或者其状态与价格认定基准日相比发生较大变化，提出机关未确定其在价格认定基准日状态的。提出机关补足相关材料后，符合价格认定受理条件的，价格认定机构应当及时受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规范性文件】《国家发展改革委关于印发〈价格认定规定〉的通知》（发改价格〔2015〕2251号）第十四条：价格认定人员应当根据价格认定对象和目的，按照价格认定工作制度、规则、程序、方法进行价格认定。</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第十五条： 价格认定人员应当全面、客观、公正地收集资料作为价格认定依据，并对其真实性、合法性和关联性进行审查。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3.【规范性文件】《国家发展改革委关于印发〈价格认定规定〉的通知》（发改价格〔2015〕2251号）第十六条：价格认定机构应当对价格认定结论进行内部审核，对重大、疑难的价格认定事项应当进行集体审议。</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4－1.【地方性法规】《广西壮族自治区赃物估价管理条例》（ 1994年6月1日广西壮族自治区人大常委会第九次会议通过）第十六条：物价主管部门工作人员，应当客观公正地估定赃物价格。对于徇私枉法，弄虚作假的，视其情节轻重，由主管部门给予行政处分；构成犯罪的，由司法机关依法追究刑事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第十七条：行政执法机关、司法机关工作人员擅自变卖赃物的，按照价格管理法规予以处罚，并由其主管部门或者监察部门对直接责任人给予行政处分；构成犯罪的，由司法机关追究刑事责任。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第十八条：有关单位和个人在罚没、估价、拍卖赃物中，应当做好赃物的保管、交接和监督工作，如发生估价物品遗失、被盗的，负有责任的单位和个人应当赔偿损失。</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2.【规范性文件】《国家发展改革委关于印发〈价格认定规定〉的通知》（发改价格〔2015〕2251号）第十七条：价格认定机构应当在接受价格认定提出机关提出价格认定事项之日起7个工作日内作出价格认定结论；另有约定的，在约定期限内作出。</w:t>
            </w:r>
          </w:p>
        </w:tc>
        <w:tc>
          <w:tcPr>
            <w:tcW w:w="2237"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1.对符合法定条件的申请不予受理的（县纪委监委派驻县发改局纪检监察组）；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2.在受理、审查、决定行政许可过程中，未作出行政决定或违法做做行政决定的（县纪委监委派驻县发改局纪检监察组）；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3.在评审过程中徇私舞弊、滥用职权或者玩忽职守的（县纪委监委派驻县发改局纪检监察组）；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4.除以上追责情形外，其他违反法律法规规章的行为依法追究相应责任（县纪委监委派驻县发改局纪检监察组）。</w:t>
            </w:r>
          </w:p>
        </w:tc>
        <w:tc>
          <w:tcPr>
            <w:tcW w:w="4440"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国家发展改革委关于印发《价格认定规定》的通知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发改价格〔2015〕2251号</w:t>
            </w:r>
          </w:p>
        </w:tc>
        <w:tc>
          <w:tcPr>
            <w:tcW w:w="53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81" w:hRule="atLeast"/>
          <w:jc w:val="center"/>
        </w:trPr>
        <w:tc>
          <w:tcPr>
            <w:tcW w:w="40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10</w:t>
            </w:r>
          </w:p>
        </w:tc>
        <w:tc>
          <w:tcPr>
            <w:tcW w:w="30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其他行政权力</w:t>
            </w:r>
          </w:p>
        </w:tc>
        <w:tc>
          <w:tcPr>
            <w:tcW w:w="504"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制定或调整权限内实行政府指导价、政府定价的商品和服务价格</w:t>
            </w:r>
          </w:p>
        </w:tc>
        <w:tc>
          <w:tcPr>
            <w:tcW w:w="546" w:type="dxa"/>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c>
          <w:tcPr>
            <w:tcW w:w="96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价格综合股</w:t>
            </w:r>
          </w:p>
        </w:tc>
        <w:tc>
          <w:tcPr>
            <w:tcW w:w="3285"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法律】《中华人民共和国价格法》第二十条：省、自治区、直辖市人民政府价格主管部门和其他有关部门，应当按照地方定价目录规定的定价权限和具体适用范围制定在本地区执行的政府指导价、政府定价。市、县人民政府可以根据省、自治区、直辖市人民政府的授权，按照地方定价目录规定的权限和具体适用范围制定在本地区执行的政府指导价、政府定价。</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部门规章】《政府制定价格行为规则》（2017年国家发展改革委令第7号）第三条：国家实行并完善主要由市场决定价格的机制。政府制定价格的范围主要为重要公用事业、公益性服务和自然垄断经营的商品和服务等，具体以中央定价目录和地方定价目录为准。经省、自治区、直辖市人民政府授权的市、县人民政府制定价格，具体工作由其所属价格主管部门或者有关部门负责。定价机关应当按照法定的权限制定价格，不得越权定价。</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3.【规范性文件】桂发改收费〔2022〕154 号</w:t>
            </w:r>
          </w:p>
        </w:tc>
        <w:tc>
          <w:tcPr>
            <w:tcW w:w="2361"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1.受理责任（价格综合股）：公布依法应当提交的材料；当场一次性告知补正材料；依法受理或不予受理（不予受理应当告知理由）；</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2.审理责任（价格综合股）：承办人深入调研、充分论证，履行规定程序后提出意见；</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3.决定责任（价格综合股）：依据有关规定作出决定（不予制定或调整价格的应当告知理由），按时办结；</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4.送达责任（价格综合股）：通知申请人到政务服务大厅领取审批结果或按申请人要求邮寄送达、信息公开；并按规定向社会公开，接受社会监督。</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5.法律法规规章文件规定的其他应履行的责任（有关股室）。</w:t>
            </w:r>
          </w:p>
        </w:tc>
        <w:tc>
          <w:tcPr>
            <w:tcW w:w="484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1.【法律】《中华人民共和国价格法》第二十四条：政府指导价、政府定价制定后，由制定价格的部门向消费者、经营者公布。</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法律】《中华人民共和国价格法》第二十五条：政府指导价、政府定价的具体适用范围、价格水平，应当根据经济运行情况，按照规定的定价权限和程序适时调整。消费者、经营者可以对政府指导价、政府定价提出调整建议。</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部门规章】《政府制定价格行为规则》（2017年国家发展改革委令第7号）第九条：定价机关制定价格，应当履行价格调查、成本监审或者成本调查、听取社会意见、合法性审查、集体审议、作出制定价格的决定等程序。</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部门规章】《政府制定价格行为规则》（2017年国家发展改革委令第7号）第二十五条：经营者、消费者、政府相关部门及有关方面（以下简称建议人）可以向定价机关提出制定价格的建议。建议内容主要包括建议制定价格的具体商品或者服务名称、建议价格、依据和理由等。</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5.【部门规章】《政府制定价格行为规则》（2017年国家发展改革委令第7号）第二十六条：制定价格有建议人的，定价机关应当以适当的方式将建议办理情况告知建议人。</w:t>
            </w:r>
          </w:p>
        </w:tc>
        <w:tc>
          <w:tcPr>
            <w:tcW w:w="2237"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1.符合法定条件的未受理、未办理的，不符合法定条件受理办理的（县纪委监委派驻县发改局纪检监察组）。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2.不履行或不正确履行权力，造成不良后果的（县纪委监委派驻县发改局纪检监察组）。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3.在审查中失职、渎职的（县纪委监委派驻县发改局纪检监察组）。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4.有接受宴请、钱物等腐败行为的（县纪委监委派驻县发改局纪检监察组）。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5.除以上追责情形外，其他违反法律法规规章的行为依法追究相应责任（有关股室）。</w:t>
            </w:r>
          </w:p>
        </w:tc>
        <w:tc>
          <w:tcPr>
            <w:tcW w:w="4440"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行政法规】《行政机关公务员处分条例》（2007年国务院令第495号）第二十二条：弄虚作假，误导、欺骗领导和公众，造成不良后果的，给予警告、记过或者记大过处分；情节较重的，给予降级或者撤职处分；情节严重的，给予开除处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行政法规】《行政机关公务员处分条例》（2007年国务院令第495号）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行政法规】《行政机关公务员处分条例》（2007年国务院令第495号）第二十条：有下列行为之一的，给予记过、记大过处分；情节较重的，给予降级或者撤职处分；情节严重的，给予开除处分：（四）其他玩忽职守、贻误工作的行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行政法规】《行政机关公务员处分条例》（2007年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050" w:hRule="atLeast"/>
          <w:jc w:val="center"/>
        </w:trPr>
        <w:tc>
          <w:tcPr>
            <w:tcW w:w="40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11</w:t>
            </w:r>
          </w:p>
        </w:tc>
        <w:tc>
          <w:tcPr>
            <w:tcW w:w="30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其他行政权力</w:t>
            </w:r>
          </w:p>
        </w:tc>
        <w:tc>
          <w:tcPr>
            <w:tcW w:w="504"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对企业实施强制性清洁生产审核的情况进行监督</w:t>
            </w:r>
          </w:p>
        </w:tc>
        <w:tc>
          <w:tcPr>
            <w:tcW w:w="546" w:type="dxa"/>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c>
          <w:tcPr>
            <w:tcW w:w="96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工交能源股</w:t>
            </w:r>
          </w:p>
        </w:tc>
        <w:tc>
          <w:tcPr>
            <w:tcW w:w="3285"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法律】《中华人民共和国清洁生产促进法》第三条：在中华人民共和国领域内，从事生产和服务活动的单位以及从事相关管理活动的部门依照本法规定，组织、实施清洁生产。第五条：.....县级以上地方人民政府确定的清洁生产综合协调部门负责组织、协调本行政区域内的清洁生产促进工作。</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部门规章】《清洁生产审核暂行办法》（2016年国家发展和改革委员会、环境保护部令第38号）第十八条：县级以上清洁生产综合协调部门应当会同环境保护部门、节能主管部门，对企业实施强制性清洁生产审核的情况进行监督，督促企业按进度开展清洁生产审核。</w:t>
            </w:r>
          </w:p>
        </w:tc>
        <w:tc>
          <w:tcPr>
            <w:tcW w:w="2361"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1.督促责任（工交能源股）：督促企业开展清洁生产；</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2.监管责任（工交能源股）：对企业实施强制性清洁生产审核的情况进行监督。</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3.法律法规规章文件规定的其他应履行的责任（有关股室）</w:t>
            </w:r>
          </w:p>
        </w:tc>
        <w:tc>
          <w:tcPr>
            <w:tcW w:w="484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法律】《中华人民共和国清洁生产促进法》第五条：县级以上地方人民政府负责领导本行政区域内的清洁生产促进工作。县级以上地方人民政府确定的清洁生产综合协调部门负责组织、协调本行政区域内的清洁生产促进工作。县级以上地方人民政府其他有关部门，按照各自的职责，负责有关的清洁生产促进工作。</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2—1.【法律】《中华人民共和国清洁生产促进法》第二十七条： ......县级以上地方人民政府有关部门应当对企业实施强制性清洁生产审核的情况进行监督，必要时可以组织对企业实施清洁生产的效果进行评估验收........</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2.【部门规章】《清洁生产审核暂行办法》（2016年国家发展和改革委员会、环境保护部令第38号）第十八条：县级以上清洁生产综合协调部门应当会同环境保护部门、节能主管部门，对企业实施强制性清洁生产审核的情况进行监督，督促企业按进度开展清洁生产审核。</w:t>
            </w:r>
          </w:p>
        </w:tc>
        <w:tc>
          <w:tcPr>
            <w:tcW w:w="2237"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1.符合法定条件的未受理、未办理的，不符合法定条件受理办理的（县纪委监委派驻县发改局纪检监察组）。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2.不履行或不正确履行权力，造成不良后果的（县纪委监委派驻县发改局纪检监察组）。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3.在审查中失职、渎职的（县纪委监委派驻县发改局纪检监察组）。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4.有接受宴请、钱物等腐败行为的（县纪委监委派驻县发改局纪检监察组）。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5.除以上追责情形外，其他违反法律法规规章的行为依法追究相应责任（有关股室）。</w:t>
            </w:r>
          </w:p>
        </w:tc>
        <w:tc>
          <w:tcPr>
            <w:tcW w:w="4440"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【法律】《中华人民共和国清洁生产促进法 》第三十五条 清洁生产综合协调部门或者其他有关部门未依照本法规定履行职责的，对直接负责的主管人员和其他直接责任人员依法给予处分。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违反《中华人民共和国清洁生产促进法》第二十七条第五款规定，承担评估验收工作的部门或者单位及其工作人员向被评估验收企业收取费用的，不如实评估验收或者在评估验收中弄虚作假的，或者利用职务上的便利谋取利益的，对直接负责的主管人员和其他直接责任人员依法给予处分；构成犯罪的，依法追究刑事责任。</w:t>
            </w:r>
          </w:p>
        </w:tc>
        <w:tc>
          <w:tcPr>
            <w:tcW w:w="53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17" w:hRule="atLeast"/>
          <w:jc w:val="center"/>
        </w:trPr>
        <w:tc>
          <w:tcPr>
            <w:tcW w:w="406"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default"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12</w:t>
            </w:r>
          </w:p>
        </w:tc>
        <w:tc>
          <w:tcPr>
            <w:tcW w:w="308"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行政处罚</w:t>
            </w:r>
          </w:p>
        </w:tc>
        <w:tc>
          <w:tcPr>
            <w:tcW w:w="504"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对违反《粮食流通管理条例》行为的行政处罚</w:t>
            </w:r>
          </w:p>
        </w:tc>
        <w:tc>
          <w:tcPr>
            <w:tcW w:w="546" w:type="dxa"/>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lang w:val="en-US" w:eastAsia="zh-CN"/>
              </w:rPr>
              <w:t>1.</w:t>
            </w:r>
            <w:r>
              <w:rPr>
                <w:rFonts w:hint="eastAsia" w:ascii="方正书宋_GBK" w:hAnsi="宋体" w:eastAsia="方正书宋_GBK" w:cs="宋体"/>
                <w:kern w:val="0"/>
                <w:sz w:val="20"/>
                <w:szCs w:val="20"/>
              </w:rPr>
              <w:t>对粮食收购企业未按照规定备案或者提供虚假备案信息的处罚</w:t>
            </w:r>
          </w:p>
        </w:tc>
        <w:tc>
          <w:tcPr>
            <w:tcW w:w="96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粮食和物资储备股</w:t>
            </w:r>
          </w:p>
        </w:tc>
        <w:tc>
          <w:tcPr>
            <w:tcW w:w="3285"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《粮食流通管理条例》（2021年1月4日国务院第121次常务会议修订通过，自2021年4月15日起施行）第四十三条　粮食收购企业未按照规定备案或者提供虚假备案信息的，由粮食和储备行政管理部门责令改正，给予警告；拒不改正的，处2万元以上5万元以下罚款。</w:t>
            </w:r>
          </w:p>
        </w:tc>
        <w:tc>
          <w:tcPr>
            <w:tcW w:w="2361"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lang w:val="en-US" w:eastAsia="zh-CN" w:bidi="ar-SA"/>
              </w:rPr>
            </w:pPr>
            <w:r>
              <w:rPr>
                <w:rFonts w:hint="eastAsia" w:ascii="方正书宋_GBK" w:hAnsi="方正书宋_GBK" w:eastAsia="方正书宋_GBK" w:cs="方正书宋_GBK"/>
                <w:i w:val="0"/>
                <w:iCs w:val="0"/>
                <w:color w:val="000000"/>
                <w:kern w:val="0"/>
                <w:sz w:val="20"/>
                <w:szCs w:val="20"/>
                <w:u w:val="none"/>
                <w:lang w:val="en-US" w:eastAsia="zh-CN" w:bidi="ar"/>
              </w:rPr>
              <w:t>1.立案责任（粮食和物资储备股）：通过日常监督检查或举报投诉，发现“粮食经营者及饲料、工业用粮企业不按规定建立经营台账、粮食质量档案或不按规定报送有关情况、政策性粮食经营者违反国家法规和政府规章”的行为，进行审查，决定是否立案处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调查取证责任（粮食和物资储备股）：（1）向被检查人送达监督检查通知书；（2）实施监督检查时，检查人员不得少于两人，并向被检查人出示粮食监督检查证件；（3）制作《调查笔录》，经核对无误后，监督检查人员和被检查对象在笔录上签字或盖章；（4）制作监督检查报告书，报告书应当载明：被监督检查对象名称、检查日期，监督检查的原因、项目，发现的主要问题，处理意见。（5）监督检查报告作出后，在十五日内将检查结果、处理意见或建议通知被检查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3.告知责任（粮食和物资储备股）：作出行政处罚决定前，制作《行政处罚事先告知书》送达当事人，告知作出行政处罚决定的事实、理由及依据，并告知当事人享有陈述权、申辩权。</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4.决定责任（粮食和物资储备股）：作出处罚决定，制作行政处罚决定书。</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送达责任（粮食和物资储备股）：（1）对检查对象作出处罚的，将《行政处罚决定书》送达被检查对象；告当事人享有行政复议权、行政诉讼权。（2）对投诉事项作出处罚的，以书面形式通知投诉人、被投诉人及其他与投诉处理结果有利害关系的当事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执行责任（粮食和物资储备股）：当事人应自觉履行生效的行政处罚决定，逾期不履行的，粮食行政管理部门可以采取下列措施（粮食和物资储备股）：（1）每日按罚款数额的百分之三加处罚款；（2）申请人民法院强制执行。</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监督责任（粮食和物资储备股）：对“从事粮食收购、销售、储存、加工的粮食经营者及饲料、工业用粮企业不按规定建立经营台账、粮食质量档案或不按规定报送有关情况、政策性粮食经营者违反国家法规和政府规章情况”的处罚决定执行情况进行监督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8.法律法规规章文件规定的其他应履行的责任（有关股室）。</w:t>
            </w:r>
          </w:p>
        </w:tc>
        <w:tc>
          <w:tcPr>
            <w:tcW w:w="4842"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lang w:val="en-US" w:eastAsia="zh-CN" w:bidi="ar-SA"/>
              </w:rPr>
            </w:pPr>
            <w:r>
              <w:rPr>
                <w:rFonts w:hint="eastAsia" w:ascii="方正书宋_GBK" w:hAnsi="方正书宋_GBK" w:eastAsia="方正书宋_GBK" w:cs="方正书宋_GBK"/>
                <w:i w:val="0"/>
                <w:iCs w:val="0"/>
                <w:color w:val="000000"/>
                <w:kern w:val="0"/>
                <w:sz w:val="20"/>
                <w:szCs w:val="20"/>
                <w:u w:val="none"/>
                <w:lang w:val="en-US" w:eastAsia="zh-CN" w:bidi="ar"/>
              </w:rPr>
              <w:t>1-1.【法律】《中华人民共和国行政处罚法》（1996年主席令第六十三号公布，2009年主席令第十八号修改）第三十六条“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-2.【规范性文件】《粮食监督检查工作规程（试行）〉》（国粮检〔2005〕31号）第七条粮食行政管理部门对下列情况应当及时进行监督检查：（一）按有关规定要求开展对辖区粮食流通情况以定期监督检查、专项监督检查、抽查和专案等方式监督检查的；（二）公民、法人及其组织举报的；（三）上级粮食行政管理部门交办的，下级粮食行政管理部门报请的，其他上级机关交办的，有关部门移送的；（四）其他方式途径披露并属于本部门管辖的。第八条 粮食行政管理部门受理违反《粮食流通管理条例》的举报事项，须指定专人负责。对公民、法人或者其他组织举报的事项符合下列条件的，应当在十日内作出受理决定，并及时组织进行调查：（一）有明确违法、违规行为人和危害后果的；（二）有具体事实依据的；（三）属于粮食行政管理部门监督检查范围并属本部门管辖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-1.【法律】《中华人民共和国行政处罚法》（1996年主席令第六十三号公布，2009年主席令第十八号修改）第三十七条：“行政机关在调查或者进行检查时，执法人员不得少于两人，并应当向当事人或者有关人员出示证件。执法人员与当事人有直接利害关系的，应当回避。”</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2-2.【规范性文件】《粮食监督检查工作规程（试行）〉》（国粮检〔2005〕31号）第十三条 粮食行政管理部门在进行监督检查时，监督检查人员不得少于两人，并应当向当事人或者有关人员出示粮食监督检查证件。监督检查人员应告知当事人或者有关人员监督检查的依据和事项，以及拒绝、阻挠、干涉监督检查应负的法律责任。涉及国家秘密、商业秘密和个人隐私的，监督检查人员应当保守秘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3-1.【法律】《中华人民共和国行政处罚法》（1996年中华人民共和国主席令第63号公布，1996年10月1日起施行）第三十一条 行政机关在作出行政处罚决定之前，应当告知当事人作出行政处罚决定的事实、理由及依据，并告知当事人依法享有的权利。</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3-2.【规范性文件】《粮食监督检查工作规程（试行）〉》（国粮检〔2005〕31号）第十九条 监督检查终结后，粮食行政管理部门应根据监督检查的事实、性质、情节，制作监督检查报告书。监督检查报告书应当载明以下内容：（一）被监督检查对象名称、检查日期；（二）监督检查的原因、项目；（三）发现的主要问题；（四）处理意见。第二十一条 监督检查报告作出后，应在十五是内将检查结果、处理意见或建议通知当事人。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的依法可以不予行政处罚的，不予行政处罚；(三)违法事实不能成立的，不得给予行政处罚；(四)违法行为已构成犯罪的，移送司法机关。对情节复杂或者重大违法行为给予的行政处罚，行政机关的负责人应当集体讨论决定。第三十九条 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5-1.【法律】《中华人民共和国行政处罚法》（1996年中华人民共和国主席令第63号公布，1996年10月1日起施行）第四十条 行政处罚决定书应当在宣告后当场交付当事人；当事人不在场的，行政机关应当在七日内依照民事诉讼法的有关规定，将行政处罚决定书送达当事人。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5-2.【规范性文件】《粮食监督检查行政处罚程序（（试行）〉》（国粮检〔2005〕31号）第二十五条 行政处罚决定书应当在宣告后当场交付当事人，当事人不在场的，粮食行政管理部门应当在七日内依照民事诉讼法法</w:t>
            </w:r>
            <w:bookmarkStart w:id="0" w:name="_GoBack"/>
            <w:bookmarkEnd w:id="0"/>
            <w:r>
              <w:rPr>
                <w:rFonts w:hint="eastAsia" w:ascii="方正书宋_GBK" w:hAnsi="方正书宋_GBK" w:eastAsia="方正书宋_GBK" w:cs="方正书宋_GBK"/>
                <w:i w:val="0"/>
                <w:iCs w:val="0"/>
                <w:color w:val="000000"/>
                <w:kern w:val="0"/>
                <w:sz w:val="20"/>
                <w:szCs w:val="20"/>
                <w:u w:val="none"/>
                <w:lang w:val="en-US" w:eastAsia="zh-CN" w:bidi="ar"/>
              </w:rPr>
              <w:t>的有关规定，将行政处罚决定书送达当事人。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6-1【法律】《中华人民共和国行政处罚法》（1996年中华人民共和国主席令第63号公布，1996年10月1日起施行）第四十四条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6-2.【规范性文件】《粮食监督检查行政处罚程序（（试行）〉》（国粮检〔2005〕31号）第三十三条 粮食行政管理部门行政处罚决定依法作出后，当事人应当在行政处罚决定的期限内予以履行。第三十七条 当事人在规定期间内不申请行政复议或者不提起行政诉讼又不履行行政处罚决定的，作出行政处罚的粮食行政管理部门可以采取下列措施：（一）到期不缴纳罚款的，每日按罚款数额的百分之三加罚款；（二）申请人民法院强制执行。</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7-1.【行政法规】《粮食流通管理条例》(2004年5月26日国务院令第407号公布实施，2016年2月6日国务院令第666号《国务院关于修改部分行政法规的决定》第二次修正。)第三十四条 粮食行政管理部门依照本条例对粮食经营者从事粮食收购、储存、运输活动和政策性用粮的购销活动，以及执行国家粮食流通统计制度的情况进行监督检查。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7-2.【规范性文件】《粮食监督检查工作规程（试行）〉》（国粮检〔2005〕31号）第二十五条 粮食行政管理部门应追踪督办监督检查处理意见、建议、处罚决定的执行情况。</w:t>
            </w:r>
          </w:p>
        </w:tc>
        <w:tc>
          <w:tcPr>
            <w:tcW w:w="2237"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lang w:val="en-US" w:eastAsia="zh-CN" w:bidi="ar-SA"/>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因不履行或不正确履行职责，有下列情形的行政机关及相关工作人员应承担相应的责任：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1.不具备行政处罚主体资格（县纪委监委派驻县发改局纪检监察组）；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2.没有事实和法律依据（县纪委监委派驻县发改局纪检监察组）；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3.擅自改变处罚种类、幅度（县纪委监委派驻县发改局纪检监察组）；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4.违反法定程序（县纪委监委派驻县发改局纪检监察组）；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5.违法处理罚没财物（县纪委监委派驻县发改局纪检监察组）；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6.涉嫌犯罪，不移交司法机关（县纪委监委派驻县发改局纪检监察组）；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7.对违法行为应当处罚不处罚或者乱处罚（县纪委监委派驻县发改局纪检监察组）；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8.除以上追责情形外，其他违反法律法规规章的行为依法追究相应责任（县纪委监委派驻县发改局纪检监察组）。</w:t>
            </w:r>
          </w:p>
        </w:tc>
        <w:tc>
          <w:tcPr>
            <w:tcW w:w="4440"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lang w:val="en-US" w:eastAsia="zh-CN" w:bidi="ar-SA"/>
              </w:rPr>
            </w:pPr>
            <w:r>
              <w:rPr>
                <w:rFonts w:hint="eastAsia" w:ascii="方正书宋_GBK" w:hAnsi="方正书宋_GBK" w:eastAsia="方正书宋_GBK" w:cs="方正书宋_GBK"/>
                <w:i w:val="0"/>
                <w:iCs w:val="0"/>
                <w:color w:val="000000"/>
                <w:kern w:val="0"/>
                <w:sz w:val="20"/>
                <w:szCs w:val="20"/>
                <w:u w:val="none"/>
                <w:lang w:val="en-US" w:eastAsia="zh-CN" w:bidi="ar"/>
              </w:rPr>
              <w:t>1.【规范性文件】《粮食监督检查工作规程（试行）〉》（国粮检〔2005〕31号）第二十八条“有下列行为之一的，由粮食行政管理部门责令直接负责的主管人员和其他直接责任人员改正：（二）没有正当理由擅自对被检查对象进行检查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 .【法律】《中华人民共和国行政处罚法》第七十六条　行政机关实施行政处罚，有下列情形之一，由上级行政机关或者有关机关责令改正，对直接负责的主管人员和其他直接责任人员依法给予处分：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（一）没有法定的行政处罚依据的；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（二）擅自改变行政处罚种类、幅度的；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（三）违反法定的行政处罚程序的；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（四）违反本法第二十条关于委托处罚的规定的；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（五）执法人员未取得执法证件的。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3.同上。</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4.同上。</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规范性文件】《粮食监督检查行政处罚程序（（试行）〉》（国粮检〔2005〕31号）第二十九条“粮食行政管理部门的监督检查人员有下列行为之一的，依法给予警告直至开除的行政处分，构成犯罪的，依法追究刑事责任：（五）有其他违法、违规行为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-1.【行政法规】《粮食流通管理条例》(2004年5月26日国务院令第407号公布实施，2016年2月第二次修订)第五十条“监督检查人员违反本条例规定，非法干预粮食经营者正常经营活动的，依法给予行政处分;构成犯罪的，依法追究刑事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-2.【规范性文件】《粮食监督检查工作规程（试行）〉》（国粮检〔2005〕31号）第三十条“粮食行政管理部门的监督检查人员违反《粮食流通管理条例》和《粮食流通监督检查暂行办法》规定，非法干预粮食经营者正常经营活动的，依法给予行政处分，构成犯罪的，依法追究刑事责任。”</w:t>
            </w:r>
          </w:p>
        </w:tc>
        <w:tc>
          <w:tcPr>
            <w:tcW w:w="532"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lang w:val="en-US" w:eastAsia="zh-CN" w:bidi="ar-SA"/>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001" w:hRule="atLeast"/>
          <w:jc w:val="center"/>
        </w:trPr>
        <w:tc>
          <w:tcPr>
            <w:tcW w:w="406"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308"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504"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546" w:type="dxa"/>
            <w:noWrap w:val="0"/>
            <w:vAlign w:val="center"/>
          </w:tcPr>
          <w:p>
            <w:pPr>
              <w:keepNext w:val="0"/>
              <w:keepLines w:val="0"/>
              <w:pageBreakBefore w:val="0"/>
              <w:kinsoku/>
              <w:wordWrap/>
              <w:overflowPunct/>
              <w:topLinePunct w:val="0"/>
              <w:autoSpaceDE/>
              <w:autoSpaceDN/>
              <w:bidi w:val="0"/>
              <w:spacing w:line="24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2.对违反《粮食流通管理条例》行为的行政处罚</w:t>
            </w:r>
          </w:p>
        </w:tc>
        <w:tc>
          <w:tcPr>
            <w:tcW w:w="96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粮食和物资储备股</w:t>
            </w:r>
          </w:p>
        </w:tc>
        <w:tc>
          <w:tcPr>
            <w:tcW w:w="3285"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《粮食流通管理条例》（2021年1月4日国务院第121次常务会议修订通过，自2021年4月15日起施行）第四十五条　有下列情形之一的，由粮食和储备行政管理部门责令改正，给予警告，可以并处20万元以下罚款；情节严重的，并处20万元以上50万元以下罚款：</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（一）粮食收购者未执行国家粮食质量标准；</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（二）粮食收购者未及时向售粮者支付售粮款；</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（三）粮食收购者违反本条例规定代扣、代缴税、费和其他款项；</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（四）粮食收购者收购粮食，未按照国家有关规定进行质量安全检验，或者对不符合食品安全标准的粮食未作为非食用用途单独储存；</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（五）从事粮食收购、销售、储存、加工的粮食经营者以及饲料、工业用粮企业未建立粮食经营台账，或者未按照规定报送粮食基本数据和有关情况；</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（六）粮食储存企业未按照规定进行粮食销售出库质量安全检验。</w:t>
            </w:r>
          </w:p>
        </w:tc>
        <w:tc>
          <w:tcPr>
            <w:tcW w:w="2361"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4842"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2237"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4440"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532"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381" w:type="dxa"/>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751" w:hRule="atLeast"/>
          <w:jc w:val="center"/>
        </w:trPr>
        <w:tc>
          <w:tcPr>
            <w:tcW w:w="406"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308"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504"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546" w:type="dxa"/>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lang w:val="en-US" w:eastAsia="zh-CN"/>
              </w:rPr>
              <w:t>3.</w:t>
            </w:r>
            <w:r>
              <w:rPr>
                <w:rFonts w:hint="eastAsia" w:ascii="方正书宋_GBK" w:hAnsi="宋体" w:eastAsia="方正书宋_GBK" w:cs="宋体"/>
                <w:kern w:val="0"/>
                <w:sz w:val="20"/>
                <w:szCs w:val="20"/>
              </w:rPr>
              <w:t>对粮食收购者、粮食储存企业未按照本条例规定使用仓储设施、运输工具的处罚</w:t>
            </w:r>
          </w:p>
        </w:tc>
        <w:tc>
          <w:tcPr>
            <w:tcW w:w="96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粮食和物资储备股</w:t>
            </w:r>
          </w:p>
        </w:tc>
        <w:tc>
          <w:tcPr>
            <w:tcW w:w="3285"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《粮食流通管理条例》（2021年1月4日国务院第121次常务会议修订通过，自2021年4月15日起施行）第四十六条　粮食收购者、粮食储存企业未按照本条例规定使用仓储设施、运输工具的，由粮食和储备行政管理等部门按照职责责令改正，给予警告；被污染的粮食不得非法销售、加工。</w:t>
            </w:r>
          </w:p>
        </w:tc>
        <w:tc>
          <w:tcPr>
            <w:tcW w:w="2361"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4842"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2237"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4440"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532"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381" w:type="dxa"/>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676" w:hRule="atLeast"/>
          <w:jc w:val="center"/>
        </w:trPr>
        <w:tc>
          <w:tcPr>
            <w:tcW w:w="406"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308"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504"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546" w:type="dxa"/>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lang w:val="en-US" w:eastAsia="zh-CN"/>
              </w:rPr>
              <w:t>4.</w:t>
            </w:r>
            <w:r>
              <w:rPr>
                <w:rFonts w:hint="eastAsia" w:ascii="方正书宋_GBK" w:hAnsi="宋体" w:eastAsia="方正书宋_GBK" w:cs="宋体"/>
                <w:kern w:val="0"/>
                <w:sz w:val="20"/>
                <w:szCs w:val="20"/>
              </w:rPr>
              <w:t>对粮食收购者、粮食储存企业将质量不合格粮食作为食用用途销售出库的处罚</w:t>
            </w:r>
          </w:p>
        </w:tc>
        <w:tc>
          <w:tcPr>
            <w:tcW w:w="96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粮食和物资储备股</w:t>
            </w:r>
          </w:p>
        </w:tc>
        <w:tc>
          <w:tcPr>
            <w:tcW w:w="3285"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《粮食流通管理条例》（2021年1月4日国务院第121次常务会议修订通过，自2021年4月15日起施行）第四十七条　粮食收购者、粮食储存企业将下列粮食作为食用用途销售出库的，由粮食和储备行政管理部门没收违法所得；违法销售出库的粮食货值金额不足1万元的，并处1万元以上5万元以下罚款，货值金额1万元以上的，并处货值金额1倍以上5倍以下罚款：</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（一）真菌毒素、农药残留、重金属等污染物质以及其他危害人体健康的物质含量超过食品安全标准限量的；</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（二）霉变或者色泽、气味异常的；</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（三）储存期间使用储粮药剂未满安全间隔期的；</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（四）被包装材料、容器、运输工具等污染的；</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（五）其他法律、法规或者国家有关规定明确不得作为食用用途销售的。</w:t>
            </w:r>
          </w:p>
        </w:tc>
        <w:tc>
          <w:tcPr>
            <w:tcW w:w="2361"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4842"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2237"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4440"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532"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381" w:type="dxa"/>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111" w:hRule="atLeast"/>
          <w:jc w:val="center"/>
        </w:trPr>
        <w:tc>
          <w:tcPr>
            <w:tcW w:w="406"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308"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504"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546" w:type="dxa"/>
            <w:noWrap w:val="0"/>
            <w:vAlign w:val="center"/>
          </w:tcPr>
          <w:p>
            <w:pPr>
              <w:keepNext w:val="0"/>
              <w:keepLines w:val="0"/>
              <w:pageBreakBefore w:val="0"/>
              <w:kinsoku/>
              <w:wordWrap/>
              <w:overflowPunct/>
              <w:topLinePunct w:val="0"/>
              <w:autoSpaceDE/>
              <w:autoSpaceDN/>
              <w:bidi w:val="0"/>
              <w:spacing w:line="24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5.对从事政策性粮食经营活动企业违反国家政策性粮食经营管理规定的处罚</w:t>
            </w:r>
          </w:p>
        </w:tc>
        <w:tc>
          <w:tcPr>
            <w:tcW w:w="96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粮食和物资储备股</w:t>
            </w:r>
          </w:p>
        </w:tc>
        <w:tc>
          <w:tcPr>
            <w:tcW w:w="3285"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《粮食流通管理条例》（2021年1月4日国务院第121次常务会议修订通过，自2021年4月15日起施行）第四十九条　从事政策性粮食经营活动，有下列情形之一的，由粮食和储备行政管理部门责令改正，给予警告，没收违法所得，并处50万元以上200万元以下罚款；情节严重的，并处200万元以上500万元以下罚款：</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（一）虚报粮食收储数量；</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（二）通过以陈顶新、以次充好、低收高转、虚假购销、虚假轮换、违规倒卖等方式，套取粮食价差和财政补贴，骗取信贷资金；</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（三）挤占、挪用、克扣财政补贴、信贷资金；</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（四）以政策性粮食为债务作担保或者清偿债务；</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（五）利用政策性粮食进行除政府委托的政策性任务以外的其他商业经营；</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（六）在政策性粮食出库时掺杂使假、以次充好、调换标的物，拒不执行出库指令或者阻挠出库；</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（七）购买国家限定用途的政策性粮食，违规倒卖或者不按照规定用途处置；</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（八）擅自动用政策性粮食；</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（九）其他违反国家政策性粮食经营管理规定的行为。</w:t>
            </w:r>
          </w:p>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粮食应急预案启动后，不按照国家要求承担应急任务，不服从国家的统一安排和调度的，依照前款规定予以处罚。</w:t>
            </w:r>
          </w:p>
        </w:tc>
        <w:tc>
          <w:tcPr>
            <w:tcW w:w="2361"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4842"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2237"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4440"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532"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381" w:type="dxa"/>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457" w:hRule="atLeast"/>
          <w:jc w:val="center"/>
        </w:trPr>
        <w:tc>
          <w:tcPr>
            <w:tcW w:w="406"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308"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504"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546" w:type="dxa"/>
            <w:noWrap w:val="0"/>
            <w:vAlign w:val="center"/>
          </w:tcPr>
          <w:p>
            <w:pPr>
              <w:keepNext w:val="0"/>
              <w:keepLines w:val="0"/>
              <w:pageBreakBefore w:val="0"/>
              <w:kinsoku/>
              <w:wordWrap/>
              <w:overflowPunct/>
              <w:topLinePunct w:val="0"/>
              <w:autoSpaceDE/>
              <w:autoSpaceDN/>
              <w:bidi w:val="0"/>
              <w:spacing w:line="24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6.对从事粮食经营活动的企业有违反《粮食流通管理条例》规定的违法情形且情节严重的处罚</w:t>
            </w:r>
          </w:p>
        </w:tc>
        <w:tc>
          <w:tcPr>
            <w:tcW w:w="96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粮食和物资储备股</w:t>
            </w:r>
          </w:p>
        </w:tc>
        <w:tc>
          <w:tcPr>
            <w:tcW w:w="3285"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r>
              <w:rPr>
                <w:rFonts w:hint="eastAsia" w:ascii="方正书宋_GBK" w:hAnsi="方正书宋_GBK" w:eastAsia="方正书宋_GBK" w:cs="方正书宋_GBK"/>
                <w:i w:val="0"/>
                <w:iCs w:val="0"/>
                <w:color w:val="000000"/>
                <w:kern w:val="0"/>
                <w:sz w:val="20"/>
                <w:szCs w:val="20"/>
                <w:u w:val="none"/>
                <w:lang w:val="en-US" w:eastAsia="zh-CN" w:bidi="ar"/>
              </w:rPr>
              <w:t>《粮食流通管理条例》（2021年1月4日国务院第121次常务会议修订通过，自2021年4月15日起施行）第五十一条　从事粮食经营活动的企业有违反本条例规定的违法情形且情节严重的，对其法定代表人、主要负责人、直接负责的主管人员和其他直接责任人员处以其上一年度从本企业取得收入的1倍以上10倍以下罚款。</w:t>
            </w:r>
          </w:p>
        </w:tc>
        <w:tc>
          <w:tcPr>
            <w:tcW w:w="2361"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4842"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2237"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4440"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532"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方正书宋_GBK" w:eastAsia="方正书宋_GBK" w:cs="方正书宋_GBK"/>
                <w:i w:val="0"/>
                <w:iCs w:val="0"/>
                <w:color w:val="000000"/>
                <w:kern w:val="0"/>
                <w:sz w:val="20"/>
                <w:szCs w:val="20"/>
                <w:u w:val="none"/>
                <w:lang w:val="en-US" w:eastAsia="zh-CN" w:bidi="ar"/>
              </w:rPr>
            </w:pPr>
          </w:p>
        </w:tc>
        <w:tc>
          <w:tcPr>
            <w:tcW w:w="381" w:type="dxa"/>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67" w:hRule="atLeast"/>
          <w:jc w:val="center"/>
        </w:trPr>
        <w:tc>
          <w:tcPr>
            <w:tcW w:w="40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13</w:t>
            </w:r>
          </w:p>
        </w:tc>
        <w:tc>
          <w:tcPr>
            <w:tcW w:w="30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行政检查</w:t>
            </w:r>
          </w:p>
        </w:tc>
        <w:tc>
          <w:tcPr>
            <w:tcW w:w="504"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对粮食收购资格核查</w:t>
            </w:r>
          </w:p>
        </w:tc>
        <w:tc>
          <w:tcPr>
            <w:tcW w:w="546" w:type="dxa"/>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c>
          <w:tcPr>
            <w:tcW w:w="96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粮食和物资储备股</w:t>
            </w:r>
          </w:p>
        </w:tc>
        <w:tc>
          <w:tcPr>
            <w:tcW w:w="3285"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行政法规】《粮食流通管理条例》（2021年2月15日国务院令第740号第三次修订第三十八条：粮食和储备行政管理部门依照本条例对粮食经营者从事粮食收购、储存、运输活动和政策性粮食的购销活动，以及执行国家粮食流通统计制度的情况进行监督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粮食和储备行政管理部门在监督检查过程中，可以进入粮食经营者经营场所，查阅有关资料、凭证；检查粮食数量、质量和储存安全情况；检查粮食仓储设施、设备是否符合有关标准和技术规范；向有关单位和人员调查了解相关情况；查封、扣押非法收购或者不符合国家粮食质量安全标准的粮食，用于违法经营或者被污染的工具、设备以及有关账簿资料；查封违法从事粮食经营活动的场所。</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部门规章】《粮食库存检查暂行办法》（国粮检〔2006〕139号）第二条第三款：国家有关部门和单位按照各自职责组织的与粮食经营企业粮食库存有关的专项检查，地方粮食行政管理等部门和单位按照省长负责制的要求在本辖区内组织的对地方粮食库存的检查，参照本办法执行。</w:t>
            </w:r>
          </w:p>
        </w:tc>
        <w:tc>
          <w:tcPr>
            <w:tcW w:w="2361"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1.告知责任（粮食和物资储备股）：制定检查方案，确定目标、对象和方式，公告或通知被检查对象。</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检查责任（粮食和物资储备股）：检查时，执行人员不少于2人，应当持《检查通知书》或相关证件进行检查。对粮食经营者从事粮食收购、储存、运输活动和政策性用粮的购销活动，以及执行国家粮食流通统计制度的情况进行监督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3.处理责任（粮食和物资储备股）：行政机关对县级储备粮储存检查情况制作检查报告，提出处理意见。</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4.事后监管责任（粮食和物资储备股）：加强对县级储备粮储存管理情况的监督检查。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5.法律法规规章文件规定的其他应履行的责任（有关股室）</w:t>
            </w:r>
          </w:p>
        </w:tc>
        <w:tc>
          <w:tcPr>
            <w:tcW w:w="484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 xml:space="preserve">1.【法律】《国家粮食流通统计制度》第十条：各级粮食行政管理部门统计负责人、统计机构和统计人员的主要职责是：（一） 组织、协调本部门各职能机构的粮食统计工作，完成国家统计调查、行业统计调查和地方统计调查任务，制定和实施本部门的粮食统计调查计划，搜集、整理、分析、提供统计资料；（二） 贯彻实施《统计法》和《国家粮食流通统计制度》，对管辖区域内粮食经营企业和转化用粮企业实行统计监督；（三）管理本部门的粮食统计调查表和基本统计资料，根据形势需要不断完善粮食统计制度；（四） 组织指导本部门统计人员的业务培训，加强统计队伍建设。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法律】《国家粮食流通统计制度》第十二条：统计机构和统计人员的主要职权：（一）有权要求有关单位和人员，按照国家粮食流通统计制度规定，如实提供统计资料。（二）有权检查有关单位各业务环节的统计原始记录和统计数字的质量，并要求改正不真实的统计资料。（三）有权揭发和检举统计调查中的违法行为。对任何违反《统计法》和《粮食流通管理条例》、损害国家利益的行为，有权制止、纠正或移交有关执法部门处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3—1.【法律】《中华人民共和国统计法》第二十一条：统计资料的审核、签署人员应当对其审核、签署的统计资料的真实性、准确性和完整性负责。</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2.【法律】《国家粮食流通统计制度》第二十四条：各级粮食行政管理部门在统计工作中必须保守国家秘密，自觉遵守保密制度。统计机构和统计人员对统计调查中知悉的统计调查对象的商业秘密和属于企业、私人、家庭的单项调查资料，负有保密义务。涉及国家秘密的统计报表要按规定方式报送。对外提供与公布统计数字，要执行《统计法》和国家有关保密规定。各级粮食行政管理部门公布粮食统计资料必须经本部门统计负责人核定。</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3.【法律】《中华人民共和国统计法》第三十九条：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tc>
        <w:tc>
          <w:tcPr>
            <w:tcW w:w="2237"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1.监督检查人员进行监督检查时没有出示监督检查证件的（县纪委监委派驻县发改局纪检监察组）；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2.没有正当理由擅自对被检查对象进行检查的（县纪委监委派驻县发改局纪检监察组）；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3.下级粮食行政管理部门违反在上级粮食行政管理部门检查后规定的期限内对同一事项再次进行监督检查的（县纪委监委派驻县发改局纪检监察组）；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4.监督检查人员违规向被检查对象收取费用的（县纪委监委派驻县发改局纪检监察组）；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5.工作中滥用职权.徇私舞弊、玩忽职守造成不良后果的（县纪委监委派驻县发改局纪检监察组）；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6.工作中发生贪污腐败行为的（县纪委监委派驻县发改局纪检监察组）；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7.其他违反法律法规文件规定的行为（县纪委监委派驻县发改局纪检监察组）。</w:t>
            </w:r>
          </w:p>
        </w:tc>
        <w:tc>
          <w:tcPr>
            <w:tcW w:w="4440"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规范性文件】《粮食监督检查工作规程（试行）〉》（国粮检〔2005〕31号）第二十八条“有下列行为之一的，由粮食行政管理部门责令直接负责的主管人员和其他直接责任人员改正：：（一）监督检查人员进行监督检查时没有出示监督检查证件的；（二）没有正当理由擅自对被检查对象进行检查的；（三）下级粮食行政管理部门违反第十一条在上级粮食行政管理部门检查后规定的期限内对同一事项再次进行监督检查的；（四）监督检查人员违规向被检查对象收取费用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2.同上。</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3.同上。</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4.同上。</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行政法规】《行政机关公务员处分条例》（国务院令第495号）第二十条有下列行为之一的，给予记过、记大过处分；情节较重的，给予降级或者撤职处分；情节严重的，给予开除处分：（四）其他玩忽职守、贻误工作的行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-1.【行政法规】《行政机关公务员处分条例》（国务院令第495号）第二十三条：“有贪污、索贿、受贿、行贿、介绍贿赂、挪用公款、利用职务之便为自己或者他人谋取私利、巨额财产来源不明等违反廉政纪律行为的，给予记过或者记大过处分；情节较重的，给予降级或者撤职。</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-2.【规范性文件】《粮食监督检查工作规程（（试行）》（国粮检〔2005〕31号）第二十九条“粮食行政管理部门的监督检查人员有下列行为之一的，依法给予警告直至开除的行政处分，构成犯罪的，依法追究刑事责任：（一）接受被检查对象的馈赠、报酬的；（二）在被检查对象报销费用的；（三）参加被检查对象提供的宴请、娱乐、旅游等活动的；（四）通过监督检查工作为本人、亲友或者他人谋取利益的；”</w:t>
            </w:r>
          </w:p>
        </w:tc>
        <w:tc>
          <w:tcPr>
            <w:tcW w:w="532"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12" w:hRule="atLeast"/>
          <w:jc w:val="center"/>
        </w:trPr>
        <w:tc>
          <w:tcPr>
            <w:tcW w:w="406"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14</w:t>
            </w:r>
          </w:p>
        </w:tc>
        <w:tc>
          <w:tcPr>
            <w:tcW w:w="308"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行政检查</w:t>
            </w:r>
          </w:p>
        </w:tc>
        <w:tc>
          <w:tcPr>
            <w:tcW w:w="504"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粮食库存检查</w:t>
            </w:r>
          </w:p>
        </w:tc>
        <w:tc>
          <w:tcPr>
            <w:tcW w:w="546" w:type="dxa"/>
            <w:vMerge w:val="restart"/>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c>
          <w:tcPr>
            <w:tcW w:w="966"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粮食和物资储备股</w:t>
            </w:r>
          </w:p>
        </w:tc>
        <w:tc>
          <w:tcPr>
            <w:tcW w:w="3285"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【行政法规】《粮食流通管理条例》（2021年1月4日国务院第121次常务会议修订通过，自2021年4月15日起施行）第三十八条　粮食和储备行政管理部门依照本条例对粮食经营者从事粮食收购、储存、运输活动和政策性粮食的购销活动，以及执行国家粮食流通统计制度的情况进行监督检查。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粮食和储备行政管理部门在监督检查过程中，可以进入粮食经营者经营场所，查阅有关资料、凭证；检查粮食数量、质量和储存安全情况；检查粮食仓储设施、设备是否符合有关标准和技术规范；向有关单位和人员调查了解相关情况；查封、扣押非法收购或者不符合国家粮食质量安全标准的粮食，用于违法经营或者被污染的工具、设备以及有关账簿资料；查封违法从事粮食经营活动的场所。</w:t>
            </w:r>
          </w:p>
        </w:tc>
        <w:tc>
          <w:tcPr>
            <w:tcW w:w="2361"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1.受理责任（粮食和物资储备股）：粮油仓储单位备案申请，并告知申请人办理竣工验收备案的相关事项。</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2.审查责任（粮食和物资储备股）：审查备案资料，材料不齐全的一次性告知，不符合法定条件的退回.</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3.决定责任（粮食和物资储备股）：拿出是否同意备案的意见，并报领导审核并签署意见形成备案决定。</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4.送达责任（粮食和物资储备股）：作出同意备案的，送达粮油仓储单位备案表；作出不同意备案的，说明原因并要求整改备案。</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5.法律法规规章文件规定的其他应履行的责任（有关股室）。</w:t>
            </w:r>
          </w:p>
        </w:tc>
        <w:tc>
          <w:tcPr>
            <w:tcW w:w="4842"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-1.【规章】《粮油仓储管理办法》（2009年12月国家发改委令第5号）第六条：粮油仓储单位应当自设立或者开始从事粮油仓储活动之日起31个工作日内，向所在地粮食行政管理部门备案。备案应当包括单位名称、地址、法人代表、主要仓储业务类型、仓（罐）容规模等内容。</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1-2.【规章】《粮油仓储管理办法》（2009年12月国家发改委令第5号）第二十八条 粮油仓储单位违反本办法第六条规定，未在规定时间向粮食行政管理部门备案，或者备案内容弄虚作假的，由负责备案管理的粮食行政管理部门责令改正，给予警告；拒不改正的，处1万元以下罚款。</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2.同1.</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3.同1.</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4.同1.</w:t>
            </w:r>
          </w:p>
        </w:tc>
        <w:tc>
          <w:tcPr>
            <w:tcW w:w="2237"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1.监督检查人员进行监督检查时没有出示监督检查证件的（县纪委监委派驻县发改局纪检监察组）；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2.没有正当理由擅自对被检查对象进行检查的（县纪委监委派驻县发改局纪检监察组）；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3.下级粮食行政管理部门违反在上级粮食行政管理部门检查后规定的期限内对同一事项再次进行监督检查的（县纪委监委派驻县发改局纪检监察组）；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4.监督检查人员违规向被检查对象收取费用的（县纪委监委派驻县发改局纪检监察组）；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5.工作中滥用职权.徇私舞弊、玩忽职守造成不良后果的（县纪委监委派驻县发改局纪检监察组）；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6.工作中发生贪污腐败行为的（县纪委监委派驻县发改局纪检监察组）；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7.其他违反法律法规文件规定的行为（县纪委监委派驻县发改局纪检监察组）。</w:t>
            </w:r>
          </w:p>
        </w:tc>
        <w:tc>
          <w:tcPr>
            <w:tcW w:w="4440"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规范性文件】《粮食监督检查工作规程（试行）〉》（国粮检〔2005〕31号）第二十八条“有下列行为之一的，由粮食行政管理部门责令直接负责的主管人员和其他直接责任人员改正：：（一）监督检查人员进行监督检查时没有出示监督检查证件的；（二）没有正当理由擅自对被检查对象进行检查的；（三）下级粮食行政管理部门违反第十一条在上级粮食行政管理部门检查后规定的期限内对同一事项再次进行监督检查的；（四）监督检查人员违规向被检查对象收取费用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2.同上。</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3.同上。</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4.同上。</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行政法规】《行政机关公务员处分条例》（国务院令第495号）第二十条有下列行为之一的，给予记过、记大过处分；情节较重的，给予降级或者撤职处分；情节严重的，给予开除处分：（四）其他玩忽职守、贻误工作的行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-1.【行政法规】《行政机关公务员处分条例》（国务院令第495号）第二十三条：“有贪污、索贿、受贿、行贿、介绍贿赂、挪用公款、利用职务之便为自己或者他人谋取私利、巨额财产来源不明等违反廉政纪律行为的，给予记过或者记大过处分；情节较重的，给予降级或者撤职。</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-2.【规范性文件】《粮食监督检查工作规程（（试行）》（国粮检〔2005〕31号）第二十九条“粮食行政管理部门的监督检查人员有下列行为之一的，依法给予警告直至开除的行政处分，构成犯罪的，依法追究刑事责任：（一）接受被检查对象的馈赠、报酬的；（二）在被检查对象报销费用的；（三）参加被检查对象提供的宴请、娱乐、旅游等活动的；（四）通过监督检查工作为本人、亲友或者他人谋取利益的；”</w:t>
            </w:r>
          </w:p>
        </w:tc>
        <w:tc>
          <w:tcPr>
            <w:tcW w:w="532"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vMerge w:val="restart"/>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12" w:hRule="atLeast"/>
          <w:jc w:val="center"/>
        </w:trPr>
        <w:tc>
          <w:tcPr>
            <w:tcW w:w="40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308"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50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54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96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738"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3285"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2361"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4842"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2237"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4440"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532"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381"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12" w:hRule="atLeast"/>
          <w:jc w:val="center"/>
        </w:trPr>
        <w:tc>
          <w:tcPr>
            <w:tcW w:w="406"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15</w:t>
            </w:r>
          </w:p>
        </w:tc>
        <w:tc>
          <w:tcPr>
            <w:tcW w:w="308"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行政检查</w:t>
            </w:r>
          </w:p>
        </w:tc>
        <w:tc>
          <w:tcPr>
            <w:tcW w:w="504"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对粮食经营活动的监督检查</w:t>
            </w:r>
          </w:p>
        </w:tc>
        <w:tc>
          <w:tcPr>
            <w:tcW w:w="546" w:type="dxa"/>
            <w:vMerge w:val="restart"/>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c>
          <w:tcPr>
            <w:tcW w:w="966"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粮食和物资储备股</w:t>
            </w:r>
          </w:p>
        </w:tc>
        <w:tc>
          <w:tcPr>
            <w:tcW w:w="3285"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规范性文件】《国家发展和改革委员会、国家粮食局、财政部、卫生部、国家工商行政管理总局、国家质量监督检验检疫总局关于印发〈粮食流通监督检查暂行办法〉的通知》（国粮检〔2004〕230号）第七条：粮食行政管理部门依照法律、行政法规规定的职责，对粮食经营活动进行监督检查。内容包括：（一）粮食收购者是否具备粮食收购资格，在其从事的粮食收购活动中是否执行了国家有关法律、法规、规章及粮食收购政策。（二）粮食经营者使用的粮食仓储设施、设备是否符合有关标准和技术规范。（三）粮食经营者在粮食收购、储存活动中，是否按规定执行了国家粮食质量标准和国家有关粮食仓储的技术标准和规范，其收购、储存的原粮是否符合国家有关标准和规定。（四）粮食经营者是否执行了国家粮食运输的技术标准和规范。（五）粮食储存企业是否建立并执行了粮食销售出库质量检验制度。（六）从事粮食收购、加工、销售的经营者是否执行了省级人民政府制定的最低和最高库存量的规定。（七）粮食经营者是否执行了国家陈化粮销售处理有关规定。（八）地方储备粮经营管理机构及地方储备粮承储企业是否执行地方储备粮管理有关政策和规定；地方储备粮的数量、质量、储存安全以及轮换计划执行情况，各项规章制度、标准与规范执行情况，以及地方储备粮承储企业的承储资格情况。（九）从事军粮供应、退耕还林粮食供应、水库移民粮食供应、救灾粮供应等政策性用粮经营活动的粮食经营者是否执行了有关法律、法规、规章和政策。（十）粮食经营者是否建立了粮食经营台账，是否执行了国家粮食流通统计制度。（十一）粮食经营者是否依照粮食应急预案规定，承担了相应义务，执行了相关规定。（十二）法律、法规、规章和政策规定需要进行监督检查的其他内容。</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部门规章】《粮油仓储管理办法》（2009年国家发展和改革委员会令第5号）第三条：粮油仓储单位必须遵守国家法律、法规和相关管理规定，执行国家和地方粮食流通政策和粮食应急预案，贯彻国家和地方制定的仓储管理制度和标准，接受粮食行政管理部门的业务指导，配合粮食行政管理部门依法开展监督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第五条：国家粮食行政管理部门负责全国粮油仓储监督管理工作，制定管理制度和标准，组织储粮安全检查工作。县级以上地方人民政府粮食行政管理部门负责本行政区域的粮油仓储监督管理工作。</w:t>
            </w:r>
          </w:p>
        </w:tc>
        <w:tc>
          <w:tcPr>
            <w:tcW w:w="2361"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1.告知责任（粮食和物资储备股）：制定检查方案，确定目标、对象和方式，公告或通知被检查对象。</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检查责任（粮食和物资储备股）：检查时，执行人员不少于2人，应当持《检查通知书》或相关证件进行检查。对粮食经营者从事粮食收购、储存、运输活动和政策性用粮的购销活动，以及执行国家粮食流通统计制度的情况进行监督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3.处理责任（粮食和物资储备股）：行政机关对县级储备粮储存检查情况制作检查报告，提出处理意见。</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4.事后监管责任（粮食和物资储备股）：加强对县级储备粮储存管理情况的监督检查。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5.法律法规规章文件规定的其他应履行的责任（有关股室）。</w:t>
            </w:r>
          </w:p>
        </w:tc>
        <w:tc>
          <w:tcPr>
            <w:tcW w:w="4842"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规范性文件】《国家发展和改革委员会、国家粮食局、财政部、卫生部、国家工商行政管理总局、国家质量监督检验检疫总局关于印发〈粮食流通监督检查暂行办法〉的通知》（国粮检〔2004〕230号）第七条：粮食行政管理部门依照法律、行政法规规定的职责，对粮食经营活动进行监督检查。内容包括：（一）粮食收购者是否具备粮食收购资格，在其从事的粮食收购活动中是否执行了国家有关法律、法规、规章及粮食收购政策。（二）粮食经营者使用的粮食仓储设施、设备是否符合有关标准和技术规范。（三）粮食经营者在粮食收购、储存活动中，是否按规定执行了国家粮食质量标准和国家有关粮食仓储的技术标准和规范，其收购、储存的原粮是否符合国家有关标准和规定。（四）粮食经营者是否执行了国家粮食运输的技术标准和规范。（五）粮食储存企业是否建立并执行了粮食销售出库质量检验制度。（六）从事粮食收购、加工、销售的经营者是否执行了省级人民政府制定的最低和最高库存量的规定。（七）粮食经营者是否执行了国家陈化粮销售处理有关规定。（八）地方储备粮经营管理机构及地方储备粮承储企业是否执行地方储备粮管理有关政策和规定；地方储备粮的数量、质量、储存安全以及轮换计划执行情况，各项规章制度、标准与规范执行情况，以及地方储备粮承储企业的承储资格情况。（九）从事军粮供应、退耕还林粮食供应、水库移民粮食供应、救灾粮供应等政策性用粮经营活动的粮食经营者是否执行了有关法律、法规、规章和政策。（十）粮食经营者是否建立了粮食经营台账，是否执行了国家粮食流通统计制度。（十一）粮食经营者是否依照粮食应急预案规定，承担了相应义务，执行了相关规定。（十二）法律、法规、规章和政策规定需要进行监督检查的其他内容。</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部门规章】《粮油仓储管理办法》（2009年国家发展和改革委员会令第5号）第三条：粮油仓储单位必须遵守国家法律、法规和相关管理规定，执行国家和地方粮食流通政策和粮食应急预案，贯彻国家和地方制定的仓储管理制度和标准，接受粮食行政管理部门的业务指导，配合粮食行政管理部门依法开展监督检查。　</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第五条：国家粮食行政管理部门负责全国粮油仓储监督管理工作，制定管理制度和标准，组织储粮安全检查工作。县级以上地方人民政府粮食行政管理部门负责本行政区域的粮油仓储监督管理工作。</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法律】《中华人民共和国行政许可法》第三十四条：行政机关应当对申请人提交的申请材料进行审查。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5.同1。</w:t>
            </w:r>
          </w:p>
        </w:tc>
        <w:tc>
          <w:tcPr>
            <w:tcW w:w="2237"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1.监督检查人员进行监督检查时没有出示监督检查证件的（县纪委监委派驻县发改局纪检监察组）；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2.没有正当理由擅自对被检查对象进行检查的（县纪委监委派驻县发改局纪检监察组）；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3.下级粮食行政管理部门违反在上级粮食行政管理部门检查后规定的期限内对同一事项再次进行监督检查的（县纪委监委派驻县发改局纪检监察组）；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4.监督检查人员违规向被检查对象收取费用的（县纪委监委派驻县发改局纪检监察组）；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5.工作中滥用职权.徇私舞弊、玩忽职守造成不良后果的（县纪委监委派驻县发改局纪检监察组）；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6.工作中发生贪污腐败行为的（县纪委监委派驻县发改局纪检监察组）；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7.其他违反法律法规文件规定的行为（县纪委监委派驻县发改局纪检监察组）。</w:t>
            </w:r>
          </w:p>
        </w:tc>
        <w:tc>
          <w:tcPr>
            <w:tcW w:w="4440"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规范性文件】《粮食监督检查工作规程（试行）〉》（国粮检〔2005〕31号）第二十八条“有下列行为之一的，由粮食行政管理部门责令直接负责的主管人员和其他直接责任人员改正：：（一）监督检查人员进行监督检查时没有出示监督检查证件的；（二）没有正当理由擅自对被检查对象进行检查的；（三）下级粮食行政管理部门违反第十一条在上级粮食行政管理部门检查后规定的期限内对同一事项再次进行监督检查的；（四）监督检查人员违规向被检查对象收取费用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2.同上。</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3.同上。</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4.同上。</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行政法规】《行政机关公务员处分条例》（国务院令第495号）第二十条有下列行为之一的，给予记过、记大过处分；情节较重的，给予降级或者撤职处分；情节严重的，给予开除处分：（四）其他玩忽职守、贻误工作的行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-1.【行政法规】《行政机关公务员处分条例》（国务院令第495号）第二十三条：“有贪污、索贿、受贿、行贿、介绍贿赂、挪用公款、利用职务之便为自己或者他人谋取私利、巨额财产来源不明等违反廉政纪律行为的，给予记过或者记大过处分；情节较重的，给予降级或者撤职。</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-2.【规范性文件】《粮食监督检查工作规程（（试行）》（国粮检〔2005〕31号）第二十九条“粮食行政管理部门的监督检查人员有下列行为之一的，依法给予警告直至开除的行政处分，构成犯罪的，依法追究刑事责任：（一）接受被检查对象的馈赠、报酬的；（二）在被检查对象报销费用的；（三）参加被检查对象提供的宴请、娱乐、旅游等活动的；（四）通过监督检查工作为本人、亲友或者他人谋取利益的；”</w:t>
            </w:r>
          </w:p>
        </w:tc>
        <w:tc>
          <w:tcPr>
            <w:tcW w:w="532"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vMerge w:val="restart"/>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12" w:hRule="atLeast"/>
          <w:jc w:val="center"/>
        </w:trPr>
        <w:tc>
          <w:tcPr>
            <w:tcW w:w="40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308"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50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54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96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738"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3285"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2361"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4842"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2237"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4440"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rPr>
                <w:rFonts w:hint="eastAsia" w:ascii="方正书宋_GBK" w:hAnsi="宋体" w:eastAsia="方正书宋_GBK" w:cs="宋体"/>
                <w:kern w:val="0"/>
                <w:sz w:val="20"/>
                <w:szCs w:val="20"/>
              </w:rPr>
            </w:pPr>
          </w:p>
        </w:tc>
        <w:tc>
          <w:tcPr>
            <w:tcW w:w="532"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c>
          <w:tcPr>
            <w:tcW w:w="381"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041" w:hRule="atLeast"/>
          <w:jc w:val="center"/>
        </w:trPr>
        <w:tc>
          <w:tcPr>
            <w:tcW w:w="406"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16</w:t>
            </w:r>
          </w:p>
        </w:tc>
        <w:tc>
          <w:tcPr>
            <w:tcW w:w="308"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行政检查</w:t>
            </w:r>
          </w:p>
        </w:tc>
        <w:tc>
          <w:tcPr>
            <w:tcW w:w="504"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储备粮管理监督检查</w:t>
            </w:r>
          </w:p>
        </w:tc>
        <w:tc>
          <w:tcPr>
            <w:tcW w:w="546" w:type="dxa"/>
            <w:tcBorders>
              <w:bottom w:val="single" w:color="auto" w:sz="4" w:space="0"/>
            </w:tcBorders>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c>
          <w:tcPr>
            <w:tcW w:w="966"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粮食和物资储备股</w:t>
            </w:r>
          </w:p>
        </w:tc>
        <w:tc>
          <w:tcPr>
            <w:tcW w:w="3285"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地方政府规章】《广西壮族自治区储备粮管理办法》（2005年广西壮族自治区人民政府令第13号公布，2018年广西壮族自治区人民政府令第128号修正）第三十六条：自治区粮食行政管理部门、财政部门应当按照各自职责，依法对自治区储备粮管理机构、承储企业执行有关粮食法规及本办法的情况进行监督检查，并行使下职权：（一）进入承储企业检查自治区储备粮的数量、质量和储存安全情况；（二）向有关单位和人员了解自治区储备粮收购、销售、轮换计划及运用指令和命令的执行情况；（三）调阅自治区储备粮经营管理的有关资料、凭证；（四）对违法行为，依法予以处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第四十五条：市、县级储备粮管理参照本办法执行。</w:t>
            </w:r>
          </w:p>
        </w:tc>
        <w:tc>
          <w:tcPr>
            <w:tcW w:w="2361"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1.告知责任（粮食和物资储备股）：制定检查方案，确定目标、对象和方式，公告或通知被检查对象。</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检查责任（粮食和物资储备股）：检查时，执行人员不少于2人，应当持《检查通知书》或相关证件进行检查。对粮食经营者从事粮食收购、储存、运输活动和政策性用粮的购销活动，以及执行国家粮食流通统计制度的情况进行监督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3.处理责任（粮食和物资储备股）：行政机关对县级储备粮储存检查情况制作检查报告，提出处理意见。</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4.事后监管责任（粮食和物资储备股）：加强对县级储备粮储存管理情况的监督检查。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5.法律法规规章文件规定的其他应履行的责任（有关股室）</w:t>
            </w:r>
          </w:p>
        </w:tc>
        <w:tc>
          <w:tcPr>
            <w:tcW w:w="4842"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地方政府规章】《广西壮族自治区储备粮管理办法》（2005年广西壮族自治区人民政府令第13号公布，2018年广西壮族自治区人民政府令第128号修正）第七条：自治区粮食行政管理部门负责管理自治区储备粮，对自治区储备粮的数量、质量和储存实施监督检查。其所属的储备粮管理机构负责自治区储备粮的经营管理工作，并负责自治区储备粮的数量、质量和储存安全。 第三十六条：自治区粮食行政管理部门、财政部门应当按照各自职责，依法对自治区储备粮管理机构、承储企业执行有关粮食法规及本办法的情况进行监督检查，并行使下职权：（一）进入承储企业检查自治区储备粮的数量、质量和储存安全情况；（二）向有关单位和人员了解自治区储备粮收购、销售、轮换计划及运用指令和命令的执行情况；（三）调阅自治区储备粮经营管理的有关资料、凭证；（四）对违法行为，依法予以处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第四十五条：市、县级储备粮管理 本办法执行。</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2.【法律】《中华人民共和国行政许可法》第三十四条：行政机关应当对申请人提交的申请材料进行审查。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4.同2。</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5.同2。</w:t>
            </w:r>
          </w:p>
        </w:tc>
        <w:tc>
          <w:tcPr>
            <w:tcW w:w="2237"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1.监督检查人员进行监督检查时没有出示监督检查证件的（县纪委监委派驻县发改局纪检监察组）；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2.没有正当理由擅自对被检查对象进行检查的（县纪委监委派驻县发改局纪检监察组）；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3.下级粮食行政管理部门违反在上级粮食行政管理部门检查后规定的期限内对同一事项再次进行监督检查的（县纪委监委派驻县发改局纪检监察组）；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4.监督检查人员违规向被检查对象收取费用的（县纪委监委派驻县发改局纪检监察组）；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5.工作中滥用职权.徇私舞弊、玩忽职守造成不良后果的（县纪委监委派驻县发改局纪检监察组）；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6.工作中发生贪污腐败行为的（县纪委监委派驻县发改局纪检监察组）；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7.其他违反法律法规文件规定的行为（县纪委监委派驻县发改局纪检监察组）。</w:t>
            </w:r>
          </w:p>
        </w:tc>
        <w:tc>
          <w:tcPr>
            <w:tcW w:w="4440"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规范性文件】《粮食监督检查工作规程（试行）〉》（国粮检〔2005〕31号）第二十八条“有下列行为之一的，由粮食行政管理部门责令直接负责的主管人员和其他直接责任人员改正：：（一）监督检查人员进行监督检查时没有出示监督检查证件的；（二）没有正当理由擅自对被检查对象进行检查的；（三）下级粮食行政管理部门违反第十一条在上级粮食行政管理部门检查后规定的期限内对同一事项再次进行监督检查的；（四）监督检查人员违规向被检查对象收取费用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2.同上。</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3.同上。</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4.同上。</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行政法规】《行政机关公务员处分条例》（国务院令第495号）第二十条有下列行为之一的，给予记过、记大过处分；情节较重的，给予降级或者撤职处分；情节严重的，给予开除处分：（四）其他玩忽职守、贻误工作的行为。</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-1.【行政法规】《行政机关公务员处分条例》（国务院令第495号）第二十三条：“有贪污、索贿、受贿、行贿、介绍贿赂、挪用公款、利用职务之便为自己或者他人谋取私利、巨额财产来源不明等违反廉政纪律行为的，给予记过或者记大过处分；情节较重的，给予降级或者撤职。</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-2.【规范性文件】《粮食监督检查工作规程（（试行）》（国粮检〔2005〕31号）第二十九条“粮食行政管理部门的监督检查人员有下列行为之一的，依法给予警告直至开除的行政处分，构成犯罪的，依法追究刑事责任：（一）接受被检查对象的馈赠、报酬的；（二）在被检查对象报销费用的；（三）参加被检查对象提供的宴请、娱乐、旅游等活动的；（四）通过监督检查工作为本人、亲友或者他人谋取利益的；”</w:t>
            </w:r>
          </w:p>
        </w:tc>
        <w:tc>
          <w:tcPr>
            <w:tcW w:w="532"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tcBorders>
              <w:bottom w:val="single" w:color="auto" w:sz="4" w:space="0"/>
            </w:tcBorders>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041" w:hRule="atLeast"/>
          <w:jc w:val="center"/>
        </w:trPr>
        <w:tc>
          <w:tcPr>
            <w:tcW w:w="406"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17</w:t>
            </w:r>
          </w:p>
        </w:tc>
        <w:tc>
          <w:tcPr>
            <w:tcW w:w="308" w:type="dxa"/>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其他行政权力</w:t>
            </w:r>
          </w:p>
        </w:tc>
        <w:tc>
          <w:tcPr>
            <w:tcW w:w="504"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储备粮收储及轮换管理</w:t>
            </w:r>
          </w:p>
        </w:tc>
        <w:tc>
          <w:tcPr>
            <w:tcW w:w="546" w:type="dxa"/>
            <w:tcBorders>
              <w:bottom w:val="single" w:color="auto" w:sz="4" w:space="0"/>
            </w:tcBorders>
            <w:noWrap w:val="0"/>
            <w:vAlign w:val="center"/>
          </w:tcPr>
          <w:p>
            <w:pPr>
              <w:keepNext w:val="0"/>
              <w:keepLines w:val="0"/>
              <w:pageBreakBefore w:val="0"/>
              <w:kinsoku/>
              <w:wordWrap/>
              <w:overflowPunct/>
              <w:topLinePunct w:val="0"/>
              <w:autoSpaceDE/>
              <w:autoSpaceDN/>
              <w:bidi w:val="0"/>
              <w:spacing w:line="240" w:lineRule="exact"/>
              <w:jc w:val="center"/>
              <w:rPr>
                <w:rFonts w:hint="eastAsia" w:ascii="方正书宋_GBK" w:hAnsi="宋体" w:eastAsia="方正书宋_GBK" w:cs="宋体"/>
                <w:kern w:val="0"/>
                <w:sz w:val="20"/>
                <w:szCs w:val="20"/>
              </w:rPr>
            </w:pPr>
          </w:p>
        </w:tc>
        <w:tc>
          <w:tcPr>
            <w:tcW w:w="966"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资源县发展和改革局</w:t>
            </w:r>
          </w:p>
        </w:tc>
        <w:tc>
          <w:tcPr>
            <w:tcW w:w="738"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粮食和物资储备股</w:t>
            </w:r>
          </w:p>
        </w:tc>
        <w:tc>
          <w:tcPr>
            <w:tcW w:w="3285"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center"/>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地方政府规章】《广西壮族自治区储备粮管理办法》（2005年广西壮族自治区人民政府令第13号公布，2018年广西壮族自治区人民政府令第128号修正）第十三条：自治区储备粮实行均衡轮换制度，每年轮换的数量一般为自治区储备粮储存总量的30%。具体轮换计划由自治区储备粮管理机构提出，报自治区粮食行政管理、财政部门和中国农业发展银行广西区分行批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第四十五条：市、县级储备粮管理参照本办法执行。</w:t>
            </w:r>
          </w:p>
        </w:tc>
        <w:tc>
          <w:tcPr>
            <w:tcW w:w="2361"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1.计划制定阶段责任（粮食和物资储备股）：根据法律、行政法规规定的职责，结合本地实际情况，由自治区储备粮管理机构提出，报自治区粮食行政管理、财政部门和中国农业发展银行广西区分行批准。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 xml:space="preserve"> 2.下达文件阶段责任（粮食和物资储备股）：由自治区粮食行政管理部门会同自治区发展改革、财政部 门和中国农业发展银行广西区分行共同下达，由自治区储备粮管 理机构组织实施。</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3.事后监督责任（粮食和物资储备股）：对由自治区粮食行政管理部门会同自治区发展改革、财政部 门和中国农业发展银行广西区分行共同下达，由自治区储备粮管 理机构组织实施情况进行检查。</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4.法律法规规章文件规定的其他应履行的责任（有关股室）。</w:t>
            </w:r>
          </w:p>
        </w:tc>
        <w:tc>
          <w:tcPr>
            <w:tcW w:w="4842"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1—1.【地方政府规章】《广西壮族自治区储备粮管理办法》（广西壮族自治区人民政府令第13号）第十二条：自治区储备粮的储存品种、布局以及收购、销售计划，由自治区粮食行政管理部门会同自治区发展改革、财政部门和中国农业发展银行广西区分行共同下达，由自治区储备粮管理机构组织实施。</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第十三条：自治区储备粮实行均衡轮换制度，每年轮换的数量一般为自治区储备粮储存总量的30%。具体轮换计划由自治区储备粮管理机构提出，报自治区粮食行政管理、财政部门和中国 农业发展银行广西区分行批准。</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第四十五条：市、县级储备粮管理 本办法执行。</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2.同1。</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3.同1。</w:t>
            </w:r>
          </w:p>
        </w:tc>
        <w:tc>
          <w:tcPr>
            <w:tcW w:w="2237"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1.监督检查人员进行监督检查时没有出示监督检查证件的（县纪委监委派驻县发改局纪检监察组）；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2.没有正当理由擅自对被检查对象进行检查的（县纪委监委派驻县发改局纪检监察组）；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3.下级粮食行政管理部门违反在上级粮食行政管理部门检查后规定的期限内对同一事项再次进行监督检查的（县纪委监委派驻县发改局纪检监察组）；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4.监督检查人员违规向被检查对象收取费用的（县纪委监委派驻县发改局纪检监察组）；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5.工作中滥用职权.徇私舞弊、玩忽职守造成不良后果的（县纪委监委派驻县发改局纪检监察组）；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6.工作中发生贪污腐败行为的（县纪委监委派驻县发改局纪检监察组）；</w:t>
            </w:r>
            <w:r>
              <w:rPr>
                <w:rFonts w:hint="eastAsia" w:ascii="方正书宋_GBK" w:hAnsi="方正书宋_GBK" w:eastAsia="方正书宋_GBK" w:cs="方正书宋_GBK"/>
                <w:i w:val="0"/>
                <w:iCs w:val="0"/>
                <w:color w:val="000000"/>
                <w:kern w:val="0"/>
                <w:sz w:val="20"/>
                <w:szCs w:val="20"/>
                <w:u w:val="none"/>
                <w:lang w:val="en-US" w:eastAsia="zh-CN" w:bidi="ar"/>
              </w:rPr>
              <w:br w:type="textWrapping"/>
            </w:r>
            <w:r>
              <w:rPr>
                <w:rFonts w:hint="eastAsia" w:ascii="方正书宋_GBK" w:hAnsi="方正书宋_GBK" w:eastAsia="方正书宋_GBK" w:cs="方正书宋_GBK"/>
                <w:i w:val="0"/>
                <w:iCs w:val="0"/>
                <w:color w:val="000000"/>
                <w:kern w:val="0"/>
                <w:sz w:val="20"/>
                <w:szCs w:val="20"/>
                <w:u w:val="none"/>
                <w:lang w:val="en-US" w:eastAsia="zh-CN" w:bidi="ar"/>
              </w:rPr>
              <w:t>7.其他违反法律法规文件规定的行为（县纪委监委派驻县发改局纪检监察组）。</w:t>
            </w:r>
          </w:p>
        </w:tc>
        <w:tc>
          <w:tcPr>
            <w:tcW w:w="4440"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【地方政府规章】《广西壮族自治区储备粮管理办法》（2005年广西壮族自治区人民政府令第13号公布，2018年广西壮族自治区人民政府令第128号修正）第四十四条 行政机关和农业发展银行的工作人员违反本办法规定，滥用职权、徇私舞弊或者玩忽职守，依法给予行政处分；构成犯罪的，依法追究刑事责任。</w:t>
            </w:r>
          </w:p>
        </w:tc>
        <w:tc>
          <w:tcPr>
            <w:tcW w:w="532"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spacing w:line="240" w:lineRule="exact"/>
              <w:jc w:val="left"/>
              <w:textAlignment w:val="center"/>
              <w:rPr>
                <w:rFonts w:hint="eastAsia" w:ascii="方正书宋_GBK" w:hAnsi="宋体" w:eastAsia="方正书宋_GBK" w:cs="宋体"/>
                <w:kern w:val="0"/>
                <w:sz w:val="20"/>
                <w:szCs w:val="20"/>
              </w:rPr>
            </w:pPr>
            <w:r>
              <w:rPr>
                <w:rFonts w:hint="eastAsia" w:ascii="方正书宋_GBK" w:hAnsi="方正书宋_GBK" w:eastAsia="方正书宋_GBK" w:cs="方正书宋_GBK"/>
                <w:i w:val="0"/>
                <w:iCs w:val="0"/>
                <w:color w:val="000000"/>
                <w:kern w:val="0"/>
                <w:sz w:val="20"/>
                <w:szCs w:val="20"/>
                <w:u w:val="none"/>
                <w:lang w:val="en-US" w:eastAsia="zh-CN" w:bidi="ar"/>
              </w:rPr>
              <w:t>法律法规规定的免责情形及资源县委、资源县人民政府有关文件中明确的免责情形。</w:t>
            </w:r>
          </w:p>
        </w:tc>
        <w:tc>
          <w:tcPr>
            <w:tcW w:w="381" w:type="dxa"/>
            <w:tcBorders>
              <w:bottom w:val="single" w:color="auto" w:sz="4" w:space="0"/>
            </w:tcBorders>
            <w:noWrap w:val="0"/>
            <w:vAlign w:val="center"/>
          </w:tcPr>
          <w:p>
            <w:pPr>
              <w:keepNext w:val="0"/>
              <w:keepLines w:val="0"/>
              <w:pageBreakBefore w:val="0"/>
              <w:kinsoku/>
              <w:wordWrap/>
              <w:overflowPunct/>
              <w:topLinePunct w:val="0"/>
              <w:autoSpaceDE/>
              <w:autoSpaceDN/>
              <w:bidi w:val="0"/>
              <w:spacing w:line="240" w:lineRule="exact"/>
              <w:rPr>
                <w:rFonts w:hint="eastAsia" w:ascii="方正书宋_GBK" w:hAnsi="宋体" w:eastAsia="方正书宋_GBK" w:cs="宋体"/>
                <w:kern w:val="0"/>
                <w:sz w:val="20"/>
                <w:szCs w:val="20"/>
              </w:rPr>
            </w:pPr>
          </w:p>
        </w:tc>
      </w:tr>
    </w:tbl>
    <w:p>
      <w:pPr>
        <w:adjustRightInd w:val="0"/>
        <w:snapToGrid w:val="0"/>
        <w:spacing w:line="20" w:lineRule="exact"/>
        <w:rPr>
          <w:rFonts w:ascii="方正小标宋_GBK" w:eastAsia="方正小标宋_GBK"/>
          <w:sz w:val="44"/>
          <w:szCs w:val="44"/>
        </w:rPr>
      </w:pPr>
    </w:p>
    <w:sectPr>
      <w:footerReference r:id="rId3" w:type="default"/>
      <w:footerReference r:id="rId4" w:type="even"/>
      <w:pgSz w:w="23814" w:h="16840" w:orient="landscape"/>
      <w:pgMar w:top="1134" w:right="1134" w:bottom="1134" w:left="1134" w:header="851" w:footer="85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方正书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27</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27</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zNjdlYzY1OTQxNGM0NjE3Y2E2ZmQ3MGNlNGQ0NzIifQ=="/>
  </w:docVars>
  <w:rsids>
    <w:rsidRoot w:val="0055328B"/>
    <w:rsid w:val="000741AB"/>
    <w:rsid w:val="000D0D81"/>
    <w:rsid w:val="00132A46"/>
    <w:rsid w:val="0015478D"/>
    <w:rsid w:val="00161415"/>
    <w:rsid w:val="00246E96"/>
    <w:rsid w:val="00275AC9"/>
    <w:rsid w:val="00333BBF"/>
    <w:rsid w:val="003D5E5B"/>
    <w:rsid w:val="00426A2F"/>
    <w:rsid w:val="004B1546"/>
    <w:rsid w:val="004C2E41"/>
    <w:rsid w:val="004D6F63"/>
    <w:rsid w:val="00552BAB"/>
    <w:rsid w:val="0055328B"/>
    <w:rsid w:val="005C601B"/>
    <w:rsid w:val="005F64FF"/>
    <w:rsid w:val="006E49F2"/>
    <w:rsid w:val="00824507"/>
    <w:rsid w:val="0086610E"/>
    <w:rsid w:val="00886AA1"/>
    <w:rsid w:val="00942267"/>
    <w:rsid w:val="00982754"/>
    <w:rsid w:val="009F1662"/>
    <w:rsid w:val="00A45C5A"/>
    <w:rsid w:val="00A94804"/>
    <w:rsid w:val="00B63B80"/>
    <w:rsid w:val="00B77217"/>
    <w:rsid w:val="00BD476C"/>
    <w:rsid w:val="00C41BB5"/>
    <w:rsid w:val="00C45D84"/>
    <w:rsid w:val="00CF4516"/>
    <w:rsid w:val="00DC7525"/>
    <w:rsid w:val="00E0131C"/>
    <w:rsid w:val="00E1008C"/>
    <w:rsid w:val="00E26299"/>
    <w:rsid w:val="00F37938"/>
    <w:rsid w:val="046D5BE8"/>
    <w:rsid w:val="049C1D84"/>
    <w:rsid w:val="16D76D94"/>
    <w:rsid w:val="196D6BDD"/>
    <w:rsid w:val="1B0F0EC3"/>
    <w:rsid w:val="1E72406E"/>
    <w:rsid w:val="2E4A0F1D"/>
    <w:rsid w:val="2F7C6A5E"/>
    <w:rsid w:val="3A483589"/>
    <w:rsid w:val="4149771E"/>
    <w:rsid w:val="43252179"/>
    <w:rsid w:val="46B43ACD"/>
    <w:rsid w:val="4C4A4987"/>
    <w:rsid w:val="57865FB4"/>
    <w:rsid w:val="5CE0204A"/>
    <w:rsid w:val="620A5557"/>
    <w:rsid w:val="66C04989"/>
    <w:rsid w:val="67E36E55"/>
    <w:rsid w:val="6BDE356F"/>
    <w:rsid w:val="780D6A31"/>
    <w:rsid w:val="789F1248"/>
    <w:rsid w:val="7EA804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25</Pages>
  <Words>47216</Words>
  <Characters>48331</Characters>
  <Lines>368</Lines>
  <Paragraphs>103</Paragraphs>
  <TotalTime>3</TotalTime>
  <ScaleCrop>false</ScaleCrop>
  <LinksUpToDate>false</LinksUpToDate>
  <CharactersWithSpaces>48464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2019-12-28T06:15:00Z</dcterms:created>
  <dc:creator>杨佳晓</dc:creator>
  <cp:lastModifiedBy>此生随梦追</cp:lastModifiedBy>
  <dcterms:modified xsi:type="dcterms:W3CDTF">2024-02-22T07:20:07Z</dcterms:modified>
  <dc:title>附件1-1</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2DDA3B3587D24552859C847EC1932073</vt:lpwstr>
  </property>
</Properties>
</file>