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eastAsia" w:ascii="方正小标宋_GBK" w:eastAsia="方正小标宋_GBK"/>
          <w:sz w:val="44"/>
          <w:szCs w:val="44"/>
          <w:lang w:eastAsia="zh-CN"/>
        </w:rPr>
      </w:pPr>
      <w:r>
        <w:rPr>
          <w:rFonts w:hint="eastAsia" w:ascii="黑体" w:hAnsi="黑体" w:eastAsia="黑体"/>
          <w:sz w:val="32"/>
          <w:szCs w:val="32"/>
        </w:rPr>
        <w:t>附件1</w:t>
      </w:r>
      <w:r>
        <w:rPr>
          <w:rFonts w:hint="eastAsia" w:ascii="黑体" w:hAnsi="黑体" w:eastAsia="黑体"/>
          <w:sz w:val="32"/>
          <w:szCs w:val="32"/>
          <w:lang w:val="en-US" w:eastAsia="zh-CN"/>
        </w:rPr>
        <w:t>-2</w:t>
      </w:r>
    </w:p>
    <w:p>
      <w:pPr>
        <w:adjustRightInd w:val="0"/>
        <w:snapToGrid w:val="0"/>
        <w:spacing w:line="570" w:lineRule="exact"/>
        <w:jc w:val="center"/>
        <w:rPr>
          <w:rFonts w:hint="eastAsia" w:ascii="方正小标宋_GBK" w:eastAsia="方正小标宋_GBK"/>
          <w:sz w:val="44"/>
          <w:szCs w:val="44"/>
        </w:rPr>
      </w:pPr>
      <w:r>
        <w:rPr>
          <w:rFonts w:hint="eastAsia" w:ascii="方正小标宋_GBK" w:eastAsia="方正小标宋_GBK"/>
          <w:sz w:val="44"/>
          <w:szCs w:val="44"/>
          <w:lang w:eastAsia="zh-CN"/>
        </w:rPr>
        <w:t>资源县委宣传部（</w:t>
      </w:r>
      <w:r>
        <w:rPr>
          <w:rFonts w:hint="eastAsia" w:ascii="方正小标宋_GBK" w:eastAsia="方正小标宋_GBK"/>
          <w:sz w:val="44"/>
          <w:szCs w:val="44"/>
          <w:lang w:val="en-US" w:eastAsia="zh-CN"/>
        </w:rPr>
        <w:t>资源县网信办、</w:t>
      </w:r>
      <w:r>
        <w:rPr>
          <w:rFonts w:hint="eastAsia" w:ascii="方正小标宋_GBK" w:eastAsia="方正小标宋_GBK"/>
          <w:sz w:val="44"/>
          <w:szCs w:val="44"/>
          <w:lang w:eastAsia="zh-CN"/>
        </w:rPr>
        <w:t>资源县新闻出版局）</w:t>
      </w:r>
      <w:r>
        <w:rPr>
          <w:rFonts w:hint="eastAsia" w:ascii="方正小标宋_GBK" w:eastAsia="方正小标宋_GBK"/>
          <w:sz w:val="44"/>
          <w:szCs w:val="44"/>
        </w:rPr>
        <w:t>权责清单</w:t>
      </w:r>
    </w:p>
    <w:p>
      <w:pPr>
        <w:adjustRightInd w:val="0"/>
        <w:snapToGrid w:val="0"/>
        <w:spacing w:line="570" w:lineRule="exact"/>
        <w:jc w:val="center"/>
        <w:rPr>
          <w:rFonts w:hint="eastAsia" w:ascii="方正小标宋_GBK" w:eastAsia="方正小标宋_GBK"/>
          <w:sz w:val="44"/>
          <w:szCs w:val="4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718"/>
        <w:gridCol w:w="332"/>
        <w:gridCol w:w="478"/>
        <w:gridCol w:w="600"/>
        <w:gridCol w:w="5520"/>
        <w:gridCol w:w="2385"/>
        <w:gridCol w:w="5940"/>
        <w:gridCol w:w="1830"/>
        <w:gridCol w:w="2022"/>
        <w:gridCol w:w="626"/>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序号</w:t>
            </w:r>
          </w:p>
        </w:tc>
        <w:tc>
          <w:tcPr>
            <w:tcW w:w="308" w:type="dxa"/>
            <w:vMerge w:val="restart"/>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权力分类</w:t>
            </w:r>
          </w:p>
        </w:tc>
        <w:tc>
          <w:tcPr>
            <w:tcW w:w="7648" w:type="dxa"/>
            <w:gridSpan w:val="5"/>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权力清单</w:t>
            </w:r>
          </w:p>
        </w:tc>
        <w:tc>
          <w:tcPr>
            <w:tcW w:w="12803" w:type="dxa"/>
            <w:gridSpan w:val="5"/>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责任清单</w:t>
            </w:r>
          </w:p>
        </w:tc>
        <w:tc>
          <w:tcPr>
            <w:tcW w:w="381" w:type="dxa"/>
            <w:vMerge w:val="restart"/>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黑体" w:eastAsia="方正黑体_GBK" w:cs="宋体"/>
                <w:kern w:val="0"/>
                <w:sz w:val="20"/>
                <w:szCs w:val="20"/>
              </w:rPr>
            </w:pPr>
            <w:r>
              <w:rPr>
                <w:rFonts w:hint="eastAsia" w:ascii="方正黑体_GBK" w:hAnsi="宋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pPr>
              <w:adjustRightInd w:val="0"/>
              <w:snapToGrid w:val="0"/>
              <w:spacing w:line="300" w:lineRule="exact"/>
              <w:jc w:val="center"/>
              <w:rPr>
                <w:rFonts w:hint="eastAsia" w:ascii="方正黑体_GBK" w:hAnsi="宋体" w:eastAsia="方正黑体_GBK" w:cs="宋体"/>
                <w:kern w:val="0"/>
                <w:sz w:val="20"/>
                <w:szCs w:val="20"/>
              </w:rPr>
            </w:pPr>
          </w:p>
        </w:tc>
        <w:tc>
          <w:tcPr>
            <w:tcW w:w="308" w:type="dxa"/>
            <w:vMerge w:val="continue"/>
            <w:vAlign w:val="center"/>
          </w:tcPr>
          <w:p>
            <w:pPr>
              <w:adjustRightInd w:val="0"/>
              <w:snapToGrid w:val="0"/>
              <w:spacing w:line="300" w:lineRule="exact"/>
              <w:jc w:val="center"/>
              <w:rPr>
                <w:rFonts w:hint="eastAsia" w:ascii="方正黑体_GBK" w:hAnsi="宋体" w:eastAsia="方正黑体_GBK" w:cs="宋体"/>
                <w:kern w:val="0"/>
                <w:sz w:val="20"/>
                <w:szCs w:val="20"/>
              </w:rPr>
            </w:pPr>
          </w:p>
        </w:tc>
        <w:tc>
          <w:tcPr>
            <w:tcW w:w="718"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项目名称</w:t>
            </w:r>
          </w:p>
        </w:tc>
        <w:tc>
          <w:tcPr>
            <w:tcW w:w="332"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子项名称</w:t>
            </w:r>
          </w:p>
        </w:tc>
        <w:tc>
          <w:tcPr>
            <w:tcW w:w="478"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实施主体</w:t>
            </w:r>
          </w:p>
        </w:tc>
        <w:tc>
          <w:tcPr>
            <w:tcW w:w="600"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承办的</w:t>
            </w:r>
          </w:p>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内设机构</w:t>
            </w:r>
          </w:p>
        </w:tc>
        <w:tc>
          <w:tcPr>
            <w:tcW w:w="5520"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实施依据</w:t>
            </w:r>
          </w:p>
        </w:tc>
        <w:tc>
          <w:tcPr>
            <w:tcW w:w="2385"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责任事项</w:t>
            </w:r>
          </w:p>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(明确责任主体)</w:t>
            </w:r>
          </w:p>
        </w:tc>
        <w:tc>
          <w:tcPr>
            <w:tcW w:w="5940"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责任事项依据</w:t>
            </w:r>
          </w:p>
        </w:tc>
        <w:tc>
          <w:tcPr>
            <w:tcW w:w="1830"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追责情形（明确内部追责主体）</w:t>
            </w:r>
          </w:p>
        </w:tc>
        <w:tc>
          <w:tcPr>
            <w:tcW w:w="2022"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追责依据</w:t>
            </w:r>
          </w:p>
        </w:tc>
        <w:tc>
          <w:tcPr>
            <w:tcW w:w="626" w:type="dxa"/>
            <w:vAlign w:val="center"/>
          </w:tcPr>
          <w:p>
            <w:pPr>
              <w:adjustRightInd w:val="0"/>
              <w:snapToGrid w:val="0"/>
              <w:spacing w:line="300" w:lineRule="exact"/>
              <w:jc w:val="center"/>
              <w:rPr>
                <w:rFonts w:hint="eastAsia" w:ascii="方正黑体_GBK" w:hAnsi="宋体" w:eastAsia="方正黑体_GBK" w:cs="宋体"/>
                <w:kern w:val="0"/>
                <w:sz w:val="20"/>
                <w:szCs w:val="20"/>
              </w:rPr>
            </w:pPr>
            <w:r>
              <w:rPr>
                <w:rFonts w:hint="eastAsia" w:ascii="方正黑体_GBK" w:hAnsi="宋体" w:eastAsia="方正黑体_GBK" w:cs="宋体"/>
                <w:kern w:val="0"/>
                <w:sz w:val="20"/>
                <w:szCs w:val="20"/>
              </w:rPr>
              <w:t>免责事项</w:t>
            </w:r>
          </w:p>
        </w:tc>
        <w:tc>
          <w:tcPr>
            <w:tcW w:w="381" w:type="dxa"/>
            <w:vMerge w:val="continue"/>
            <w:vAlign w:val="center"/>
          </w:tcPr>
          <w:p>
            <w:pPr>
              <w:keepNext w:val="0"/>
              <w:keepLines w:val="0"/>
              <w:pageBreakBefore w:val="0"/>
              <w:kinsoku/>
              <w:wordWrap/>
              <w:overflowPunct/>
              <w:topLinePunct w:val="0"/>
              <w:autoSpaceDE/>
              <w:autoSpaceDN/>
              <w:bidi w:val="0"/>
              <w:adjustRightInd w:val="0"/>
              <w:snapToGrid w:val="0"/>
              <w:spacing w:line="240" w:lineRule="exact"/>
              <w:jc w:val="center"/>
              <w:textAlignment w:val="auto"/>
              <w:rPr>
                <w:rFonts w:hint="eastAsia"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406"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w:t>
            </w:r>
          </w:p>
        </w:tc>
        <w:tc>
          <w:tcPr>
            <w:tcW w:w="30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行政处罚</w:t>
            </w:r>
          </w:p>
        </w:tc>
        <w:tc>
          <w:tcPr>
            <w:tcW w:w="71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对法律、行政法规禁止发布或者传输的信息未停止传输、采取消除等处置措施、保存有关记录，未按要求对法律、行政法规禁止发布或者传输的信息采取处置措施，拒绝、阻碍有关部门依法实施的监督检查的行政处罚</w:t>
            </w:r>
          </w:p>
        </w:tc>
        <w:tc>
          <w:tcPr>
            <w:tcW w:w="332"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　</w:t>
            </w:r>
          </w:p>
        </w:tc>
        <w:tc>
          <w:tcPr>
            <w:tcW w:w="47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县委宣传部（县网信办）</w:t>
            </w:r>
          </w:p>
        </w:tc>
        <w:tc>
          <w:tcPr>
            <w:tcW w:w="600" w:type="dxa"/>
            <w:vAlign w:val="center"/>
          </w:tcPr>
          <w:p>
            <w:pPr>
              <w:adjustRightInd w:val="0"/>
              <w:snapToGrid w:val="0"/>
              <w:spacing w:line="24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网信办</w:t>
            </w:r>
          </w:p>
        </w:tc>
        <w:tc>
          <w:tcPr>
            <w:tcW w:w="552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网络安全法》第四十七条：网络运营者应当加强对其用户发布的信息的管理，发现法律、行政法规禁止发布或者传输的信息的，应当立即停止传输该信息，采取消除等处置措施，防止信息扩散，保存有关记录，并向有关主管部门报告。</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六十八条：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六十九条：网络运营者违反本法规定，有下列行为之一的，由有关主管部门责令改正；拒不改正或者情节严重的，处五万元以上五十万元以下罚款，对直接负责的主管人员和其他直接责任人员，处一万元以上十万元以下罚款：</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（一）不按照有关部门的要求对法律、行政法规禁止发布或者传输的信息，采取停止传输、消除等处置措施的；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（二）拒绝、阻碍有关部门依法实施的监督检查的。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部门规章】《互联网信息内容管理行政执法程序规定》（2017年国家互联网信息办公室令第2号）第二条：互联网信息内容管理部门依法实施行政执法，对违反有关互联网信息内容管理法律法规规章的行为实施行政处罚，适用本规定。本规定所称互联网信息内容管理部门，是指国家互联网信息办公室和地方互联网信息办公室。</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第七条：市（地、州）级以下互联网信息内容管理部门依职权管辖本行政区域内的互联网信息内容行政处罚案件。省、自治区、直辖市互联网信息内容管理部门依职权管辖本行政区域内重大、复杂的互联网信息内容行政处罚案件。</w:t>
            </w:r>
          </w:p>
        </w:tc>
        <w:tc>
          <w:tcPr>
            <w:tcW w:w="2385"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1.立案责任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：通过日常管理和监督发现违法行为，决定是否立案受理；</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2.调查取证责任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：记录违规事实，收集有关证据材料；</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3.复核审查责任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：对违法主体的违规记录及相关证明材料进行审查和确认；</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4.告知责任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：作出行政处罚决定前，由网信部门告知违法组织或个人其违法违规事实、理由及依据，以及享有的陈述、申辩等权利；</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5.决定责任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：作出处罚决定，制作处罚决定书；</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6.送达责任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：处罚决定书送达当事人；</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7.执行责任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：对违法行为作出处理，当事组织或个人应接受生效的行政处罚决定；</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8.监督责任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：对处罚决定的执行情况进行监督检查；</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9.其他法律法规规章文件规定应履行的责任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w:t>
            </w:r>
          </w:p>
        </w:tc>
        <w:tc>
          <w:tcPr>
            <w:tcW w:w="594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部门规章】《互联网信息内容管理行政执法程序规定》（2017年国家互联网信息办公室令第2号）第十五条：行政处罚立案应当符合下列条件：（一）有涉嫌违法的事实；（二）依法应当予以行政处罚；（三）属于互联网信息内容监督管理行政处罚的范围；（四）属于本互联网信息内容管理部门管辖。</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第三十六条：行政机关发现公民、法人或者其他组织有依法应当给予行政处罚的行为的，必须全面、客观、公正地调查，收集有关证据；必要时，依照法律、法规的规定，可以进行检查。</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3.【法律】《中华人民共和国行政处罚法》第三十八条：调查终结，行政机关负责人应当对调查结果进行审查。</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4.【法律】《中华人民共和国行政处罚法》第三十一条：行政机关在作出行政处罚决定之前，应当告知当事人作出行政处罚决定的事实、理由及依据，并告知当事人依法享有的权利。</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5.【部门规章】《互联网信息内容管理行政执法程序规定》（2017年国家互联网信息办公室令第2号）第三十九条：互联网信息内容管理部门作出行政处罚决定，应当制作统一编号的《行政处罚决定书》。</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7.【部门规章】《互联网信息内容管理行政执法程序规定》（2017年国家互联网信息办公室令第2号）第四十一条：《行政处罚决定书》送达后，当事人应当在处罚决定的期限内予以履行。</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第四十二条：互联网信息服务提供者违反相关法律法规规章，需由电信主管部门关闭网站、吊销互联网信息服务增值电信业务经营许可证或者取消备案的，转电信主管部门处理。</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8.【部门规章】《互联网信息内容管理行政执法程序规定》（2017年国家互联网信息办公室令第2号）第四条：互联网信息内容管理部门建立行政执法督查制度。</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上级互联网信息内容管理部门对下级互联网信息内容管理部门实施的行政执法进行督查。</w:t>
            </w:r>
          </w:p>
        </w:tc>
        <w:tc>
          <w:tcPr>
            <w:tcW w:w="183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因不履行或不正确履行职责，有下列情形的行政机关及相关工作人员应承担相应的责任：</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1.不具备行政处罚主体资格（</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2.没有事实和法律依据（</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3.擅自改变处罚种类、幅度（</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5.违法处理罚没财物（</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6.涉嫌犯罪，不移交司法机关（</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7.对违法行为应当处罚不处罚或者乱处罚（</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8.除以上追责情形外，其他违反法律法规规章的行为依法追究相应责任（</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w:t>
            </w:r>
          </w:p>
        </w:tc>
        <w:tc>
          <w:tcPr>
            <w:tcW w:w="2022"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6.同1。</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7.同1。</w:t>
            </w:r>
          </w:p>
        </w:tc>
        <w:tc>
          <w:tcPr>
            <w:tcW w:w="626"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法律法规规定的免责情形及</w:t>
            </w:r>
            <w:r>
              <w:rPr>
                <w:rFonts w:hint="eastAsia" w:ascii="方正书宋_GBK" w:hAnsi="宋体" w:eastAsia="方正书宋_GBK" w:cs="宋体"/>
                <w:kern w:val="0"/>
                <w:sz w:val="20"/>
                <w:szCs w:val="20"/>
                <w:lang w:eastAsia="zh-CN"/>
              </w:rPr>
              <w:t>资源县委、资源县人民政府</w:t>
            </w:r>
            <w:r>
              <w:rPr>
                <w:rFonts w:hint="eastAsia" w:ascii="方正书宋_GBK" w:hAnsi="宋体" w:eastAsia="方正书宋_GBK" w:cs="宋体"/>
                <w:kern w:val="0"/>
                <w:sz w:val="20"/>
                <w:szCs w:val="20"/>
              </w:rPr>
              <w:t>有关文件中明确的免责情形。</w:t>
            </w:r>
          </w:p>
        </w:tc>
        <w:tc>
          <w:tcPr>
            <w:tcW w:w="381" w:type="dxa"/>
            <w:vAlign w:val="center"/>
          </w:tcPr>
          <w:p>
            <w:pPr>
              <w:adjustRightInd w:val="0"/>
              <w:snapToGrid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w:t>
            </w:r>
          </w:p>
        </w:tc>
        <w:tc>
          <w:tcPr>
            <w:tcW w:w="30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行政处罚</w:t>
            </w:r>
          </w:p>
        </w:tc>
        <w:tc>
          <w:tcPr>
            <w:tcW w:w="71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对拒不配合执法工作的行政处罚</w:t>
            </w:r>
          </w:p>
        </w:tc>
        <w:tc>
          <w:tcPr>
            <w:tcW w:w="332"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　</w:t>
            </w:r>
          </w:p>
        </w:tc>
        <w:tc>
          <w:tcPr>
            <w:tcW w:w="47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县委宣传部（县网信办）</w:t>
            </w:r>
          </w:p>
        </w:tc>
        <w:tc>
          <w:tcPr>
            <w:tcW w:w="600"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网信办</w:t>
            </w:r>
          </w:p>
        </w:tc>
        <w:tc>
          <w:tcPr>
            <w:tcW w:w="552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法律】《中华人民共和国网络安全法》第六十九条：网络运营者违反本法规定，有下列行为之一的，由有关主管部门责令改正；拒不改正或者情节严重的，处五万元以上五十万元以下罚款，对直接负责的主管人员和其他直接责任人员，处一万元以上十万元以下罚款：……　　　（二）拒绝、阻碍有关部门依法实施的监督检查的；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部门规章】《互联网新闻信息服务管理规定》（2017年国家互联网信息办公室令第1号）第十九条第一款：国家和地方互联网信息办公室应当建立日常检查和定期检查相结合的监督管理制度，依法对互联网新闻信息服务活动实施监督检查，有关单位、个人应当予以配合。</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第二十条第二款：国家和地方互联网信息办公室应当向社会公开举报受理方式，收到举报后，应当依法予以处置。互联网新闻信息服务提供者应当予以配合。</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二十五条：互联网新闻信息服务提供者违反本规定第三条、第十六条第一款、第十九条第一款、第二十条第二款规定的，由国家和地方互联网信息办公室依据职责给予警告，责令限期改正；情节严重或拒不改正的，暂停新闻信息更新，处二万元以上三万元以下罚款；构成犯罪的，依法追究刑事责任。</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3.【规范性文件】《国务院关于授权国家互联网信息办公室负责互联网信息内容管理工作的通知》（国发〔2014〕33号）为促进互联网信息服务健康有序发展，保护公民、法人和其他组织的合法权益，维护国家安全和公共利益，授权重新组建的国家互联网信息办公室负责全国互联网信息内容管理工作，并负责监督管理执法。</w:t>
            </w:r>
          </w:p>
        </w:tc>
        <w:tc>
          <w:tcPr>
            <w:tcW w:w="2385" w:type="dxa"/>
            <w:vAlign w:val="center"/>
          </w:tcPr>
          <w:p>
            <w:pPr>
              <w:adjustRightInd w:val="0"/>
              <w:snapToGrid w:val="0"/>
              <w:spacing w:line="24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rPr>
              <w:t>1.立案责任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：通过日常管理和监督发现违法行为，决定是否立案受理；</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2.调查取证责任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：记录违规事实，收集有关证据材料；</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3.复核审查责任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：对违法主体的违规记录及相关证明材料进行审查和确认；</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4.告知责任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：作出行政处罚决定前，由网信部门告知违法组织或个人其违法违规事实、理由及依据，以及享有的陈述、申辩等权利；</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5.决定责任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：作出处罚决定，制作处罚决定书；</w:t>
            </w:r>
          </w:p>
          <w:p>
            <w:pPr>
              <w:adjustRightInd w:val="0"/>
              <w:snapToGrid w:val="0"/>
              <w:spacing w:line="24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rPr>
              <w:t>6.送达责任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：处罚决定书送达当事人；</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7.执行责任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：对违法行为作出处理，当事组织或个人应接受生效的行政处罚决定；</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8.监督责任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：对处罚决定的执行情况进行监督检查；</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9.其他法律法规规章文件规定应履行的责任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w:t>
            </w:r>
          </w:p>
        </w:tc>
        <w:tc>
          <w:tcPr>
            <w:tcW w:w="594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部门规章】《互联网信息内容管理行政执法程序规定》（2017年国家互联网信息办公室令第2号）第十五条：行政处罚立案应当符合下列条件：（一）有涉嫌违法的事实；（二）依法应当予以行政处罚；（三）属于互联网信息内容监督管理行政处罚的范围；（四）属于本互联网信息内容管理部门管辖。</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第三十六条：行政机关发现公民、法人或者其他组织有依法应当给予行政处罚的行为的，必须全面、客观、公正地调查，收集有关证据；必要时，依照法律、法规的规定，可以进行检查。</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3.【法律】《中华人民共和国行政处罚法》第三十八条：调查终结，行政机关负责人应当对调查结果进行审查。</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4.【法律】《中华人民共和国行政处罚法》第三十一条：行政机关在作出行政处罚决定之前，应当告知当事人作出行政处罚决定的事实、理由及依据，并告知当事人依法享有的权利。</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5.【部门规章】《互联网信息内容管理行政执法程序规定》（2017年国家互联网信息办公室令第2号）第三十九条：互联网信息内容管理部门作出行政处罚决定，应当制作统一编号的《行政处罚决定书》。</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7.【部门规章】《互联网信息内容管理行政执法程序规定》（2017年国家互联网信息办公室令第2号）第四十一条：《行政处罚决定书》送达后，当事人应当在处罚决定的期限内予以履行。</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第四十二条：互联网信息服务提供者违反相关法律法规规章，需由电信主管部门关闭网站、吊销互联网信息服务增值电信业务经营许可证或者取消备案的，转电信主管部门处理。</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8.【部门规章】《互联网信息内容管理行政执法程序规定》（2017年国家互联网信息办公室令第2号）第四条：互联网信息内容管理部门建立行政执法督查制度。</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上级互联网信息内容管理部门对下级互联网信息内容管理部门实施的行政执法进行督查。</w:t>
            </w:r>
          </w:p>
        </w:tc>
        <w:tc>
          <w:tcPr>
            <w:tcW w:w="183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因不履行或不正确履行职责，有下列情形的行政机关及相关工作人员应承担相应的责任：</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1.不具备行政处罚主体资格（</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2.没有事实和法律依据（</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3.擅自改变处罚种类、幅度（</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5.违法处理罚没财物（</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6.涉嫌犯罪，不移交司法机关（</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7.对违法行为应当处罚不处罚或者乱处罚（</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8.除以上追责情形外，其他违反法律法规规章的行为依法追究相应责任（</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w:t>
            </w:r>
          </w:p>
        </w:tc>
        <w:tc>
          <w:tcPr>
            <w:tcW w:w="2022"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6.同1。</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7.同1。</w:t>
            </w:r>
          </w:p>
        </w:tc>
        <w:tc>
          <w:tcPr>
            <w:tcW w:w="626"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法律法规规定的免责情形及</w:t>
            </w:r>
            <w:r>
              <w:rPr>
                <w:rFonts w:hint="eastAsia" w:ascii="方正书宋_GBK" w:hAnsi="宋体" w:eastAsia="方正书宋_GBK" w:cs="宋体"/>
                <w:kern w:val="0"/>
                <w:sz w:val="20"/>
                <w:szCs w:val="20"/>
                <w:lang w:eastAsia="zh-CN"/>
              </w:rPr>
              <w:t>资源县委、资源县人民政府</w:t>
            </w:r>
            <w:r>
              <w:rPr>
                <w:rFonts w:hint="eastAsia" w:ascii="方正书宋_GBK" w:hAnsi="宋体" w:eastAsia="方正书宋_GBK" w:cs="宋体"/>
                <w:kern w:val="0"/>
                <w:sz w:val="20"/>
                <w:szCs w:val="20"/>
              </w:rPr>
              <w:t>有关文件中明确的免责情形。</w:t>
            </w:r>
          </w:p>
        </w:tc>
        <w:tc>
          <w:tcPr>
            <w:tcW w:w="381" w:type="dxa"/>
            <w:vAlign w:val="center"/>
          </w:tcPr>
          <w:p>
            <w:pPr>
              <w:adjustRightInd w:val="0"/>
              <w:snapToGrid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w:t>
            </w:r>
          </w:p>
        </w:tc>
        <w:tc>
          <w:tcPr>
            <w:tcW w:w="30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行政处罚</w:t>
            </w:r>
          </w:p>
        </w:tc>
        <w:tc>
          <w:tcPr>
            <w:tcW w:w="71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对提供违法违规互联网信息内容的行政处罚</w:t>
            </w:r>
          </w:p>
        </w:tc>
        <w:tc>
          <w:tcPr>
            <w:tcW w:w="332"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　</w:t>
            </w:r>
          </w:p>
        </w:tc>
        <w:tc>
          <w:tcPr>
            <w:tcW w:w="47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县委宣传部（县网信办）</w:t>
            </w:r>
          </w:p>
        </w:tc>
        <w:tc>
          <w:tcPr>
            <w:tcW w:w="60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lang w:val="en-US" w:eastAsia="zh-CN"/>
              </w:rPr>
              <w:t>网信办</w:t>
            </w:r>
          </w:p>
        </w:tc>
        <w:tc>
          <w:tcPr>
            <w:tcW w:w="552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行政法规】《互联网信息服务管理办法》（2000年9月25日中华人民共和国国务院令第292号公布，2000年9月25日国务院令第588号令修改）第十五条：互联网信息服务提供者不得制作、复制、发布、传播含有下列内容的信息：</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（一）反对宪法所确定的基本原则的；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（二）危害国家安全，泄露国家秘密，颠覆国家政权，破坏国家统一的；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（三）损害国家荣誉和利益的；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（四）煽动民族仇恨、民族歧视，破坏民族团结的；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（五）破坏国家宗教政策，宣扬邪教和封建迷信的；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（六）散布谣言，扰乱社会秩序，破坏社会稳定的；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（七）散布淫秽、色情、赌博、暴力、凶杀、恐怖或者教唆犯罪的；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（八）侮辱或者诽谤他人，侵害他人合法权益的；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（九）含有法律、行政法规禁止的其他内容的。</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二十条：制作、复制、发布、传播本办法第十五条所列内容之一的信息，构成犯罪的，依法追究刑事责任；尚不构成犯罪的，由公安机关、国家安全机关依照《中华人民共和国治安管理处罚法》、《计算机信息网络国际联网安全保护管理办法》等有关法律、行政法规的规定予以处罚；对经营性互联网信息服务提供者，并由发证机关责令停业整顿直至吊销经营许可证，通知企业登记机关；对非经营性互联网信息服务提供者，并由备案机关责令暂时关闭网站直至关闭网站。</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部门规章】《互联网新闻信息服务管理规定》（2017年国家互联网信息办公室令第1号）第三条：提供互联网新闻信息服务，应当遵守宪法、法律和行政法规，坚持为人民服务、为社会主义服务的方向，坚持正确舆论导向，发挥舆论监督作用，促进形成积极健康、向上向善的网络文化，维护国家利益和公共利益。</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第十六条第一款：互联网新闻信息服务提供者和用户不得制作、复制、发布、传播法律、行政法规禁止的信息内容。</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二十五条：互联网新闻信息服务提供者违反本规定第三条、第十六条第一款、第十九条第一款、第二十条第二款规定的，由国家和地方互联网信息办公室依据职责给予警告，责令限期改正；情节严重或拒不改正的，暂停新闻信息更新，处二万元以上三万元以下罚款；构成犯罪的，依法追究刑事责任。</w:t>
            </w:r>
          </w:p>
        </w:tc>
        <w:tc>
          <w:tcPr>
            <w:tcW w:w="2385"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1.立案责任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：通过日常管理和监督发现违法行为，决定是否立案受理；</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2.调查取证责任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：记录违规事实，收集有关证据材料；</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3.复核审查责任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：对违法主体的违规记录及相关证明材料进行审查和确认；</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4.告知责任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：作出行政处罚决定前，由网信部门告知违法组织或个人其违法违规事实、理由及依据，以及享有的陈述、申辩等权利；</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5.决定责任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：作出处罚决定，制作处罚决定书；</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6.送达责任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：处罚决定书送达当事人；</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7.执行责任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：对违法行为作出处理，当事组织或个人应接受生效的行政处罚决定；</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8.监督责任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：对处罚决定的执行情况进行监督检查；</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9.其他法律法规规章文件规定应履行的责任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w:t>
            </w:r>
          </w:p>
        </w:tc>
        <w:tc>
          <w:tcPr>
            <w:tcW w:w="594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部门规章】《互联网信息内容管理行政执法程序规定》（2017年国家互联网信息办公室令第2号）第十五条：行政处罚立案应当符合下列条件：（一）有涉嫌违法的事实；（二）依法应当予以行政处罚；（三）属于互联网信息内容监督管理行政处罚的范围；（四）属于本互联网信息内容管理部门管辖。</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第三十六条：行政机关发现公民、法人或者其他组织有依法应当给予行政处罚的行为的，必须全面、客观、公正地调查，收集有关证据；必要时，依照法律、法规的规定，可以进行检查。</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3.【法律】《中华人民共和国行政处罚法》第三十八条：调查终结，行政机关负责人应当对调查结果进行审查。</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4.【法律】《中华人民共和国行政处罚法》第三十一条：行政机关在作出行政处罚决定之前，应当告知当事人作出行政处罚决定的事实、理由及依据，并告知当事人依法享有的权利。</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5.【部门规章】《互联网信息内容管理行政执法程序规定》（2017年国家互联网信息办公室令第2号）第三十九条：互联网信息内容管理部门作出行政处罚决定，应当制作统一编号的《行政处罚决定书》。</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7.【部门规章】《互联网信息内容管理行政执法程序规定》（2017年国家互联网信息办公室令第2号）第四十一条：《行政处罚决定书》送达后，当事人应当在处罚决定的期限内予以履行。</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第四十二条：互联网信息服务提供者违反相关法律法规规章，需由电信主管部门关闭网站、吊销互联网信息服务增值电信业务经营许可证或者取消备案的，转电信主管部门处理。</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部门规章】《互联网信息内容管理行政执法程序规定》（2017年国家互联网信息办公室令第2号）第四条：互联网信息内容管理部门建立行政执法督查制度。上级互联网信息内容管理部门对下级互联网信息内容管理部门实施的行政执法进行督查。</w:t>
            </w:r>
          </w:p>
        </w:tc>
        <w:tc>
          <w:tcPr>
            <w:tcW w:w="183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因不履行或不正确履行职责，有下列情形的行政机关及相关工作人员应承担相应的责任：</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1.不具备行政处罚主体资格（</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2.没有事实和法律依据（</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3.擅自改变处罚种类、幅度（</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5.违法处理罚没财物（</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6.涉嫌犯罪，不移交司法机关（</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7.对违法行为应当处罚不处罚或者乱处罚（</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8.除以上追责情形外，其他违反法律法规规章的行为依法追究相应责任（</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w:t>
            </w:r>
          </w:p>
        </w:tc>
        <w:tc>
          <w:tcPr>
            <w:tcW w:w="2022"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6.同1。</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7.同1。</w:t>
            </w:r>
          </w:p>
        </w:tc>
        <w:tc>
          <w:tcPr>
            <w:tcW w:w="626"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法律法规规定的免责情形及</w:t>
            </w:r>
            <w:r>
              <w:rPr>
                <w:rFonts w:hint="eastAsia" w:ascii="方正书宋_GBK" w:hAnsi="宋体" w:eastAsia="方正书宋_GBK" w:cs="宋体"/>
                <w:kern w:val="0"/>
                <w:sz w:val="20"/>
                <w:szCs w:val="20"/>
                <w:lang w:eastAsia="zh-CN"/>
              </w:rPr>
              <w:t>资源县委、资源县人民政府</w:t>
            </w:r>
            <w:r>
              <w:rPr>
                <w:rFonts w:hint="eastAsia" w:ascii="方正书宋_GBK" w:hAnsi="宋体" w:eastAsia="方正书宋_GBK" w:cs="宋体"/>
                <w:kern w:val="0"/>
                <w:sz w:val="20"/>
                <w:szCs w:val="20"/>
              </w:rPr>
              <w:t>有关文件中明确的免责情形。</w:t>
            </w:r>
          </w:p>
        </w:tc>
        <w:tc>
          <w:tcPr>
            <w:tcW w:w="381" w:type="dxa"/>
            <w:vAlign w:val="center"/>
          </w:tcPr>
          <w:p>
            <w:pPr>
              <w:adjustRightInd w:val="0"/>
              <w:snapToGrid w:val="0"/>
              <w:spacing w:line="240" w:lineRule="exact"/>
              <w:jc w:val="center"/>
              <w:rPr>
                <w:rFonts w:hint="eastAsia"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w:t>
            </w:r>
          </w:p>
        </w:tc>
        <w:tc>
          <w:tcPr>
            <w:tcW w:w="30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行政处罚</w:t>
            </w:r>
          </w:p>
        </w:tc>
        <w:tc>
          <w:tcPr>
            <w:tcW w:w="718"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对违反安全评估、非公资本、总编辑及从业人员、管理制度和技术保障措施建设、传播平台、谋取不正当利益、账号管理、转载管理、违法信息处置、账号管理、重大事项变更、许可明示、举报管理等违法提供互联网新闻信息服务的行政处罚</w:t>
            </w:r>
          </w:p>
        </w:tc>
        <w:tc>
          <w:tcPr>
            <w:tcW w:w="332"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　</w:t>
            </w:r>
          </w:p>
        </w:tc>
        <w:tc>
          <w:tcPr>
            <w:tcW w:w="478" w:type="dxa"/>
            <w:vAlign w:val="center"/>
          </w:tcPr>
          <w:p>
            <w:pPr>
              <w:adjustRightInd w:val="0"/>
              <w:snapToGrid w:val="0"/>
              <w:spacing w:line="24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县委宣传部（县网信办）</w:t>
            </w:r>
          </w:p>
        </w:tc>
        <w:tc>
          <w:tcPr>
            <w:tcW w:w="600" w:type="dxa"/>
            <w:vAlign w:val="center"/>
          </w:tcPr>
          <w:p>
            <w:pPr>
              <w:adjustRightInd w:val="0"/>
              <w:snapToGrid w:val="0"/>
              <w:spacing w:line="24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网信办</w:t>
            </w:r>
          </w:p>
        </w:tc>
        <w:tc>
          <w:tcPr>
            <w:tcW w:w="552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部门规章】《互联网新闻信息服务管理规定》（2017年国家互联网信息办公室令第1号）第三条：提供互联网新闻信息服务，应当遵守宪法、法律和行政法规，坚持为人民服务、为社会主义服务的方向，坚持正确舆论导向，发挥舆论监督作用，促进形成积极健康、向上向善的网络文化，维护国家利益和公共利益。</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第七条第二款：互联网新闻信息服务单位与境内外中外合资经营、中外合作经营和外资经营的企业进行涉及互联网新闻信息服务业务的合作，应当报经国家互联网信息办公室进行安全评估。</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第八条：互联网新闻信息服务提供者的采编业务和经营业务应当分开，非公有资本不得介入互联网新闻信息采编业务。</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十一条：互联网新闻信息服务提供者应当设立总编辑，总编辑对互联网新闻信息内容负总责。总编辑人选应当具有相关从业经验，符合相关条件，并报国家或省、自治区、直辖市互联网信息办公室备案。互联网新闻信息服务相关从业人员应当依法取得相应资质，接受专业培训、考核。互联网新闻信息服务相关从业人员从事新闻采编活动，应当具备新闻采编人员职业资格，持有国家新闻出版广电总局统一颁发的新闻记者证。</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第十二条：互联网新闻信息服务提供者应当健全信息发布审核、公共信息巡查、应急处置等信息安全管理制度，具有安全可控的技术保障措施。</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十三条第一、三款：互联网新闻信息服务提供者为用户提供互联网新闻信息传播平台服务，应当按照《中华人民共和国网络安全法》的规定，要求用户提供真实身份信息。用户不提供真实身份信息的，互联网新闻信息服务提供者不得为其提供相关服务。互联网新闻信息服务提供者及其从业人员不得通过采编、发布、转载、删除新闻信息，干预新闻信息呈现或搜索结果等手段谋取不正当利益。</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十四条：互联网新闻信息服务提供者提供互联网新闻信息传播平台服务，应当与在其平台上注册的用户签订协议，明确双方权利义务。对用户开设公众账号的，互联网新闻信息服务提供者应当审核其账号信息、服务资质、服务范围等信息，并向所在地省、自治区、直辖市互联网信息办公室分类备案。</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十五条第一款：互联网新闻信息服务提供者转载新闻信息，应当转载中央新闻单位或省、自治区、直辖市直属新闻单位等国家规定范围内的单位发布的新闻信息，注明新闻信息来源、原作者、原标题、编辑真实姓名等，不得歪曲、篡改标题原意和新闻信息内容，并保证新闻信息来源可追溯。</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第十六条第二款：互联网新闻信息服务提供者提供服务过程中发现含有违反本规定第三条或前款规定内容的，应当依法立即停止传输该信息、采取消除等处置措施，保存有关记录，并向有关主管部门报告。</w:t>
            </w:r>
          </w:p>
        </w:tc>
        <w:tc>
          <w:tcPr>
            <w:tcW w:w="2385"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1.立案责任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：通过日常管理和监督发现违法行为，决定是否立案受理；</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2.调查取证责任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：记录违规事实，收集有关证据材料；</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3.复核审查责任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：对违法主体的违规记录及相关证明材料进行审查和确认；</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4.告知责任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：作出行政处罚决定前，由网信部门告知违法组织或个人其违法违规事实、理由及依据，以及享有的陈述、申辩等权利；</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5.决定责任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：作出处罚决定，制作处罚决定书；</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6.送达责任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：处罚决定书送达当事人；</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7.执行责任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：对违法行为作出处理，当事组织或个人应接受生效的行政处罚决定；</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8.监督责任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：对处罚决定的执行情况进行监督检查；</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9.其他法律法规规章文件规定应履行的责任</w:t>
            </w:r>
            <w:r>
              <w:rPr>
                <w:rFonts w:hint="eastAsia" w:ascii="方正书宋_GBK" w:hAnsi="宋体" w:eastAsia="方正书宋_GBK" w:cs="宋体"/>
                <w:kern w:val="0"/>
                <w:sz w:val="20"/>
                <w:szCs w:val="20"/>
                <w:lang w:eastAsia="zh-CN"/>
              </w:rPr>
              <w:t>（网络信息化股）</w:t>
            </w:r>
            <w:r>
              <w:rPr>
                <w:rFonts w:hint="eastAsia" w:ascii="方正书宋_GBK" w:hAnsi="宋体" w:eastAsia="方正书宋_GBK" w:cs="宋体"/>
                <w:kern w:val="0"/>
                <w:sz w:val="20"/>
                <w:szCs w:val="20"/>
              </w:rPr>
              <w:t>。</w:t>
            </w:r>
          </w:p>
        </w:tc>
        <w:tc>
          <w:tcPr>
            <w:tcW w:w="594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部门规章】《互联网信息内容管理行政执法程序规定》（2017年国家互联网信息办公室令第2号）第十五条：行政处罚立案应当符合下列条件：（一）有涉嫌违法的事实；（二）依法应当予以行政处罚；（三）属于互联网信息内容监督管理行政处罚的范围；（四）属于本互联网信息内容管理部门管辖。</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法律】《中华人民共和国行政处罚法》第三十六条：行政机关发现公民、法人或者其他组织有依法应当给予行政处罚的行为的，必须全面、客观、公正地调查，收集有关证据；必要时，依照法律、法规的规定，可以进行检查。</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3.【法律】《中华人民共和国行政处罚法》第三十八条：调查终结，行政机关负责人应当对调查结果进行审查。</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4.【法律】《中华人民共和国行政处罚法》第三十一条：行政机关在作出行政处罚决定之前，应当告知当事人作出行政处罚决定的事实、理由及依据，并告知当事人依法享有的权利。</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5.【部门规章】《互联网信息内容管理行政执法程序规定》（2017年国家互联网信息办公室令第2号）第三十九条：互联网信息内容管理部门作出行政处罚决定，应当制作统一编号的《行政处罚决定书》。</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7.【部门规章】《互联网信息内容管理行政执法程序规定》（2017年国家互联网信息办公室令第2号）第四十一条：《行政处罚决定书》送达后，当事人应当在处罚决定的期限内予以履行。</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第四十二条：互联网信息服务提供者违反相关法律法规规章，需由电信主管部门关闭网站、吊销互联网信息服务增值电信业务经营许可证或者取消备案的，转电信主管部门处理。</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8.【部门规章】《互联网信息内容管理行政执法程序规定》（2017年国家互联网信息办公室令第2号）第四条：互联网信息内容管理部门建立行政执法督查制度。</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上级互联网信息内容管理部门对下级互联网信息内容管理部门实施的行政执法进行督查。</w:t>
            </w:r>
          </w:p>
        </w:tc>
        <w:tc>
          <w:tcPr>
            <w:tcW w:w="1830"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因不履行或不正确履行职责，有下列情形的行政机关及相关工作人员应承担相应的责任：</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1.不具备行政处罚主体资格（</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2.没有事实和法律依据（</w:t>
            </w:r>
            <w:r>
              <w:rPr>
                <w:rFonts w:hint="eastAsia" w:ascii="方正书宋_GBK" w:hAnsi="宋体" w:eastAsia="方正书宋_GBK" w:cs="宋体"/>
                <w:kern w:val="0"/>
                <w:sz w:val="20"/>
                <w:szCs w:val="20"/>
                <w:lang w:eastAsia="zh-CN"/>
              </w:rPr>
              <w:t>区</w:t>
            </w:r>
            <w:r>
              <w:rPr>
                <w:rFonts w:hint="eastAsia" w:ascii="方正书宋_GBK" w:hAnsi="宋体" w:eastAsia="方正书宋_GBK" w:cs="宋体"/>
                <w:kern w:val="0"/>
                <w:sz w:val="20"/>
                <w:szCs w:val="20"/>
              </w:rPr>
              <w:t>纪委）；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3.擅自改变处罚种类、幅度（</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4.违反法定程序（</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5.违法处理罚没财物（</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6.涉嫌犯罪，不移交司法机关（</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7.对违法行为应当处罚不处罚或者乱处罚（</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　</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8.除以上追责情形外，其他违反法律法规规章的行为依法追究相应责任（</w:t>
            </w:r>
            <w:r>
              <w:rPr>
                <w:rFonts w:hint="eastAsia" w:ascii="方正书宋_GBK" w:hAnsi="宋体" w:eastAsia="方正书宋_GBK" w:cs="宋体"/>
                <w:kern w:val="0"/>
                <w:sz w:val="20"/>
                <w:szCs w:val="20"/>
                <w:lang w:eastAsia="zh-CN"/>
              </w:rPr>
              <w:t>县纪委监委派驻县委宣传部纪检监察组</w:t>
            </w:r>
            <w:r>
              <w:rPr>
                <w:rFonts w:hint="eastAsia" w:ascii="方正书宋_GBK" w:hAnsi="宋体" w:eastAsia="方正书宋_GBK" w:cs="宋体"/>
                <w:kern w:val="0"/>
                <w:sz w:val="20"/>
                <w:szCs w:val="20"/>
              </w:rPr>
              <w:t>）。</w:t>
            </w:r>
          </w:p>
        </w:tc>
        <w:tc>
          <w:tcPr>
            <w:tcW w:w="2022" w:type="dxa"/>
            <w:vAlign w:val="center"/>
          </w:tcPr>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1.【地方政府规章】《广西壮族自治区行政过错责任追究办法》（2007年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3.同1。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4.同1。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5.同1。</w:t>
            </w:r>
          </w:p>
          <w:p>
            <w:pPr>
              <w:adjustRightInd w:val="0"/>
              <w:snapToGrid w:val="0"/>
              <w:spacing w:line="24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6.同1。</w:t>
            </w:r>
          </w:p>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7.同1。</w:t>
            </w:r>
          </w:p>
        </w:tc>
        <w:tc>
          <w:tcPr>
            <w:tcW w:w="626" w:type="dxa"/>
            <w:vAlign w:val="center"/>
          </w:tcPr>
          <w:p>
            <w:pPr>
              <w:adjustRightInd w:val="0"/>
              <w:snapToGrid w:val="0"/>
              <w:spacing w:line="24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rPr>
              <w:t>法律法规规定的免责情形及</w:t>
            </w:r>
            <w:r>
              <w:rPr>
                <w:rFonts w:hint="eastAsia" w:ascii="方正书宋_GBK" w:hAnsi="宋体" w:eastAsia="方正书宋_GBK" w:cs="宋体"/>
                <w:kern w:val="0"/>
                <w:sz w:val="20"/>
                <w:szCs w:val="20"/>
                <w:lang w:eastAsia="zh-CN"/>
              </w:rPr>
              <w:t>资源县委、资源县人民政府</w:t>
            </w:r>
            <w:r>
              <w:rPr>
                <w:rFonts w:hint="eastAsia" w:ascii="方正书宋_GBK" w:hAnsi="宋体" w:eastAsia="方正书宋_GBK" w:cs="宋体"/>
                <w:kern w:val="0"/>
                <w:sz w:val="20"/>
                <w:szCs w:val="20"/>
              </w:rPr>
              <w:t>有关文件中明确的免责情形。</w:t>
            </w:r>
          </w:p>
        </w:tc>
        <w:tc>
          <w:tcPr>
            <w:tcW w:w="381" w:type="dxa"/>
            <w:vAlign w:val="center"/>
          </w:tcPr>
          <w:p>
            <w:pPr>
              <w:adjustRightInd w:val="0"/>
              <w:snapToGrid w:val="0"/>
              <w:spacing w:line="240" w:lineRule="exact"/>
              <w:jc w:val="center"/>
              <w:rPr>
                <w:rFonts w:hint="eastAsia" w:ascii="方正书宋_GBK" w:hAnsi="宋体" w:eastAsia="方正书宋_GBK" w:cs="宋体"/>
                <w:kern w:val="0"/>
                <w:sz w:val="20"/>
                <w:szCs w:val="20"/>
              </w:rPr>
            </w:pPr>
          </w:p>
        </w:tc>
      </w:tr>
    </w:tbl>
    <w:p>
      <w:pPr>
        <w:adjustRightInd w:val="0"/>
        <w:snapToGrid w:val="0"/>
        <w:spacing w:line="570" w:lineRule="exact"/>
        <w:jc w:val="center"/>
        <w:rPr>
          <w:rFonts w:hint="eastAsia" w:ascii="方正小标宋_GBK" w:eastAsia="方正小标宋_GBK"/>
          <w:sz w:val="44"/>
          <w:szCs w:val="44"/>
        </w:rPr>
      </w:pPr>
    </w:p>
    <w:p>
      <w:pPr>
        <w:adjustRightInd w:val="0"/>
        <w:snapToGrid w:val="0"/>
        <w:spacing w:line="570" w:lineRule="exact"/>
        <w:jc w:val="center"/>
        <w:rPr>
          <w:rFonts w:hint="eastAsia" w:ascii="方正小标宋_GBK" w:eastAsia="方正小标宋_GBK"/>
          <w:sz w:val="44"/>
          <w:szCs w:val="44"/>
        </w:rPr>
      </w:pPr>
    </w:p>
    <w:p>
      <w:pPr>
        <w:adjustRightInd w:val="0"/>
        <w:snapToGrid w:val="0"/>
        <w:spacing w:line="570" w:lineRule="exact"/>
        <w:jc w:val="center"/>
        <w:rPr>
          <w:rFonts w:hint="eastAsia" w:ascii="方正小标宋_GBK" w:eastAsia="方正小标宋_GBK"/>
          <w:sz w:val="44"/>
          <w:szCs w:val="44"/>
        </w:rPr>
      </w:pPr>
    </w:p>
    <w:p>
      <w:pPr>
        <w:adjustRightInd w:val="0"/>
        <w:snapToGrid w:val="0"/>
        <w:spacing w:line="570" w:lineRule="exact"/>
        <w:jc w:val="center"/>
        <w:rPr>
          <w:rFonts w:hint="eastAsia" w:ascii="方正小标宋_GBK" w:eastAsia="方正小标宋_GBK"/>
          <w:sz w:val="44"/>
          <w:szCs w:val="44"/>
        </w:rPr>
      </w:pPr>
    </w:p>
    <w:p>
      <w:pPr>
        <w:adjustRightInd w:val="0"/>
        <w:snapToGrid w:val="0"/>
        <w:spacing w:line="570" w:lineRule="exact"/>
        <w:jc w:val="center"/>
        <w:rPr>
          <w:rFonts w:hint="eastAsia" w:ascii="方正小标宋_GBK" w:eastAsia="方正小标宋_GBK"/>
          <w:sz w:val="44"/>
          <w:szCs w:val="44"/>
        </w:rPr>
      </w:pPr>
    </w:p>
    <w:tbl>
      <w:tblPr>
        <w:tblStyle w:val="4"/>
        <w:tblW w:w="21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88"/>
        <w:gridCol w:w="462"/>
        <w:gridCol w:w="966"/>
        <w:gridCol w:w="1008"/>
        <w:gridCol w:w="2668"/>
        <w:gridCol w:w="2367"/>
        <w:gridCol w:w="4600"/>
        <w:gridCol w:w="2533"/>
        <w:gridCol w:w="4821"/>
        <w:gridCol w:w="754"/>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46" w:hRule="atLeast"/>
          <w:tblHeader/>
          <w:jc w:val="center"/>
        </w:trPr>
        <w:tc>
          <w:tcPr>
            <w:tcW w:w="406"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69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0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63" w:hRule="atLeast"/>
          <w:tblHeader/>
          <w:jc w:val="center"/>
        </w:trPr>
        <w:tc>
          <w:tcPr>
            <w:tcW w:w="406"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8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46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9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10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6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3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6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25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82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75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38"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行政许可</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内部资料性出版物准印证核发</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行政法规】《印刷业管理条例》（2001年国务院令第315号公布，2020年国务院令第732号修订）第二十条第一、二款：印刷企业接受委托印刷内部资料性出版物的，必须验证县级以上地方人民政府出版行政部门核发的准印证。印刷企业接受委托印刷宗教内容的内部资料性出版物的，必须验证省、自治区、直辖市人民政府宗教事务管理部门的批准文件和省、自治区、直辖市人民政府出版行政部门核发的准印证。</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部门规章】《内部资料性出版物管理办法》（2015年国家新闻出版广电总局令第2号）第三条：对内部资料的编印，实行核发《内部资料性印刷品准印证》（以下简称《准印证》）管理。未经批准取得《准印证》，任何单位和个人不得从事内部资料的编印活动。</w:t>
            </w:r>
          </w:p>
        </w:tc>
        <w:tc>
          <w:tcPr>
            <w:tcW w:w="2367" w:type="dxa"/>
            <w:vAlign w:val="center"/>
          </w:tcPr>
          <w:p>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1.受理责任（新闻版权和电影事务股）公示应当提交的材料；一次性告知补正材料；依法受理或不予受理（不予受理应当告知理由）。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2.审查责任（新闻版权和电影事务股）：按照政策规定对书面材料进行审查，提出是否同意审批的初步意见，告知申请人、利害相关人享有听证权利；涉及公共利益的重大许可，向社会公告，并举行听证。</w:t>
            </w:r>
          </w:p>
          <w:p>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3.决定责任（新闻版权和电影事务股）：作出行政许可或者不予行政许可决定，法定告知（不予许可的应当书面告知理由）。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4.送达责任（新闻版权和电影事务股）：准予许可的制发送达审批决定。</w:t>
            </w:r>
          </w:p>
          <w:p>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5.事后监管责任（新闻版权和电影事务股）：责任部门对审批后的相关事宜实施监督管理</w:t>
            </w:r>
          </w:p>
          <w:p>
            <w:pPr>
              <w:keepNext w:val="0"/>
              <w:keepLines w:val="0"/>
              <w:pageBreakBefore w:val="0"/>
              <w:widowControl w:val="0"/>
              <w:kinsoku/>
              <w:wordWrap/>
              <w:overflowPunct/>
              <w:topLinePunct w:val="0"/>
              <w:autoSpaceDE/>
              <w:autoSpaceDN/>
              <w:bidi w:val="0"/>
              <w:adjustRightInd w:val="0"/>
              <w:snapToGrid w:val="0"/>
              <w:spacing w:line="260" w:lineRule="exact"/>
              <w:jc w:val="center"/>
              <w:textAlignment w:val="auto"/>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6.其他法律法规规章文件规定应履行的责任。</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4.【法律】《中华人民共和国行政许可法》第四十条：行政机关作出准予行政许可的决定，应当予以公开，公众有权查阅。</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第四十四条：行政机关作出准予行政许可的决定，应当自作出决定之日起十日内向申请人颁发、送达行政许可证，或者加贴标签、加盖检验、检测、检疫印章。</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5.【法律】《中华人民共和国行政许可法》第六十一条：行政机关应当建立健全监督制度，通过核查反映被许可人从事行政许可事项活动情况的有关材料，履行监督责任。</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w:t>
            </w:r>
          </w:p>
        </w:tc>
        <w:tc>
          <w:tcPr>
            <w:tcW w:w="4821"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5.【规章】《广西壮族自治区行政过错责任追究办法》（2007年4月17日审议通过，自2007年6月1日起施行）  第八条 实施行政行为，有下列情形之一的，应当追究行政过错责任人的责任：（二）依法应当听证不组织听证；（三）不依法履行告知义务；</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680"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行政许可</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电影放映单位（内资）设立审批</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电影产业促进法》第二十四条：企业、个体工商户具有与所从事的电影放映活动相适应的人员、场所、技术、和设备等条件的，经所在地县级人民政府电影主管部门批准，可以从事电影院等固定放映场所电影放映活动。</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二十五条：依照本法规定负责电影发行、放映活动审批的电影主管部门，应当自受理申请之日起三十日内，作出批准或者不批准的决定。对符合条件的，予以批准，颁发电影发行经营许可证或者电影放映经营许可证，并予以公布；对不符合条件的，不予批准，书面通知申请人并说明理由。</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行政法规】《电影管理条例》（2001年国务院令第342号）第三十八条：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电影发行单位、电影放映单位变更业务范围，或者兼并其他电影发行单位、电影放映单位，或者因合并、分立而设立新的电影发行单位、电影放映单位的，应当依照本条例第三十七条或者第三十八条的规定办理审批手续，并到工商行政管理部门办理相应的登记手续。</w:t>
            </w:r>
          </w:p>
        </w:tc>
        <w:tc>
          <w:tcPr>
            <w:tcW w:w="2367"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1.受理责任（新闻版权和电影事务股）公示应当提交的材料；一次性告知补正材料；依法受理或不予受理（不予受理应当告知理由）。</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2.审查责任（新闻版权和电影事务股）：按照政策规定对书面材料进行审查，提出是否同意审批的初步意见，告知申请人、利害相关人享有听证权利；涉及公共利益的重大许可，向社会公告，并举行听证。</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3.决定责任（新闻版权和电影事务股）：作出行政许可或者不予行政许可决定，法定告知（不予许可的应当书面告知理由）。</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4.送达责任（新闻版权和电影事务股）：准予许可的制发送达审批决定。</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5.事后监管责任（新闻版权和电影事务股）：责任部门对审批后的相关事宜实施监督管理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6.其他法律法规规章文件规定应履行的责任。</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4.【法律】《中华人民共和国行政许可法》第四十条：行政机关作出准予行政许可的决定，应当予以公开，公众有权查阅。</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第四十四条：行政机关作出准予行政许可的决定，应当自作出决定之日起十日内向申请人颁发、送达行政许可证，或者加贴标签、加盖检验、检测、检疫印章。</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5.【法律】《中华人民共和国行政许可法》第六十一条：行政机关应当建立健全监督制度，通过核查反映被许可人从事行政许可事项活动情况的有关材料，履行监督责任。</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w:t>
            </w:r>
          </w:p>
        </w:tc>
        <w:tc>
          <w:tcPr>
            <w:tcW w:w="4821"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754" w:type="dxa"/>
            <w:vAlign w:val="center"/>
          </w:tcPr>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行政许可</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出版物零售单位和个体工商户设立、变更审批</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行政法规】《出版管理条例》（2001年国务院令第343号公布，2020年国务院令第732号修订）第三十五条：单位从事出版物批发业务的，须经省、自治区、直辖市人民政府出版行政主管部门审核许可，取得《出版物经营许可证》。单位和个体工商户从事出版物零售业务的，须经县级人民政府出版行政主管部门审核许可，取得《出版物经营许可证》。</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第三十七条：从事出版物发行业务的单位和个体工商户变更《出版物经营许可证》登记事项，或者兼并、合并、分立的，应当依照本条例第三十五条的规定办理审批手续。</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部门规章】《出版物市场管理规定》（2016年国家新闻出版广电总局、商务部令第10号）第二条：本规定适用于出版物发行活动及其监督管理。本规定所称出版物，是指图书、报纸、期刊、音像制品、电子出版物。本规定所称发行，包括批发、零售以及出租、展销等活动。批发是指供货商向其他出版物经营者销售出版物。零售是指经营者直接向消费者销售出版物。</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第三条：国家对出版物批发、零售依法实行许可制度。从事出版物批发、零售活动的单位和个人凭出版物经营许可证开展出版物批发、零售活动；未经许可，任何单位和个人不得从事出版物批发、零售活动。</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条：单位、个人申请从事出版物零售业务，须报所在地县级人民政府出版行政主管部门审批。县级人民政府出版行政主管部门应当自受理申请之日起20个工作日内作出批准或者不予批准的决定。批准的，由县级人民政府出版行政主管部门颁发出版物经营许可证，并报上一级出版行政主管部门备案；其中门店营业面积在5000平方米以上的应同时报省级人民政府出版行政主管部门备案。不予批准的，应当向申请单位、个人书面说明理由。</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九条：从事出版物发行业务的单位、个人变更出版物经营许可证登记事项，或者兼并、合并、分立的，应当依照本规定到原批准的出版行政主管部门办理审批手续。出版行政主管部门自受理申请之日起20个工作日内作出批准或者不予批准的决定。批准的，由出版行政主管部门换发出版物经营许可证；不予批准的，应当向申请单位、个人书面说明理由。</w:t>
            </w:r>
          </w:p>
        </w:tc>
        <w:tc>
          <w:tcPr>
            <w:tcW w:w="2367"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1.受理责任（新闻版权和电影事务股）公示应当提交的材料；一次性告知补正材料；依法受理或不予受理（不予受理应当告知理由）。</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2.审查责任（新闻版权和电影事务股）：按照政策规定对书面材料进行审查，提出是否同意审批的初步意见，告知申请人、利害相关人享有听证权利；涉及公共利益的重大许可，向社会公告，并举行听证。</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3.决定责任（新闻版权和电影事务股）：作出行政许可或者不予行政许可决定，法定告知（不予许可的应当书面告知理由）。</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4.送达责任（新闻版权和电影事务股）：准予许可的制发送达审批决定。</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5.事后监管责任（新闻版权和电影事务股）：责任部门对审批后的相关事宜实施监督管理。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6.其他法律法规规章文件规定应履行的责任。</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5.【法律】《中华人民共和国行政许可法》第六十一条：行政机关应当建立健全监督制度，通过核查反映被许可人从事行政许可事项活动情况的有关材料，履行监督责任。</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6.除以上追责情形外，其他违反法律法规规章的行为依法追究相应责任(县纪委监委派驻县委宣传部纪检监察组)； </w:t>
            </w:r>
          </w:p>
        </w:tc>
        <w:tc>
          <w:tcPr>
            <w:tcW w:w="4821"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行政许可法》（2003年主席令第七号公布）第七十二条：“行政机关及其工作人员违反本法的规定，有下列情形之一的，由其上及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许可法》（2003年主席令第七号公布）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3.同2。</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许可法》（2003年主席令第七号公布）第七十七条：“行政机关不依法履行监督职责或者监督不力，造成严重后果的，由其上级行政机关或者监察机关责令改正，对直接负责的主管人员其他直接责任人依法给予行政处分；构成犯罪的，依法追究刑事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5.【规章】《广西壮族自治区行政过错责任追究办法》 (2007年4月17日审议通过，自2007年6月1日起施行）  第八条 实施行政行为，有下列情形之一的，应当追究行政过错责任人的责任:（二）依法应当听证不组织听证；（三）不依法履行告知义务；</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法规】《行政机关公务员处分条例》（2007年4月4日中华人民共和国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7.【法律】《中华人民共和国行政许可法》（2003年主席令第七号公布）第七十三条：“行政机关工作人员办理行政许可、实施监督检查，索取或者收受他人财物或者谋取其他利益，构成犯罪的，依法追究刑事责任；尚不构成犯罪的，依法给予行政处分。”</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8</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对音像出版单位出租、出借、出售或转让版号，擅自进口音像制品及委托非音像制品制作单位、非音像复制单位制作、复制音像制品的处罚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音像制品管理条例》（2001年国务院令第341号公布，2016年国务院令第666号修订）第四十二条：有下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一）音像出版单位向其他单位、个人出租、出借、出售或者以其他任何形式转让本单位的名称，出售或者以其他形式转让本单位的版号的；（二）音像出版单位委托未取得《音像制品制作许可证》的单位制作音像制品，或者委托未取得《复制经营许可证》的单位复制音像制品的；（三）音像出版单位出版未经国务院出版行政主管部门批准擅自进口的音像制品的；（四）音像制作单位、音像复制单位未依照本条例的规定验证音像出版单位的委托书、有关证明的；（五）音像复制单位擅自复制他人的音像制品，或者接受非音像出版单位、个人的委托复制经营性的音像制品，或者自行复制音像制品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w:t>
            </w:r>
            <w:r>
              <w:rPr>
                <w:rFonts w:hint="eastAsia" w:ascii="方正书宋_GBK" w:hAnsi="仿宋" w:eastAsia="方正书宋_GBK" w:cs="宋体"/>
                <w:color w:val="000000"/>
                <w:kern w:val="0"/>
                <w:sz w:val="20"/>
                <w:szCs w:val="20"/>
              </w:rPr>
              <w:t>室）。</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9</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对出版、批发、零售、出租或放映未经新闻出版署批准进口的音像制品；批发、零售、出租放映供研究、教学参考或者用于展览、展示的进口音像制品的处罚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部门规章】《音像制品进口管理办法》（2011年国家新闻出版总署、海关总署令第53号）第三十条：有下列行为之一的，由县级以上新闻出版行政部门责令停止违法行为，给予警告，没收违法音像制品和违法所得；违法经营额1万元以上的，并处违法经营额5倍以上10倍以下的罚款；违法经营额不足1万元的，并处5万元以下罚款；情节严重的，并责令停业整顿或者由原发证机关吊销许可证：（一）出版未经新闻出版总署批准擅自进口的音像制品。（二）批发、零售、出租或者放映未经新闻出版总署批准进口的音像制品的；（三）批发、零售、出租放映供研究、教学参考或者用于展览、展示的进口音像制品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w:t>
            </w:r>
            <w:r>
              <w:rPr>
                <w:rFonts w:hint="eastAsia" w:ascii="方正书宋_GBK" w:hAnsi="仿宋" w:eastAsia="方正书宋_GBK" w:cs="宋体"/>
                <w:color w:val="000000"/>
                <w:kern w:val="0"/>
                <w:sz w:val="20"/>
                <w:szCs w:val="20"/>
              </w:rPr>
              <w:t>室）</w:t>
            </w:r>
            <w:r>
              <w:rPr>
                <w:rFonts w:hint="eastAsia" w:ascii="方正书宋_GBK" w:hAnsi="宋体" w:eastAsia="方正书宋_GBK" w:cs="宋体"/>
                <w:color w:val="000000"/>
                <w:kern w:val="0"/>
                <w:sz w:val="20"/>
                <w:szCs w:val="20"/>
                <w:lang w:val="en-US" w:eastAsia="zh-CN"/>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10</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对出售或者以其他形式转让本出版单位的名称、书号、刊号、版号、版面，或者出租本单位的名称、刊号；利用出版活动谋取其他不正当利益的处罚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出版管理条例》（2001年国务院令第343号公布，2016年国务院令第666号修订）第六十六条：出版单位有下列行为之一的，由出版行政主管部门责令停止违法行为，给予警告，没收违法经营的出版物、违法所得，违法经营额1万元以上的，并处违法经营额5倍以上10倍以下的罚款；违法经营额不足1万元的，可以处5万元以下的罚款；情节严重的，责令限期停业整顿或者由原发证机关吊销许可证：（一）出售或者以其他形式转让本出版单位的名称、书号、刊号、版号、版面，或者出租本单位的名称、刊号的；（二）利用出版活动谋取其他不正当利益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w:t>
            </w:r>
            <w:r>
              <w:rPr>
                <w:rFonts w:hint="eastAsia" w:ascii="方正书宋_GBK" w:hAnsi="仿宋" w:eastAsia="方正书宋_GBK" w:cs="宋体"/>
                <w:color w:val="000000"/>
                <w:kern w:val="0"/>
                <w:sz w:val="20"/>
                <w:szCs w:val="20"/>
              </w:rPr>
              <w:t>室）。</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11</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对摄制、洗印、加工、进口、发行、放映含有禁止内容的电影片行为的处罚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电影产业促进法》第四十七条：违反本法规定擅自从事电影摄制、发行、放映活动的，由县级以上人民政府电影主管部门予以取缔，没收电影片和违法所得及从事违法活动的专用工具、设备；违法所得五万元以上的，并处违法所得五倍以上十倍以下的罚款；没有违法所得或者违法 所得不足五万元的，可以并处二十五万元以下的罚款。</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行政法规】《电影管理条例》（2001年国务院令第342号）第五十六条：摄制含有本条例第二十五条禁止内容的电影片，或者洗印加工、进口、发行、放映明知或者应知含有本条例第二十五条禁止内容的电影片的，依照刑法有关规定，依法追究刑事责任；尚不够刑事处罚的，由电影行政部门责令停业整顿，没收违法经营的电影片和违法所得；违法所得5万元以上的，并处违法所得5倍以上10倍以下的罚款；没有违法所得或者违法所得不足5万元的，并处20万元以上50万元以下的罚款；情节严重的，并由原发证机关吊销许可证。</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w:t>
            </w:r>
            <w:r>
              <w:rPr>
                <w:rFonts w:hint="eastAsia" w:ascii="方正书宋_GBK" w:hAnsi="仿宋" w:eastAsia="方正书宋_GBK" w:cs="宋体"/>
                <w:color w:val="000000"/>
                <w:kern w:val="0"/>
                <w:sz w:val="20"/>
                <w:szCs w:val="20"/>
              </w:rPr>
              <w:t>室）。</w:t>
            </w:r>
            <w:r>
              <w:rPr>
                <w:rFonts w:hint="eastAsia" w:ascii="方正书宋_GBK" w:hAnsi="宋体" w:eastAsia="方正书宋_GBK" w:cs="宋体"/>
                <w:color w:val="000000"/>
                <w:kern w:val="0"/>
                <w:sz w:val="20"/>
                <w:szCs w:val="20"/>
                <w:lang w:val="en-US" w:eastAsia="zh-CN"/>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12</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对违反电影摄制、洗印、加工、后期制作、发行、放映规定的处罚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电影产业促进法》第五十条：承接含有损害国家尊严、荣誉和利益、危害社会稳定，伤害民族感情等内容的境外的洗印、加工、后期制作等业务的，由县级以上人民政府电影主管部门责令停止违法活动，没收电影片和违法所得；违法所得五万元以上的，并处违法所得三倍以上五倍以下的罚款；没有违法所得或者违法所得不足五万元的，可以并处十五万元以下的罚款。情节严重的，由电影主管部门通报工商行政管理部门，由工商行政管理部门吊销营业执照。</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行政法规】《电影管理条例》（2001年国务院令第342号）第五十九条：有下列行为之一的，由电影行政部门责令停止违法行为，没收违法经营的电影片和违法所得；违法所得5万元以上的，并处违法所得5倍以上10倍以下的罚款；没有违法所得或者违法所得不足5万元的，并处10万元以上30万元以下的罚款；情节严重的，并责令停业整顿或者由原发证机关吊销许可证：（一）未经批准，擅自与境外组织或者个人合作摄制电影，或者擅自到境外从事电影摄制活动的；（二）擅自到境外进行电影底片、样片的冲洗或者后期制作，或者未按照批准文件载明的要求执行的；（三）洗印加工未取得《摄制电影许可证》、《摄制电影片许可证（单片）》的单位摄制的电影底片、样片，或者洗印加工未取得《电影片公映许可证》的电影片拷贝的；（四）未经批准，接受委托洗印加工境外电影底片、样片或者电影片拷贝，或者未将洗印加工的境外电影底片、样片或者电影片拷贝全部运输出境的；（五）利用电影资料片从事或者变相从事经营性的发行、放映活动的；（六）未按照规定的时间比例放映电影片，或者不执行国务院广播电影电视行政部门停止发行、放映决定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w:t>
            </w:r>
            <w:r>
              <w:rPr>
                <w:rFonts w:hint="eastAsia" w:ascii="方正书宋_GBK" w:hAnsi="仿宋" w:eastAsia="方正书宋_GBK" w:cs="宋体"/>
                <w:color w:val="000000"/>
                <w:kern w:val="0"/>
                <w:sz w:val="20"/>
                <w:szCs w:val="20"/>
              </w:rPr>
              <w:t>室）。</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13</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对非法使用或非法取得电影许可证、批准或者证明文件的处罚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中华人民共和国电影产业促进法》第四十八条：有下列情形之一的，由原发证机关吊销有关许可证、撤销有关批准或者证明文件；县级以上人民政府电影主管部门没收违法所得；违法所得五万元以上的，并处违法所得五倍以上十倍以下的罚款；没有违法所得或者违法所得不足五万元的，可以并处二十五万元以下的罚款：（一）伪造、变造、出租、出借、买卖本法规定的许可证、批准或者证明文件，或者以其他形式非法转让本法规定的许可证、批准或者证明文件的；（二）以欺骗、贿赂等不正当手段取得本法规定的许可证、批准或者证明文件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w:t>
            </w:r>
            <w:r>
              <w:rPr>
                <w:rFonts w:hint="eastAsia" w:ascii="方正书宋_GBK" w:hAnsi="仿宋" w:eastAsia="方正书宋_GBK" w:cs="宋体"/>
                <w:color w:val="000000"/>
                <w:kern w:val="0"/>
                <w:sz w:val="20"/>
                <w:szCs w:val="20"/>
              </w:rPr>
              <w:t>室）。</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14</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对违反电影公映许可有关规定的处罚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中华人民共和国电影产业促进法》第四十九条：有下列情形之一的，由原发证机关吊销许可证；县级以上人民政府电影主管部门没收电影片和违法所得；违法所得五万元以上的，并处违法所得十倍以上二十倍以下的罚款；没有违法所得或者违法所得不足五万元的，可以并处五十万元以下的罚款：（一）发行、放映未取得电影公映许可证的电影的；（二）取得电影公映许可证后变更电影内容，未依照规定重新取得电影公映许可证擅自发行、放映、送展的；（三）提供未取得电影公映许可证的电影参加电影节（展）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w:t>
            </w:r>
            <w:r>
              <w:rPr>
                <w:rFonts w:hint="eastAsia" w:ascii="方正书宋_GBK" w:hAnsi="仿宋" w:eastAsia="方正书宋_GBK" w:cs="宋体"/>
                <w:color w:val="000000"/>
                <w:kern w:val="0"/>
                <w:sz w:val="20"/>
                <w:szCs w:val="20"/>
              </w:rPr>
              <w:t>室）。</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第一款：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15</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对擅自从事电影摄制、发行、放映活动的处罚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中华人民共和国电影产业促进法》第四十七条：违反本法规定擅自从事电影摄制、发行、放映活动的由县级以上人民政府电影主管部门予以取缔，没收电影片和违法所得以及从事违法活动的专用工具、设备；违法所得五万元以上的，并处违法所得五倍以上十倍以下的罚款；没有违法所得或者违法所得不足五万元的，可以并处二十五万元以下的罚款。</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w:t>
            </w:r>
            <w:r>
              <w:rPr>
                <w:rFonts w:hint="eastAsia" w:ascii="方正书宋_GBK" w:hAnsi="仿宋" w:eastAsia="方正书宋_GBK" w:cs="宋体"/>
                <w:color w:val="000000"/>
                <w:kern w:val="0"/>
                <w:sz w:val="20"/>
                <w:szCs w:val="20"/>
              </w:rPr>
              <w:t>室）。</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16</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对出版、经营含有禁止内容出版物的处罚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出版管理条例》（2001年国务院令第343号公布，2016年国务院令第666号修订）第六十二条：有下列行为之一，触犯刑律的，依照刑法有关规定，依法追究刑事责任；尚不够刑事处罚的，由出版行政主管部门责令限期停业整顿，没收出版物、违法所得，违法经营额1万元以上的，并处违法经营额5倍以上10倍以下的罚款；违法经营额不足1万元的，可以处5万元以下的罚款；情节严重的，由原发证机关吊销许可证：</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（一）出版、进口含有本条例第二十六条、第二十七条禁止内容的出版物；</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（二）明知或者应知出版物含有本条例第二十六条、第二十七条禁止内容而印刷或者复制、发行的；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（三）明知或者应知他人出版含有本条例第二十六条、第二十七条禁止内容的出版物而向其出售或者以其他形式转让本出版单位的名称、书号、刊号、版号、版面，或者出租本单位的名称、刊号的。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w:t>
            </w:r>
            <w:r>
              <w:rPr>
                <w:rFonts w:hint="eastAsia" w:ascii="方正书宋_GBK" w:hAnsi="仿宋" w:eastAsia="方正书宋_GBK" w:cs="宋体"/>
                <w:color w:val="000000"/>
                <w:kern w:val="0"/>
                <w:sz w:val="20"/>
                <w:szCs w:val="20"/>
              </w:rPr>
              <w:t>室）。</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地方政府规章】《广西壮族自治区行政执法程序规定》（1997年广西壮族自治区人民政府令第13号）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17</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对擅自举办境外出版物展览的处罚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出版管理条例》（2001年国务院令第343号公布，2016年国务院令第666号修订）第六十八条：未经批准，举办境外出版物展览的，由出版行政主管部门责令停止违法行为，没收出版物、违法所得；情节严重的，责令限期停业整顿或者由原发证机关吊销许可证。</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 .【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18</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对违反规定编印内部资料性出版物的处罚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部门规章】《内部资料性出版物管理办法》（2015年国家新闻出版广电总局令第2号）第二十二条：有下列行为之一的，由县级以上地方人民政府新闻出版行政部门责令改正、停止违法行为，根据情节轻重，给予警告，处1千元以下的罚款；以营利为目的从事下列行为的，处3万元以下罚款：（一）未经批准擅自编印内部资料的；（二）编印本办法第十三条规定禁止内容的内部资料的；（三）违反本办法第十四条、第十五条规定，编印、发送内部资料的；（四）委托非出版物印刷企业印刷内部资料或者未按照《准印证》核准的项目印制的；（五）未按照本办法第十八条送交样本的；（六）违反本办法其他规定的。其中，有前款第（一）项至第（三）项违法行为的，对非法编印的内部资料予以没收，超越发送范围的责令收回。未取得《准印证》，编印具有内部资料形式，但不符合内部资料内容或发送要求的印刷品，经鉴定为非法出版物的，按照《出版管理条例》第六十一条或第六十二条的规定处罚。</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令第18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19</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对非法设立出版、复制印刷、出版物进口单位，或者擅自从事出版、复制印刷、发行、出版物进口业务，假冒出版单位名称或者伪造、假冒报纸、期刊名称出版出版物的处罚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出版管理条例》（2001年国务院令第343号公布，2016年国务院令第666号修订）第六十一条：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令第18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20</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对社会组织或者个人违反新闻记者证管理有关规定的处罚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部门规章】《新闻记者证管理办法》（2009年新闻出版总署令第44号）第三十七条：社会组织或者个人有以下行为之一的，由新闻出版行政部门联合有关部门共同查处，没收违法所得，给予警告，并处3万元以下罚款，构成犯罪的，依法追究刑事责任：（一）擅自制作、仿制、发放、销售新闻记者证或者擅自制作、发放、销售采访证件的；（二）假借新闻机构、假冒新闻记者从事新闻采访活动的；（三）以新闻采访为名开展各类活动或者谋取利益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4.【法律】《中华人民共和国行政处罚法》第四十条：行政处罚决定书应当在宣告后当场交付当事人；当事人不在场的，行政机关应当在七日内依照民事诉讼法的有关规定，将行政处罚决定书送达当事人。</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21</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对出版、制作、复制、批发、零售、出租、放映明知或者应知含有禁止内容的音像制品的处罚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音像制品管理条例》（2001年国务院令第341号公布，2016年国务院令第666号修订）第四十条：出版含有本条例第三条第二款禁止内容的音像制品，或者制作、复制、批发、零售、出租、放映明知或者应知含有本条例第三条第二款禁止内容的音像制品的，依照刑法有关规定，依法追究刑事责任；尚不够刑事处罚的，由出版行政主管部门、公安部门依据各自职权责令停业整顿，没收违法经营的音像制品和违法所得；违法经营额1万元以上的，并处违法经营额5倍以上10倍以下的罚款；违法经营额不足1万元的，可以处5万元以下的罚款；情节严重的，并由原发证机关吊销许可证。</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令第18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22</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对违反音像制品出版管理有关规定的处罚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部门规章】《音像制品出版管理规定》（2004年新闻出版总署令第22号公布，2017年国家新闻出版广电总局令第13号修订）第五十条：有下列行为之一的，由出版行政部门责令停止违法行为，给予警告，并处3万元以下的罚款：（一）其他出版单位配合本版出版物出版音像制品，其名称与本版出版物不一致或者单独定价销售的；（二）音像出版单位及其他委托复制单位，未按照本规定第三十六条规定的内容、期限留存备查材料的；（三）委托复制非卖品的单位销售或变相销售非卖品或者以非卖品收取费用的；（四）委托复制非卖品的单位未在非卖品包装和盘带显著位置注明非卖品编号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令第18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23</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对擅自设立音像制品出版、进口单位，擅自从事音像制品出版、制作、复制业务或者进口、批发、零售经营活动</w:t>
            </w:r>
            <w:bookmarkStart w:id="0" w:name="_GoBack"/>
            <w:bookmarkEnd w:id="0"/>
            <w:r>
              <w:rPr>
                <w:rFonts w:hint="eastAsia" w:ascii="方正书宋_GBK" w:hAnsi="宋体" w:eastAsia="方正书宋_GBK" w:cs="宋体"/>
                <w:color w:val="000000"/>
                <w:kern w:val="0"/>
                <w:sz w:val="20"/>
                <w:szCs w:val="20"/>
                <w:lang w:val="en-US" w:eastAsia="zh-CN"/>
              </w:rPr>
              <w:t>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音像制品管理条例》（2001年国务院令第341号公布，2016年国务院第666号修订）第三十九条：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24</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对进口、印刷或复制、发行非法出版物的处罚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出版管理条例》（2001年国务院令第343号公布，2016年国务院令第666号修订）第六十三条：有下列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一）进口、印刷或者复制、发行国务院出版行政主管部门禁止进口的出版物的；（二）印刷或者复制走私的境外出版物的；（三）发行进口出版物未从本条例规定的出版物进口经营单位进货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25</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对违反规定出版、印刷或者复制、发行出版物的处罚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【行政法规】《出版管理条例》（2001年国务院令第343号公布，2016年国务院令第666号修订）第六十五条： 有下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一）出版单位委托未取得出版物印刷或者复制许可的单位印刷或者复制出版物的；（二）印刷或者复制单位未取得印刷或者复制许可而印刷或者复制出版物的；（三）印刷或者复制单位接受非出版单位和个人的委托印刷或者复制出版物的；（四）印刷或者复制单位未履行法定手续印刷或者复制境外出版物的，印刷或者复制的境外出版物没有全部运输出境的；（五）印刷或者复制单位、发行单位或者个体工商户印刷或者复制、发行未署出版单位名称的出版物的；（六）印刷或者复制单位、发行单位或者个体工商户印刷或者复制、发行伪造、假冒出版单位名称或者报纸、期刊名称的出版物的；（七）出版、印刷、发行单位出版、印刷、发行未经依法审定的中学小学教科书，或者非依照本条例规定确定的单位从事中学小学教科书的出版、发行业务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26</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对印刷业经营者违法印刷含有禁止内容或者禁止出版的出版物的处罚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印刷业管理条例》（2001年国务院令第315号公布，2020年国务院令第732号修订）第三十八条：印刷业经营者印刷明知或者应知含有本条例第三条规定禁止印刷内容的出版物、包装装潢印刷品或者其他印刷品的，或者印刷国家明令禁止出版的出版物或者非出版单位出版的出版物的，由县级以上地方人民政府出版行政部门、公安部门依据法定职权责令停业整顿，没收印刷品和违法所得，违法经营额1万元以上的，并处违法经营额5倍以上10倍以下的罚款；违法经营额不足1万元的，并处1万元以上5万元以下的罚款；情节严重的，由原发证机关吊销许可证；构成犯罪的，依法追究刑事责任。</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r>
              <w:rPr>
                <w:rFonts w:hint="eastAsia" w:ascii="方正书宋_GBK" w:hAnsi="宋体" w:eastAsia="方正书宋_GBK" w:cs="宋体"/>
                <w:color w:val="000000"/>
                <w:kern w:val="0"/>
                <w:sz w:val="20"/>
                <w:szCs w:val="20"/>
                <w:lang w:val="en-US" w:eastAsia="zh-CN"/>
              </w:rPr>
              <w:t>任。</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27</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对未按规定建立印刷管理制度、履行报告、变更备案、留存备查材料和办理登记手续的处罚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印刷业管理条例》（2001年国务院令第315号公布，2020年国务院令第732号修订）第三十九条：印刷业经营者有下列行为之一的，由县级以上地方人民政府出版行政部门、公安部门依据法定职权责令改正，给予警告；情节严重的，责令停业整顿或者由原发证机关吊销许可证：（一）没有建立承印验证制度、承印登记制度、印刷品保管制度、印刷品交付制度、印刷活动残次品销毁制度等的；（二）在印刷经营活动中发现违法犯罪行为没有及时向公安部门或者出版行政部门报告的；（三）变更名称、法定代表人或者负责人、住所或者经营场所等主要登记事项，或者终止印刷经营活动，不向原批准设立的出版行政部门备案的；（四）未依照本条例的规定留存备查的材料的。单位内部设立印刷厂（所）违反本条例的规定，没有向所在地县级以上地方人民政府出版行政部门、保密工作部门办理登记手续的，由县级以上地方人民政府出版行政部门、保密工作部门依据法定职权责令改正，给予警告；情节严重的，责令停业整顿。</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28</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对不按规定印刷、经营出版物行为的处罚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印刷业管理条例》（2001年国务院令第315号公布，2020年国务院令第732号修订）第四十条：从事出版物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他人委托印刷出版物，未依照本条例的规定验证印刷委托书、有关证明或者准印证，或者未将印刷委托书报出版行政部门备案的；（二）假冒或者盗用他人名义，印刷出版物的；（三）盗印他人出版物的；（四）非法加印或者销售受委托印刷的出版物的；（五）征订、销售出版物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（六）擅自将出版单位委托印刷的出版物纸型及印刷底片等出售、出租、出借或者以其他形式转让的；（七）未经批准，接受委托印刷境外出版物的，或者未将印刷的境外出版物全部运输出境的。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29</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对不按规定印刷、经营包装装潢印刷品行为的处罚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印刷业管理条例》（2001年国务院令第315号公布，2020年国务院令第732号修订）第四十一条：从事包装装潢印刷品印刷经营活动的企业有下列行为之一的，由县级以上地方人民政府出版行政部门给予警告，没收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委托印刷注册商标标识，未依照本条例的规定验证、核查工商行政管理部门签章的《商标注册证》复印件、注册商标图样或者注册商标使用许可合同复印件的；（二）接受委托印刷广告宣传品、作为产品包装装潢的印刷品，未依照本条例的规定验证委托印刷单位的营业执照或者个人的居民身份证的，或者接受广告经营者的委托印刷广告宣传品，未验证广告经营资格证明的；（三）盗印他人包装装潢印刷品的；（四）接受委托印刷境外包装装潢印刷品未依照本条例的规定向出版行政部门备案的，或者未将印刷的境外包装装潢印刷品全部运输出境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印刷企业接受委托印刷注册商标标识、广告宣传品，违反国家有关注册商标、广告印刷管理规定的，由工商行政管理部门给予警告，没收印刷品和违法所得，违法经营额1万元以上的，并处违法经营额5倍以上10倍以下的罚款；违法经营额不足1万元的，并处1万元以上5万元以下的罚款</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30</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对不按规定印刷、经营其他印刷品行为的处罚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印刷业管理条例》（2001年国务院令第315号公布，2020年国务院令第732号修订）第四十二条：从事其他印刷品印刷经营活动的企业和个人有下列行为之一的，由县级以上地方人民政府出版行政部门给予警告，没收印刷品和违法所得，违法经营额1万元以上的，并处违法经营额5倍以上10倍以下的罚款；违法经营额不足1万元的，并处1万元以上5万元以下的罚款；情节严重的，责令停业整顿或者由原发证机关吊销许可证；构成犯罪的，依法追究刑事责任：（一）接受委托印刷其他印刷品，未依照本条例的规定验证有关证明的；（二）擅自将接受委托印刷的其他印刷品再委托他人印刷的；（三）将委托印刷的其他印刷品的纸型及印刷底片出售、出租、出借或者以其他形式转让的；（四）伪造、变造学位证书、学历证书等国家机关公文、证件或者企业事业单位、人民团体公文、证件的，或者盗印他人的其他印刷品的；（五）非法加印或者销售委托印刷的其他印刷品的；（六）接受委托印刷境外其他印刷品未依照本条例的规定向出版行政部门备案的，或者未将印刷的境外其他印刷品全部运输出境的；（七）从事其他印刷品印刷经营活动的个人超范围经营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31</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对印刷业经营者擅自超范围从事印刷经营活动，或者出租、出借和以其他形式转让印刷经营许可证的处罚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印刷业管理条例》（2001年国务院令第315号公布，2020年国务院令第732号修订）第三十七条：印刷业经营者违反本条例规定，有下列行为之一的，由县级以上地方人民政府出版行政部门责令停止违法行为，责令停业整顿，没收印刷品和违法所得，违法经营额1万元以上的，并处违法经营额5倍以上10倍以下的罚款；违法经营额不足1万元的，并处1万元以上5万元以下的罚款；情节严重的，由原发证机关吊销许可证；构成犯罪的，依法追究刑事责任：（一）未取得出版行政部门的许可，擅自兼营或者变更从事出版物、包装装潢印刷品或者其他印刷品印刷经营活动，或者擅自兼并其他印刷业经营者的；（二）因合并、分立而设立新的印刷业经营者，未依照本条例的规定办理手续的；（三）出售、出租、出借或者以其他形式转让印刷经营许可证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32</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对违反规定擅自留存印刷品成品、半成品、废品和印板、纸型、印刷底片、原稿、样本、样张等行为的处罚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印刷业管理条例》（2001年国务院令第315号公布，2020年国务院令第732号修订）第四十四条：印刷业经营者违反本条例规定，有下列行为之一的，由县级以上地方人民政府出版行政部门责令改正，给予警告；情节严重的，责令停业整顿或者由原发证机关吊销许可证：（一）从事包装装潢印刷品印刷经营活动的企业擅自留存委托印刷的包装装潢印刷品的成品、半成品、废品和印板、纸型、印刷底片、原稿等的；（二）从事其他印刷品印刷经营活动的企业和个人擅自保留其他印刷品的样本、样张的，或者在所保留的样本、样张上未加盖“样本”、“样张”戳记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33</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对出版物印刷企业违规承印内部资料的处罚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【部门规章】《内部资料性出版物管理办法》（2015年国家新闻出版广电总局令第2号）第二十四条： 出版物印刷企业未按本规定承印内部资料的，由县级以上新闻出版行政部门依照《印刷业管理条例》的有关规定，给予警告，没收违法所得，违法经营额1万元以上的，并处违法经营额5倍以上10倍以下的罚款；违法经营额不足1万元的，并处1万元以上5万元以下的罚款；情节严重的，责令停业整顿或者由原发证机关吊销许可证。</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34</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对光盘复制企业违法经营活动的处罚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部门规章】《复制管理办法》（2009年新闻出版总署令第42号公布，2015年国家新闻出版广电总局令第3号修订）第四十条：有下列行为之一的，由新闻出版行政部门责令停止违法行为，给予警告，没收违法经营的产品和违法所得；违法经营额1万元以上的，并处违法经营额5倍以上10倍以下的罚款；违法经营额不足1万元的，并处1万元以上5万元以下罚款；情节严重的，并责令停业整顿或者由新闻出版总署吊销其复制经营许可证：（一）复制单位未依照本办法的规定验证复制委托书及其他法定文书的；（二）复制单位擅自复制他人的只读类光盘和磁带磁盘的；（三）复制单位接受非音像出版单位、电子出版物单位或者个人委托复制经营性的音像制品、电子出版物或者自行复制音像制品、电子出版物的；（四）复制单位未履行法定手续复制境外产品的，或者复制的境外产品没有全部运输出境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35</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对光盘复制企业违反复制管理有关规定的处罚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部门规章】《复制管理办法》（2009年新闻出版总署令第42号公布，2015年国家新闻出版广电总局令第3号修订）第四十一条：有下列行为之一的，由新闻出版行政部门责令改正，给予警告；情节严重的，并责令停业整顿或者由新闻出版总署吊销其复制经营许可证：（一）复制单位变更名称、地址、法定代表人或者主要负责人、业务范围等，未依照本办法规定办理审批、备案手续的；（二）复制单位未依照本办法的规定留存备查的材料的；（三）光盘复制单位使用未蚀刻或者未按本办法规定蚀刻SID码的注塑模具复制只读类光盘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36</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对复制单位擅自增加、进口、购买、变更光盘复制生产设备等行为的处罚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部门规章】《复制管理办法》（2009年新闻出版总署令第42号公布，2015年国家新闻出版广电总局令第3号修订）第四十二条：有下列行为之一的，由新闻出版行政部门责令停止违法行为，给予警告，并处3万元以下的罚款：（一）光盘复制单位违反本办法第十五条的规定，未经审批，擅自增加、进口、购买、变更光盘复制生产设备的；（二）国产光盘复制生产设备的生产商未按本办法第十九条的要求报送备案的；（三）光盘复制单位未按本办法第二十条规定报送样盘的；（四）复制生产设备或复制产品不符合国家或行业标准的；（五）复制单位的有关人员未按本办法第三十一条参加岗位培训的；（六）违反本办法的其他行为。</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37</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对违反发行管理有关规定的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【部门规章】《出版物市场管理规定》（2016年国家新闻出版广电总局 商务部第10号令）第三十七条：违反本规定，有下列行为之一的，由出版行政主管部门责令停止违法行为，予以警告，并处3万元以下罚款：（一）未能提供近两年的出版物发行进销货清单等有关非财务票据或者清单、票据未按规定载明有关内容的；（二）超出出版行政主管部门核准的经营范围经营的；（三）张贴、散发、登载有法律、法规禁止内容的或者有欺诈性文字、与事实不符的征订单、广告和宣传画的；（四）擅自更改出版物版权页的；（五）出版物经营许可证未在经营场所明显处张挂或者未在网页醒目位置公开出版物经营许可证和营业执照登载的有关信息或者链接标识的；（六）出售、出借、出租、转让或者擅自涂改、变造出版物经营许可证的；（七）公开宣传、陈列、展示、征订、销售或者面向社会公众发送规定应由内部发行的出版物的；（八）委托无出版物批发、零售资质的单位或者个人销售出版物或者代理出版物销售业务的；（九）未从依法取得出版物批发、零售资质的出版发行单位进货的；（十）提供出版物网络交易平台服务的经营者未按本规定履行有关审查及管理责任的；（十一）应按本规定进行备案而未备案的；（十二）不按规定接受年度核验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八条：行政执法机关对违法案件作出处罚决定，必须制作书面处罚决定书，处罚决定书应载明下列事项并加盖行政执法机关的印章：（一）相对人的姓名和名称、地址；（二）违反法律、法规、规章或规范性文件的事实和证据；（三）行政处罚的种类和依据；（四）行政处罚的履行方式和期限；（五）不服行政处罚决定申请行政复议或者提起行政诉讼的途径和期限；（六）作出行政处罚决定的行政执法机关名称和作出决定的日期。行政处罚决定涉及罚款的还应载明收缴罚款的金融机构名称、地址以及不按规定期限缴纳罚款的法律后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38</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对侵犯计算机软件著作权的行为的处罚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法规】《计算机软件保护条例》（2001年国务院令第339号公布，2013年国务院令第632号修订）第二十四条：除《中华人民共和国著作权法例或者其他法律、行政法规另有规定外，未经软件著作权人许可，有下列侵权行为的，应当根据情况，承担停止侵害、消除影响、赔礼道歉、赔偿损失等民事责任；同时损害社会公共利益，由著作权行政管理部门责令停止侵权行为，没收违法所得，没收、销毁侵权复制品，可以并处罚款；情节严重的，著作权行政管理部门并可以没收主要用于制作侵权复制品的材料、工具、设备；触犯刑律的，依照刑法关于侵犯著作权罪、销售侵权复制品罪的规定，依法追究刑事责任：（一）复制或者部分复制著作权人的软件的；（二）向公众发行、出租、通过信息网络传播著作权人的软件的；（三）故意避开或者破坏著作权人为保护其软件著作权而采取的技术措施的；（四）故意删除或者改变软件权利管理电子信息的；（五）转让或者许可他人行使著作权人的软件著作权的。有前款第一项或者第二项行为的，可以并处每件100元或者货值金额1倍以上5倍以下的罚款；有前款第三项、第四项或者第五项行为的，可以并处20万元以下的罚款。</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1.【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2.【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4.【法律】《中华人民共和国行政处罚法》第四十条：行政处罚决定书应当在宣告后当场交付当事人；当事人不在场的，行政机关应当在七日内依照民事诉讼法的有关规定，将行政处罚决定书送达当事人。</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39</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行政处罚</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对侵犯著作权行为的处罚</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法律】《中华人民共和国著作权法》第四十八条：有下列侵权行为的，应当根据情况，承担停止侵害、消除影响、赔礼道歉、赔偿损失等民事责任；同时损害公共利益的，可以由著作权行政管理部门责令停止侵权行为，没收违法所得，没收、销毁侵权复制品，并可处以罚款；情节严重的，著作权行政管理部门还可以没收主要用于制作侵权复制品的材料、工具、设备等；构成犯罪的，依法追究刑事责任：（一）未经著作权人许可，复制、发行、表演、放映、广播、汇编、通过信息网络向公众传播其作品的，本法另有规定的除外；二）出版他人享有专有出版权的图书的；（三）未经表演者许可，复制、发行录有其表演的录音录像制品，或者通过信息网络向公众传播其表演的，本法另有规定的除外；（四）未经录音录像制作者许可，复制、发行、通过信息网络向公众传播其制作的录音录像制品的，本法另有规定的除外；（五）未经许可，播放或者复制广播、电视的，本法另有规定的除外；（六）未经著作权人或者与著作权有关的权利人许可，故意避开或者破坏权利人为其作品、录音录像制品等采取的保护著作权或者与著作权有关的权利的技术措施的，法律、行政法规另有规定的除外；（七）未经著作权人或者与著作权有关的权利人许可，故意删除或者改变作品、录音录像制品等的权利管理电子信息的，法律、行政法规另有规定的除外；（八）制作、出售假冒他人署名的作品的。</w:t>
            </w:r>
          </w:p>
        </w:tc>
        <w:tc>
          <w:tcPr>
            <w:tcW w:w="2367"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：在检查中发现或者接到举报、控告的违法行为或者下级新闻出版行政部门上报的或其他机关移送的违法案件，应及时制止，并予以审查，决定是否立案。</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立案的案件，指定专人负责，与当事人有直接利害关系的应当回避。执法人员不得少于两人，调查时应出示执法证件，允许当事人辩解陈述，执法人员应保守有关秘密。执法人员进行调查取证应制作询问笔录、勘验或检查等调查笔录，笔录由当事人或有关人员签名或盖章。</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3.审理责任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 对调查结果进行审查，提出处理意见。</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：在做出行政处罚决定前，应书面告知当事人违法事实及其享有的陈述、申辩等权利。</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：作出处罚决定，制作行政处罚决定书。</w:t>
            </w:r>
          </w:p>
          <w:p>
            <w:pPr>
              <w:widowControl/>
              <w:spacing w:line="230" w:lineRule="exact"/>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：行政处罚决定书应当在宣告后当场交付当事人；当事人不在场的，新闻出版部门应当在作出行政处罚决定的七日内依照民事诉讼法的有关规定，将行政处罚决定书送达当事人。</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：监督当事人在决定的期限内，履行生效的行政处罚决定。当事人在法定期限内不申请行政复议或者提起行政诉讼，又不履行的，新闻出版部门可依法采取加处罚款、查封扣押或向人民法院申请强制执行等措施。</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仿宋" w:eastAsia="方正书宋_GBK" w:cs="宋体"/>
                <w:color w:val="000000"/>
                <w:kern w:val="0"/>
                <w:sz w:val="20"/>
                <w:szCs w:val="20"/>
              </w:rPr>
              <w:t>：对本行政区域内的新闻出版进行管理。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9.其他法律法规政策规定应履行的责任（相关</w:t>
            </w:r>
            <w:r>
              <w:rPr>
                <w:rFonts w:hint="eastAsia" w:ascii="方正书宋_GBK" w:hAnsi="仿宋" w:eastAsia="方正书宋_GBK" w:cs="宋体"/>
                <w:color w:val="000000"/>
                <w:kern w:val="0"/>
                <w:sz w:val="20"/>
                <w:szCs w:val="20"/>
                <w:lang w:eastAsia="zh-CN"/>
              </w:rPr>
              <w:t>股室</w:t>
            </w:r>
            <w:r>
              <w:rPr>
                <w:rFonts w:hint="eastAsia" w:ascii="方正书宋_GBK" w:hAnsi="仿宋" w:eastAsia="方正书宋_GBK" w:cs="宋体"/>
                <w:color w:val="000000"/>
                <w:kern w:val="0"/>
                <w:sz w:val="20"/>
                <w:szCs w:val="20"/>
              </w:rPr>
              <w:t>）。</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出版管理行政处罚实施办法》（1997年新闻出版署署长令第12号）第十五条：除依照《中华人民共和国行政处罚法》可以当场作出行政处罚决定的以外，新闻出版行政机关发现公民、法人或者其他组织有依法应当给予行政处罚的违法行为的，应当立案查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第十六条：新闻出版行政机关应当严格履行职责，对有关公民、法人或者其他组织遵守出版法律、法规和规章的情况进行监督检查。对在检查中发现的违法行为，新闻出版行政机关应当及时立案。</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4.【法律】《中华人民共和国行政处罚法》第四十条：行政处罚决定书应当在宣告后当场交付当事人；当事人不在场的，行政机关应当在七日内依照民事诉讼法的有关规定，将行政处罚决定书送达当事人。</w:t>
            </w:r>
          </w:p>
        </w:tc>
        <w:tc>
          <w:tcPr>
            <w:tcW w:w="2533"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因不履行或不正确履行行政职责，有下列情形的，行政机关及相关工作人员应承担相应责任：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1.对符合条件的申请不予办理或不在法定期限内办理(县纪委监委派驻县委宣传部纪检监察组)；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2.对不符合许可条件的予以许可的(县纪委监委派驻县委宣传部纪检监察组)；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3.未严格审查申报材料或弄虚作假审批，不按照法定条件或者违反法定程序审核、审批，有失职行为的(县纪委监委派驻县委宣传部纪检监察组)；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4.在审批过程中乱收费用，情节严重的(县纪委监委派驻县委宣传部纪检监察组)；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5.利用职务上的便利，索取他人财物，为他人谋取利益的(县纪委监委派驻县委宣传部纪检监察组)；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6.除以上追责情形外，其他违反法律法规规章的行为依法追究相应责任(县纪委监委派驻县委宣传部纪检监察组) 。</w:t>
            </w:r>
          </w:p>
        </w:tc>
        <w:tc>
          <w:tcPr>
            <w:tcW w:w="4821" w:type="dxa"/>
            <w:vAlign w:val="center"/>
          </w:tcPr>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.【地方政府规章】《广西壮族自治区行政过错责任追究办法》（2007年广西壮族自治区人民政府令第24号公布）第十二条：  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6.同1。</w:t>
            </w:r>
          </w:p>
          <w:p>
            <w:pPr>
              <w:widowControl/>
              <w:spacing w:line="23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 【政府规章】《广西壮族自治区行政过错责任追究办法》（自2007年6月1日起施行）第八条 实施行政行为，有下列情形之一的，应当追究行政过错责任人的责任:（一）依法应当回避不回避； （二）依法应当听证不组织听证； （三）不依法履行告知义务；（四）执行公务活动不出示有效证件；（五）其他违反法定程序的情形。</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法律】《中华人民共和国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r>
              <w:rPr>
                <w:rFonts w:hint="eastAsia" w:ascii="方正书宋_GBK" w:hAnsi="宋体" w:eastAsia="方正书宋_GBK" w:cs="宋体"/>
                <w:color w:val="000000"/>
                <w:kern w:val="0"/>
                <w:sz w:val="20"/>
                <w:szCs w:val="20"/>
                <w:lang w:val="en-US" w:eastAsia="zh-CN"/>
              </w:rPr>
              <w:t>”</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40</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行政检查</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对印刷企业的监督检查</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行政法规】《出版管理条例》（2001年10月25日国务院令第343号，根据2016年2月6日发布的国务院令第666号修订）第六条第二款：县级以上地方各级人民政府负责出版管理的部门（以下简称出版行政主管部门）负责本行政区域内出版活动的监督管理工作。县级以上地方各级人民政府其他有关部门在各自的职责范围内，负责有关的出版活动的监督管理工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2.【行政法规】《印刷业管理条例》（2001年国务院令第315号公布，2020年国务院令第732号修订） 第四条：国务院出版行政部门主管全国的印刷业监督管理工作。县级以上地方各级人民政府负责出版管理的行政部门（以下简称出版行政部门）负责本行政区域内的印刷业监督管理工作。</w:t>
            </w:r>
          </w:p>
        </w:tc>
        <w:tc>
          <w:tcPr>
            <w:tcW w:w="2367"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1.告知责任（新闻版权和电影事务股）：对违法事实、处理依据、处理意见告知，听取当事人陈述申辩。</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检查责任（新闻版权和电影事务股）：检查应按有关程序进行，指定专人负责，及时组织调查取证，与当事人有直接利害关系的应当回避。检查人员不得少于两人，调查时应出示执法证件，允许当事人辩解陈述。检查人员应保守有关秘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3.处理责任（新闻版权和电影事务股）：对违法事实、证据资料、调查程序、法律适用、当事人陈述理由等进行审查，提出初步处理意见。</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4.监督责任（新闻版权和电影事务股）：新闻出版管理部门进行事中事后监管。</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tc>
        <w:tc>
          <w:tcPr>
            <w:tcW w:w="2533" w:type="dxa"/>
            <w:vAlign w:val="center"/>
          </w:tcPr>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仿宋_GB2312" w:eastAsia="方正书宋_GBK" w:cs="仿宋_GB2312"/>
                <w:color w:val="000000"/>
                <w:kern w:val="0"/>
                <w:sz w:val="20"/>
                <w:szCs w:val="20"/>
              </w:rPr>
              <w:t>因不履行或不正确履行行政职责，有下列情形的，行政机关及相关工作人员应</w:t>
            </w:r>
            <w:r>
              <w:rPr>
                <w:rFonts w:hint="eastAsia" w:ascii="方正书宋_GBK" w:hAnsi="宋体" w:eastAsia="方正书宋_GBK" w:cs="宋体"/>
                <w:color w:val="000000"/>
                <w:kern w:val="0"/>
                <w:sz w:val="20"/>
                <w:szCs w:val="20"/>
              </w:rPr>
              <w:t>承担相应责任：</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1.不履行或不正确履行职责，造成严重后果的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2.在监督检查中玩忽职守、徇私舞弊的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3.在监督检查中滥用职权，谋取不正当利益和发生腐败行为的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4.除以上追责情形外，其他违反法律法规规章的行为依法追究相应责任</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tc>
        <w:tc>
          <w:tcPr>
            <w:tcW w:w="4821"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1-1.【行政法规】《印刷业管理条例》（2001年国务院令第315号公布，2016年国务院令第666号修改，2017年国务院令第676号修订）第四十七条 出版行政部门、工商行政管理部门或者其他有关部门违反本条例规定，擅自批准不符合法定条件的申请人取得许可证、批准文件，或者不履行监督职责，或者发现违法行为不予查处，造成严重后果的，对负责的主管人员和其他直接责任人员给予降级或者撤职的处分；构成犯罪的，依法追究刑事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1-2.【政府规章】《广西壮族自治区行政过错责任追究办法》（2007年4月17日自治区第十届人民政府第63次常务会议审议通过，自2007年6月1日起施行） 第十一条第四项 行政机关及其工作人员在实施行政监督检查过程中，有下列情形之一的，应当追究行政过错责任：（四）发现违法行为不依法制止、纠正。</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2.【部门规章】《文化市场综合行政执法管理办法》（2011年文化部令第52号公布）第三十九条第四项 执法人员有下列情形之一，尚不构成犯罪的，应当依法给予行政处分，并收回其执法证件；情节严重，构成犯罪的，依法追究刑事责任：（四）玩忽职守、贻误工作的。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3.【部门规章】《文化市场综合行政执法管理办法》（2011年文化部令第52号公布）第三十九条第一项、第二项 执法人员有下列情形之一，尚不构成犯罪的，应当依法给予行政处分，并收回其执法证件；情节严重，构成犯罪的，依法追究刑事责任：（一）滥用职权，侵犯公民、法人及其他组织合法权益的；（二）利用职权或者工作之便索取或者收受他人财物，或者支持、纵容、包庇文化市场违法经营活动的。</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41</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行政检查</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对电影活动的监督检查</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法律】《中华人民共和国电影产业促进法》第八条：国务院电影主管部门负责全国的电影工作；县级以上地方人民政府电影主管部门负责本行政区域内的电影工作。县级以上人民政府其他有关部门在各自职责范围内，负责有关的电影工作。第四十六条：县级以上人民政府电影主管部门应当加强对电影活动的日常监督管理，受理对违反本法规定的行为的投诉、举报，并及时核实、处理、答复；将从事电影活动的单位和个人违反本法规定受到行政处罚的情形记入信用档案，并向社会公布。</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2.【行政法规】《电影管理条例》（2001年国务院令第342号）第四条：县级以上地方人民政府管理电影的行政部门（以下简称电影行政部门），依照本条例的规定负责本行政区域内的电影管理工作。</w:t>
            </w:r>
          </w:p>
        </w:tc>
        <w:tc>
          <w:tcPr>
            <w:tcW w:w="2367"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1.告知责任（新闻版权和电影事务股）：对违法事实、处理依据、处理意见告知，听取当事人陈述申辩。</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检查责任（新闻版权和电影事务股）：检查应按有关程序进行，指定专人负责，及时组织调查取证，与当事人有直接利害关系的应当回避。检查人员不得少于两人，调查时应出示执法证件，允许当事人辩解陈述。检查人员应保守有关秘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3.处理责任（新闻版权和电影事务股）：对违法事实、证据资料、调查程序、法律适用、当事人陈述理由等进行审查，提出初步处理意见。</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4.监督责任（新闻版权和电影事务股）：新闻出版管理部门进行事中事后监管。</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tc>
        <w:tc>
          <w:tcPr>
            <w:tcW w:w="2533" w:type="dxa"/>
            <w:vAlign w:val="center"/>
          </w:tcPr>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仿宋_GB2312" w:eastAsia="方正书宋_GBK" w:cs="仿宋_GB2312"/>
                <w:color w:val="000000"/>
                <w:kern w:val="0"/>
                <w:sz w:val="20"/>
                <w:szCs w:val="20"/>
              </w:rPr>
              <w:t>因不履行或不正确履行行政职责，有下列情形的，行政机关及相关工作人员应</w:t>
            </w:r>
            <w:r>
              <w:rPr>
                <w:rFonts w:hint="eastAsia" w:ascii="方正书宋_GBK" w:hAnsi="宋体" w:eastAsia="方正书宋_GBK" w:cs="宋体"/>
                <w:color w:val="000000"/>
                <w:kern w:val="0"/>
                <w:sz w:val="20"/>
                <w:szCs w:val="20"/>
              </w:rPr>
              <w:t>承担相应责任：</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1.不履行或不正确履行职责，造成严重后果的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2.在监督检查中玩忽职守、徇私舞弊的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3.在监督检查中滥用职权，谋取不正当利益和发生腐败行为的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4.除以上追责情形外，其他违反法律法规规章的行为依法追究相应责任</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tc>
        <w:tc>
          <w:tcPr>
            <w:tcW w:w="4821"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1-1.【行政法规】《印刷业管理条例》（2001年国务院令第315号公布，2016年国务院令第666号修改，2017年国务院令第676号修订）第四十七条 出版行政部门、工商行政管理部门或者其他有关部门违反本条例规定，擅自批准不符合法定条件的申请人取得许可证、批准文件，或者不履行监督职责，或者发现违法行为不予查处，造成严重后果的，对负责的主管人员和其他直接责任人员给予降级或者撤职的处分；构成犯罪的，依法追究刑事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1-2.【政府规章】《广西壮族自治区行政过错责任追究办法》（2007年4月17日自治区第十届人民政府第63次常务会议审议通过，自2007年6月1日起施行） 第十一条第四项 行政机关及其工作人员在实施行政监督检查过程中，有下列情形之一的，应当追究行政过错责任：（四）发现违法行为不依法制止、纠正。</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2.【部门规章】《文化市场综合行政执法管理办法》（2011年文化部令第52号公布）第三十九条第四项 执法人员有下列情形之一，尚不构成犯罪的，应当依法给予行政处分，并收回其执法证件；情节严重，构成犯罪的，依法追究刑事责任：（四）玩忽职守、贻误工作的。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3.【部门规章】《文化市场综合行政执法管理办法》（2011年文化部令第52号公布）第三十九条第一项、第二项 执法人员有下列情形之一，尚不构成犯罪的，应当依法给予行政处分，并收回其执法证件；情节严重，构成犯罪的，依法追究刑事责任：（一）滥用职权，侵犯公民、法人及其他组织合法权益的；（二）利用职权或者工作之便索取或者收受他人财物，或者支持、纵容、包庇文化市场违法经营活动的。</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42</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行政检查</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对出版物批发、零售单位的监督检查</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行政法规】《出版管理条例》（2001年国务院令第343号公布，2020年国务院令第732号修订）第六条第二款：县级以上地方各级人民政府负责出版管理的部门（以下简称出版行政主管部门）负责本行政区域内出版活动的监督管理工作。县级以上地方各级人民政府其他有关部门在各自的职责范围内，负责有关的出版活动的监督管理工作。</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部门规章】《出版物市场管理规定》（2016年国家新闻出版广电总局、商务部令第10号）第四条第二款：省、自治区直辖市人民政府出版行政主管部门负责本行政区域内出版物发行活动的监督管理，制定本省、自治区、直辖市出版物发行业发展规划。省级以下各级人民政府出版行政主管部门负责本行政区域内出版物发行活动的监督管理。</w:t>
            </w:r>
          </w:p>
        </w:tc>
        <w:tc>
          <w:tcPr>
            <w:tcW w:w="2367"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1.告知责任（新闻版权和电影事务股）：对违法事实、处理依据、处理意见告知，听取当事人陈述申辩。</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检查责任（新闻版权和电影事务股）：检查应按有关程序进行，指定专人负责，及时组织调查取证，与当事人有直接利害关系的应当回避。检查人员不得少于两人，调查时应出示执法证件，允许当事人辩解陈述。检查人员应保守有关秘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3.处理责任（新闻版权和电影事务股）：对违法事实、证据资料、调查程序、法律适用、当事人陈述理由等进行审查，提出初步处理意见。</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4.监督责任（新闻版权和电影事务股）：新闻出版管理部门进行事中事后监管。</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1.【部门规章】《文化市场综合行政执法管理办法》（2011年文化部令第52号）第二十二条：在调查或者执法检查时，执法人员不得少于2名，并应当向当事人或者有关人员出示执法证件。当事人及有关人员应当如实回答询问，并协助调查或者检查。执法人员应当制作调查询问或者现场检查笔录，经当事人或者有关人员核对无误后，由当事人或者有关人员签名或者盖章。当事人或者有关人员拒绝的，由2名以上执法人员在笔录上注明情况并签名。执法人员与当事人有直接利害关系的，应当回避。</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2.【部门规章】《文化市场综合行政执法管理办法》（2011年文化部令第52号）第十九条：在作出行政处罚之前，应当告知当事人作出行政处罚决定的事实、理由和依据，并告知当事人依法享有的权利。执法人员应当充分听取当事人的陈述和申辩，并制作笔录，对当事人提出的事实、理由和证据进行复核，经复核成立的应当采纳。</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3.【地方政府规章】《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w:t>
            </w:r>
          </w:p>
        </w:tc>
        <w:tc>
          <w:tcPr>
            <w:tcW w:w="2533" w:type="dxa"/>
            <w:vAlign w:val="center"/>
          </w:tcPr>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仿宋_GB2312" w:eastAsia="方正书宋_GBK" w:cs="仿宋_GB2312"/>
                <w:color w:val="000000"/>
                <w:kern w:val="0"/>
                <w:sz w:val="20"/>
                <w:szCs w:val="20"/>
              </w:rPr>
              <w:t>因不履行或不正确履行行政职责，有下列情形的，行政机关及相关工作人员应</w:t>
            </w:r>
            <w:r>
              <w:rPr>
                <w:rFonts w:hint="eastAsia" w:ascii="方正书宋_GBK" w:hAnsi="宋体" w:eastAsia="方正书宋_GBK" w:cs="宋体"/>
                <w:color w:val="000000"/>
                <w:kern w:val="0"/>
                <w:sz w:val="20"/>
                <w:szCs w:val="20"/>
              </w:rPr>
              <w:t>承担相应责任：</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1.不履行或不正确履行职责，造成严重后果的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2.在监督检查中玩忽职守、徇私舞弊的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3.在监督检查中滥用职权，谋取不正当利益和发生腐败行为的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4.除以上追责情形外，其他违反法律法规规章的行为依法追究相应责任</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tc>
        <w:tc>
          <w:tcPr>
            <w:tcW w:w="4821"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1-1.【行政法规】《印刷业管理条例》（2001年国务院令第315号公布，2016年国务院令第666号修改，2017年国务院令第676号修订）第四十七条 出版行政部门、工商行政管理部门或者其他有关部门违反本条例规定，擅自批准不符合法定条件的申请人取得许可证、批准文件，或者不履行监督职责，或者发现违法行为不予查处，造成严重后果的，对负责的主管人员和其他直接责任人员给予降级或者撤职的处分；构成犯罪的，依法追究刑事责任。</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1-2.【政府规章】《广西壮族自治区行政过错责任追究办法》（2007年4月17日自治区第十届人民政府第63次常务会议审议通过，自2007年6月1日起施行） 第十一条第四项 行政机关及其工作人员在实施行政监督检查过程中，有下列情形之一的，应当追究行政过错责任：（四）发现违法行为不依法制止、纠正。</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2.【部门规章】《文化市场综合行政执法管理办法》（2011年文化部令第52号公布）第三十九条第四项 执法人员有下列情形之一，尚不构成犯罪的，应当依法给予行政处分，并收回其执法证件；情节严重，构成犯罪的，依法追究刑事责任：（四）玩忽职守、贻误工作的。</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 xml:space="preserve">    3.【部门规章】《文化市场综合行政执法管理办法》（2011年文化部令第52号公布）第三十九条第一项、第二项 执法人员有下列情形之一，尚不构成犯罪的，应当依法给予行政处分，并收回其执法证件；情节严重，构成犯罪的，依法追究刑事责任：（一）滥用职权，侵犯公民、法人及其他组织合法权益的；（二）利用职权或者工作之便索取或者收受他人财物，或者支持、纵容、包庇文化市场违法经营活动的。</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9324" w:hRule="atLeast"/>
          <w:jc w:val="center"/>
        </w:trPr>
        <w:tc>
          <w:tcPr>
            <w:tcW w:w="406" w:type="dxa"/>
            <w:vAlign w:val="center"/>
          </w:tcPr>
          <w:p>
            <w:pPr>
              <w:adjustRightInd w:val="0"/>
              <w:snapToGrid w:val="0"/>
              <w:spacing w:line="300" w:lineRule="exact"/>
              <w:jc w:val="center"/>
              <w:rPr>
                <w:rFonts w:hint="default"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lang w:val="en-US" w:eastAsia="zh-CN"/>
              </w:rPr>
              <w:t>43</w:t>
            </w:r>
          </w:p>
        </w:tc>
        <w:tc>
          <w:tcPr>
            <w:tcW w:w="3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其他行政权力</w:t>
            </w:r>
          </w:p>
        </w:tc>
        <w:tc>
          <w:tcPr>
            <w:tcW w:w="58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出版物发行单位年检</w:t>
            </w:r>
          </w:p>
        </w:tc>
        <w:tc>
          <w:tcPr>
            <w:tcW w:w="462"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rPr>
            </w:pPr>
          </w:p>
        </w:tc>
        <w:tc>
          <w:tcPr>
            <w:tcW w:w="966"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eastAsia="zh-CN"/>
              </w:rPr>
            </w:pPr>
            <w:r>
              <w:rPr>
                <w:rFonts w:hint="eastAsia" w:ascii="方正书宋_GBK" w:hAnsi="宋体" w:eastAsia="方正书宋_GBK" w:cs="宋体"/>
                <w:color w:val="000000"/>
                <w:kern w:val="0"/>
                <w:sz w:val="20"/>
                <w:szCs w:val="20"/>
                <w:lang w:eastAsia="zh-CN"/>
              </w:rPr>
              <w:t>县委宣传部（县新闻出版局）</w:t>
            </w:r>
          </w:p>
        </w:tc>
        <w:tc>
          <w:tcPr>
            <w:tcW w:w="100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lang w:val="en-US" w:eastAsia="zh-CN"/>
              </w:rPr>
              <w:t>新闻版权和电影事务股</w:t>
            </w:r>
          </w:p>
        </w:tc>
        <w:tc>
          <w:tcPr>
            <w:tcW w:w="2668"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【部门规章】《出版物市场管理规定》（2016年国家新闻出版广电总局 商务部令第10号）第三十条：从事出版物发行业务的单位、个人应当按照出版行政主管部门的规定接受年度核验，并按照《中华人民共和国统计法》《新闻出版统计管理办法》及有关规定如实报送统计资料，不得以任何借口拒报、迟报、虚报、瞒报以及伪造和篡改统计资料。出版物发行单位、个人不再具备行政许可的法定条件的，由出版行政主管部门责令限期改正；逾期仍未改正的，由原发证机关撤销出版物经营许可证。中小学教科书发行单位不再具备中小学教科书发行资质的法定条件的，由出版行政主管部门责令限期改正；逾期仍未改正的，由原发证机关撤销中小学教科书发行资质证。</w:t>
            </w:r>
          </w:p>
        </w:tc>
        <w:tc>
          <w:tcPr>
            <w:tcW w:w="2367"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1.受理责任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宋体" w:eastAsia="方正书宋_GBK" w:cs="宋体"/>
                <w:color w:val="000000"/>
                <w:kern w:val="0"/>
                <w:sz w:val="20"/>
                <w:szCs w:val="20"/>
              </w:rPr>
              <w:t>：公示依法应当提交的材料；一次性告知补正材料；依法受理或不予受理（不予受理的，将《不予受理通知书》交办件人）。</w:t>
            </w:r>
          </w:p>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2.审查责任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宋体" w:eastAsia="方正书宋_GBK" w:cs="宋体"/>
                <w:color w:val="000000"/>
                <w:kern w:val="0"/>
                <w:sz w:val="20"/>
                <w:szCs w:val="20"/>
              </w:rPr>
              <w:t>：受理后审查是否符合年检的材料要求，作出准予年检的决定（不予年检的说明理由），年检后许可证当场交办件人。</w:t>
            </w:r>
          </w:p>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3.事后监管责任</w:t>
            </w:r>
            <w:r>
              <w:rPr>
                <w:rFonts w:hint="eastAsia" w:ascii="方正书宋_GBK" w:hAnsi="宋体" w:eastAsia="方正书宋_GBK" w:cs="宋体"/>
                <w:color w:val="000000"/>
                <w:kern w:val="0"/>
                <w:sz w:val="20"/>
                <w:szCs w:val="20"/>
                <w:lang w:val="en-US" w:eastAsia="zh-CN"/>
              </w:rPr>
              <w:t>（新闻版权和电影事务股）</w:t>
            </w:r>
            <w:r>
              <w:rPr>
                <w:rFonts w:hint="eastAsia" w:ascii="方正书宋_GBK" w:hAnsi="宋体" w:eastAsia="方正书宋_GBK" w:cs="宋体"/>
                <w:color w:val="000000"/>
                <w:kern w:val="0"/>
                <w:sz w:val="20"/>
                <w:szCs w:val="20"/>
              </w:rPr>
              <w:t>：开展后续监督管理。</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4.其他法律法规规章文件规定应履行的责任。</w:t>
            </w:r>
          </w:p>
        </w:tc>
        <w:tc>
          <w:tcPr>
            <w:tcW w:w="4600"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jc w:val="center"/>
              <w:rPr>
                <w:rFonts w:hint="eastAsia" w:ascii="方正书宋_GBK" w:hAnsi="宋体" w:eastAsia="方正书宋_GBK" w:cs="宋体"/>
                <w:color w:val="000000"/>
                <w:kern w:val="0"/>
                <w:sz w:val="20"/>
                <w:szCs w:val="20"/>
                <w:lang w:val="en-US" w:eastAsia="zh-CN"/>
              </w:rPr>
            </w:pPr>
            <w:r>
              <w:rPr>
                <w:rFonts w:hint="eastAsia" w:ascii="方正书宋_GBK" w:hAnsi="宋体" w:eastAsia="方正书宋_GBK" w:cs="宋体"/>
                <w:color w:val="000000"/>
                <w:kern w:val="0"/>
                <w:sz w:val="20"/>
                <w:szCs w:val="20"/>
              </w:rPr>
              <w:t>3.【法律】《中华人民共和国行政许可法》第六十一条：行政机关应当建立健全监督制度，通过核查反映被许可人从事行政许可事项活动情况的有关材料，履行监督责任。</w:t>
            </w:r>
          </w:p>
        </w:tc>
        <w:tc>
          <w:tcPr>
            <w:tcW w:w="2533" w:type="dxa"/>
            <w:vAlign w:val="center"/>
          </w:tcPr>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仿宋_GB2312" w:eastAsia="方正书宋_GBK" w:cs="仿宋_GB2312"/>
                <w:color w:val="000000"/>
                <w:kern w:val="0"/>
                <w:sz w:val="20"/>
                <w:szCs w:val="20"/>
              </w:rPr>
              <w:t>因不履行或不正确履行行政职责，有下列情形的，行政机关及相关工作人员应承担相应责任：</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1.对符合法定条件的申请不予受理的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2.在监督检查中玩忽职守、徇私舞弊的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widowControl/>
              <w:spacing w:line="240" w:lineRule="exact"/>
              <w:ind w:firstLine="400" w:firstLineChars="200"/>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3.在鉴定中滥用职权，谋取不正当利益和发生腐败行为的</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4.除以上追责情形外，其他违反法律法规规章的行为依法追究相应责任</w:t>
            </w:r>
            <w:r>
              <w:rPr>
                <w:rFonts w:hint="eastAsia" w:ascii="方正书宋_GBK" w:hAnsi="宋体" w:eastAsia="方正书宋_GBK" w:cs="宋体"/>
                <w:color w:val="000000"/>
                <w:kern w:val="0"/>
                <w:sz w:val="20"/>
                <w:szCs w:val="20"/>
                <w:lang w:val="en-US" w:eastAsia="zh-CN"/>
              </w:rPr>
              <w:t xml:space="preserve">(县纪委监委派驻县委宣传部纪检监察组) </w:t>
            </w:r>
            <w:r>
              <w:rPr>
                <w:rFonts w:hint="eastAsia" w:ascii="方正书宋_GBK" w:hAnsi="宋体" w:eastAsia="方正书宋_GBK" w:cs="宋体"/>
                <w:color w:val="000000"/>
                <w:kern w:val="0"/>
                <w:sz w:val="20"/>
                <w:szCs w:val="20"/>
              </w:rPr>
              <w:t>。</w:t>
            </w:r>
          </w:p>
        </w:tc>
        <w:tc>
          <w:tcPr>
            <w:tcW w:w="4821" w:type="dxa"/>
            <w:vAlign w:val="center"/>
          </w:tcPr>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1.【法律】《中华人民共和国行政许可法》（2003年主席令第七号公布）第七十四条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2.【法律】《中华人民共和国行政许可法》（2003年主席令第七号公布）第七十四条：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   </w:t>
            </w:r>
          </w:p>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3.【法律】《中华人民共和国行政许可法》（2003年主席令第七号公布）第七十七条：“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4.【</w:t>
            </w:r>
            <w:r>
              <w:rPr>
                <w:rFonts w:hint="eastAsia" w:ascii="方正书宋_GBK" w:hAnsi="宋体" w:eastAsia="方正书宋_GBK" w:cs="宋体"/>
                <w:color w:val="000000"/>
                <w:kern w:val="0"/>
                <w:sz w:val="20"/>
                <w:szCs w:val="20"/>
                <w:lang w:eastAsia="zh-CN"/>
              </w:rPr>
              <w:t>部门</w:t>
            </w:r>
            <w:r>
              <w:rPr>
                <w:rFonts w:hint="eastAsia" w:ascii="方正书宋_GBK" w:hAnsi="宋体" w:eastAsia="方正书宋_GBK" w:cs="宋体"/>
                <w:color w:val="000000"/>
                <w:kern w:val="0"/>
                <w:sz w:val="20"/>
                <w:szCs w:val="20"/>
              </w:rPr>
              <w:t>规章】《广西壮族自治区行政过错责任追究办法》 （自2007年6月1日起施行） 第十五条 行政机关制定规范性文件，有下列情形之一的，应当追究行政过错责任： （一）违法设定行政许可、行政处罚、行政收费、行政强制；（二）超越职权或者违反规定程序；（三）不按规定报送备案审查或者不公开发布；（四）其他违反规范性文件制定程序规定的情形。                                                                                                                              5.【法律】《公务员法》（２００５年４月２７日中华人民共和国主席令第三十五号发布）第一百零四条：“公务员主管部门的工作人员，违反本法规定，滥用职权、玩忽职守、徇私舞弊，构成犯罪的，依法追究刑事责任；尚不构成犯罪的，给予处分。”</w:t>
            </w:r>
          </w:p>
          <w:p>
            <w:pPr>
              <w:adjustRightInd w:val="0"/>
              <w:snapToGrid w:val="0"/>
              <w:spacing w:line="300" w:lineRule="exact"/>
              <w:jc w:val="center"/>
              <w:rPr>
                <w:rFonts w:hint="eastAsia" w:ascii="方正书宋_GBK" w:hAnsi="宋体" w:eastAsia="方正书宋_GBK" w:cs="宋体"/>
                <w:color w:val="000000"/>
                <w:kern w:val="0"/>
                <w:sz w:val="20"/>
                <w:szCs w:val="20"/>
              </w:rPr>
            </w:pPr>
            <w:r>
              <w:rPr>
                <w:rFonts w:hint="eastAsia" w:ascii="方正书宋_GBK" w:hAnsi="宋体" w:eastAsia="方正书宋_GBK" w:cs="宋体"/>
                <w:color w:val="000000"/>
                <w:kern w:val="0"/>
                <w:sz w:val="20"/>
                <w:szCs w:val="20"/>
              </w:rPr>
              <w:t xml:space="preserve">6.【法规】《行政机关公务员处分条例》（2007年4月4日中华人民共和国国务院令第495号公布）第23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754" w:type="dxa"/>
            <w:vAlign w:val="center"/>
          </w:tcPr>
          <w:p>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color w:val="000000"/>
                <w:kern w:val="0"/>
                <w:sz w:val="20"/>
                <w:szCs w:val="20"/>
              </w:rPr>
              <w:t>法律法规规定的免责情形及</w:t>
            </w:r>
            <w:r>
              <w:rPr>
                <w:rFonts w:hint="eastAsia" w:ascii="方正书宋_GBK" w:hAnsi="宋体" w:eastAsia="方正书宋_GBK" w:cs="宋体"/>
                <w:color w:val="000000"/>
                <w:kern w:val="0"/>
                <w:sz w:val="20"/>
                <w:szCs w:val="20"/>
                <w:lang w:eastAsia="zh-CN"/>
              </w:rPr>
              <w:t>资源县委、资源县人民政府</w:t>
            </w:r>
            <w:r>
              <w:rPr>
                <w:rFonts w:hint="eastAsia" w:ascii="方正书宋_GBK" w:hAnsi="宋体" w:eastAsia="方正书宋_GBK" w:cs="宋体"/>
                <w:color w:val="000000"/>
                <w:kern w:val="0"/>
                <w:sz w:val="20"/>
                <w:szCs w:val="20"/>
              </w:rPr>
              <w:t>有关文件中明确的免责情形</w:t>
            </w:r>
          </w:p>
        </w:tc>
        <w:tc>
          <w:tcPr>
            <w:tcW w:w="381" w:type="dxa"/>
            <w:vAlign w:val="center"/>
          </w:tcPr>
          <w:p>
            <w:pPr>
              <w:adjustRightInd w:val="0"/>
              <w:snapToGrid w:val="0"/>
              <w:spacing w:line="300" w:lineRule="exact"/>
              <w:jc w:val="center"/>
              <w:rPr>
                <w:rFonts w:ascii="方正书宋_GBK" w:hAnsi="宋体" w:eastAsia="方正书宋_GBK" w:cs="宋体"/>
                <w:kern w:val="0"/>
                <w:sz w:val="20"/>
                <w:szCs w:val="20"/>
              </w:rPr>
            </w:pPr>
          </w:p>
        </w:tc>
      </w:tr>
    </w:tbl>
    <w:p>
      <w:pPr>
        <w:adjustRightInd w:val="0"/>
        <w:snapToGrid w:val="0"/>
        <w:spacing w:line="20" w:lineRule="exact"/>
        <w:rPr>
          <w:rFonts w:ascii="方正小标宋_GBK" w:eastAsia="方正小标宋_GBK"/>
          <w:sz w:val="44"/>
          <w:szCs w:val="44"/>
        </w:rPr>
      </w:pPr>
    </w:p>
    <w:sectPr>
      <w:footerReference r:id="rId3" w:type="default"/>
      <w:footerReference r:id="rId4" w:type="even"/>
      <w:pgSz w:w="23814" w:h="16840" w:orient="landscape"/>
      <w:pgMar w:top="720" w:right="720" w:bottom="720" w:left="720"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23D4390"/>
    <w:rsid w:val="02596C96"/>
    <w:rsid w:val="02852937"/>
    <w:rsid w:val="046D5BE8"/>
    <w:rsid w:val="0D127CB5"/>
    <w:rsid w:val="123D6C63"/>
    <w:rsid w:val="192B3098"/>
    <w:rsid w:val="19DC312E"/>
    <w:rsid w:val="1B196CCF"/>
    <w:rsid w:val="1D87266F"/>
    <w:rsid w:val="22E7687B"/>
    <w:rsid w:val="25D03BD0"/>
    <w:rsid w:val="27EC7E96"/>
    <w:rsid w:val="2EBE0643"/>
    <w:rsid w:val="362A264B"/>
    <w:rsid w:val="379B6F8A"/>
    <w:rsid w:val="3897206C"/>
    <w:rsid w:val="39565C38"/>
    <w:rsid w:val="3D6709BE"/>
    <w:rsid w:val="43252179"/>
    <w:rsid w:val="4326722B"/>
    <w:rsid w:val="43A55B9A"/>
    <w:rsid w:val="442D252D"/>
    <w:rsid w:val="470703F1"/>
    <w:rsid w:val="473858C2"/>
    <w:rsid w:val="4A0C2A45"/>
    <w:rsid w:val="4C0A2422"/>
    <w:rsid w:val="4D5F4AE3"/>
    <w:rsid w:val="51DE68D7"/>
    <w:rsid w:val="56446392"/>
    <w:rsid w:val="56A023FD"/>
    <w:rsid w:val="56CA56C3"/>
    <w:rsid w:val="59EC6DD8"/>
    <w:rsid w:val="5F113833"/>
    <w:rsid w:val="66C04989"/>
    <w:rsid w:val="6AEB33D8"/>
    <w:rsid w:val="702C2900"/>
    <w:rsid w:val="708F7927"/>
    <w:rsid w:val="736C14F7"/>
    <w:rsid w:val="752A613E"/>
    <w:rsid w:val="754F3496"/>
    <w:rsid w:val="76C1489D"/>
    <w:rsid w:val="787C5BA4"/>
    <w:rsid w:val="78C64E53"/>
    <w:rsid w:val="7AD2612C"/>
    <w:rsid w:val="7B4D25A6"/>
    <w:rsid w:val="7DBB1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112473</Words>
  <Characters>114993</Characters>
  <Lines>1</Lines>
  <Paragraphs>1</Paragraphs>
  <TotalTime>7</TotalTime>
  <ScaleCrop>false</ScaleCrop>
  <LinksUpToDate>false</LinksUpToDate>
  <CharactersWithSpaces>115641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此生随梦追</cp:lastModifiedBy>
  <dcterms:modified xsi:type="dcterms:W3CDTF">2024-02-23T03:52:04Z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5DDFE2F2AAF64A11AE00AE9A700C20E1</vt:lpwstr>
  </property>
</Properties>
</file>