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72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autoSpaceDE w:val="0"/>
        <w:autoSpaceDN w:val="0"/>
        <w:adjustRightInd w:val="0"/>
        <w:spacing w:line="720" w:lineRule="exact"/>
        <w:jc w:val="center"/>
        <w:rPr>
          <w:rFonts w:hint="eastAsia" w:ascii="方正小标宋_GBK" w:hAnsi="方正小标宋_GBK" w:eastAsia="方正小标宋_GBK" w:cs="方正小标宋_GBK"/>
          <w:sz w:val="44"/>
          <w:szCs w:val="44"/>
          <w:lang w:eastAsia="zh-CN"/>
        </w:rPr>
      </w:pPr>
    </w:p>
    <w:p>
      <w:pPr>
        <w:autoSpaceDE w:val="0"/>
        <w:autoSpaceDN w:val="0"/>
        <w:adjustRightInd w:val="0"/>
        <w:spacing w:line="72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资源县市场监督管理局“双随机、一公开”</w:t>
      </w:r>
    </w:p>
    <w:p>
      <w:pPr>
        <w:autoSpaceDE w:val="0"/>
        <w:autoSpaceDN w:val="0"/>
        <w:adjustRightInd w:val="0"/>
        <w:spacing w:line="72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抽查工作细则</w:t>
      </w:r>
    </w:p>
    <w:p>
      <w:pPr>
        <w:pStyle w:val="5"/>
        <w:jc w:val="both"/>
        <w:rPr>
          <w:rFonts w:hint="eastAsia"/>
        </w:rPr>
      </w:pPr>
    </w:p>
    <w:p>
      <w:pPr>
        <w:pStyle w:val="5"/>
        <w:jc w:val="both"/>
        <w:rPr>
          <w:rFonts w:hint="eastAsia"/>
        </w:rPr>
      </w:pPr>
    </w:p>
    <w:p>
      <w:pPr>
        <w:spacing w:line="586"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 则</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rPr>
        <w:t xml:space="preserve">  为创新市场监管方式，规范市场执法行为，提升监管效能，保障市场主体合法权益，营造公平竞争发展环境，根据《国务院办公厅关于推广随机抽查规范事中事后监管的通知》（国办发〔2015〕58号）、《国务院关于在市场监管领域全面推行部门联合“双随机、一公开”监管的意见》（国发〔2019〕5号）、《市场监管总局关于全面推进“双随机、一公开”监管工作的通知》（国市监信〔2019〕38号）、《广西壮族自治区市场监督管理系统“双随机、一公开”监管实施细则》（试行）（桂市监发〔2019〕32号）、《桂林市市场监督管理系统“双随机、一公开”抽查工作细则》（试行）（</w:t>
      </w:r>
      <w:r>
        <w:rPr>
          <w:rFonts w:hint="default" w:ascii="Times New Roman" w:hAnsi="Times New Roman" w:eastAsia="仿宋_GB2312" w:cs="Times New Roman"/>
          <w:sz w:val="32"/>
        </w:rPr>
        <w:t>桂林市市监发〔2019〕59号</w:t>
      </w:r>
      <w:r>
        <w:rPr>
          <w:rFonts w:hint="default" w:ascii="Times New Roman" w:hAnsi="Times New Roman" w:eastAsia="仿宋_GB2312" w:cs="Times New Roman"/>
          <w:sz w:val="32"/>
          <w:szCs w:val="32"/>
        </w:rPr>
        <w:t>）等系列文件规定，结合本县市场监管工作实际，制定本细则。</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rPr>
        <w:t xml:space="preserve">  本县市场监督管理部门采用“双随机、一公开”方式实施市场监管，应当遵守本细则。</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仿宋_GB2312" w:cs="Times New Roman"/>
          <w:sz w:val="32"/>
          <w:szCs w:val="32"/>
        </w:rPr>
        <w:t xml:space="preserve">  本细则所称市场主体是指经行政审批部门、市场监管部门登记注册的有限责任公司、股份有限公司、非公司企业法人、合伙企业、个人独资企业、农民专业合作社及其分支机构，个体工商户，在中国境内从事生产经营活动的外国（地区）企业。</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第四条  </w:t>
      </w:r>
      <w:r>
        <w:rPr>
          <w:rFonts w:hint="default" w:ascii="Times New Roman" w:hAnsi="Times New Roman" w:eastAsia="仿宋_GB2312" w:cs="Times New Roman"/>
          <w:sz w:val="32"/>
          <w:szCs w:val="32"/>
        </w:rPr>
        <w:t>本细则所称“双随机、一公开”，是指市场监督管理部门在监管过程中随机抽取检查对象，随机选派执法检查人员，检查结果、查处结果及时向社会公开的监管机制。</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第五条</w:t>
      </w:r>
      <w:r>
        <w:rPr>
          <w:rFonts w:hint="default" w:ascii="Times New Roman" w:hAnsi="Times New Roman" w:eastAsia="仿宋_GB2312" w:cs="Times New Roman"/>
          <w:sz w:val="32"/>
          <w:szCs w:val="32"/>
        </w:rPr>
        <w:t xml:space="preserve">  “双随机、一公开”监管应当坚持全面覆盖、依法实施、综合检查、规范透明、注重实效的原则，确保抽查工作依法有序开展。</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坚持全面覆盖。将“双随机、一公开”作为市场监管的基本手段，</w:t>
      </w:r>
      <w:r>
        <w:rPr>
          <w:rFonts w:hint="default" w:ascii="Times New Roman" w:hAnsi="Times New Roman" w:eastAsia="仿宋_GB2312" w:cs="Times New Roman"/>
          <w:sz w:val="32"/>
          <w:szCs w:val="32"/>
          <w:shd w:val="clear" w:color="auto" w:fill="FFFFFF"/>
        </w:rPr>
        <w:t>除特殊重点领域外，市场监督管理部门所有行政检查都应通过双随机抽查方式进行。</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坚持依法实施。所有的随机抽查事项应当于法有据，法律法规规章没有规定的，一律不得擅自开展。要严格按照随机抽查事项清单组织实施检查，不得在清单外设立或实施抽查、检查事项。</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坚持综合检查。市场监管部门应统筹安排本部门的检查事项，制定实施计划或实施方案，组成综合执法检查组，对检查事项实施综合检查。</w:t>
      </w:r>
    </w:p>
    <w:p>
      <w:pPr>
        <w:spacing w:line="586"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rPr>
        <w:t>坚持规范透明。严格</w:t>
      </w:r>
      <w:r>
        <w:rPr>
          <w:rFonts w:hint="default" w:ascii="Times New Roman" w:hAnsi="Times New Roman" w:eastAsia="仿宋_GB2312" w:cs="Times New Roman"/>
          <w:sz w:val="32"/>
          <w:szCs w:val="32"/>
          <w:shd w:val="clear" w:color="auto" w:fill="FFFFFF"/>
        </w:rPr>
        <w:t>依法依规开展抽查，确保检查程序规范，检查过程公正、透明。除法律法规明确规定外，抽查事项、抽查计划、抽查结果都要及时、准确、规范向社会公开。</w:t>
      </w:r>
    </w:p>
    <w:p>
      <w:pPr>
        <w:spacing w:line="586"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坚持注重实效。严格制度设计，注重协调配合，突出问题导向、分类监管、避免重复执法，减轻企业负担，降低行政执法成本，提高执法效能。</w:t>
      </w:r>
    </w:p>
    <w:p>
      <w:pPr>
        <w:autoSpaceDE w:val="0"/>
        <w:autoSpaceDN w:val="0"/>
        <w:adjustRightInd w:val="0"/>
        <w:spacing w:line="586" w:lineRule="exact"/>
        <w:ind w:firstLine="640" w:firstLineChars="200"/>
        <w:jc w:val="both"/>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 xml:space="preserve">第六条  </w:t>
      </w:r>
      <w:r>
        <w:rPr>
          <w:rFonts w:hint="default" w:ascii="Times New Roman" w:hAnsi="Times New Roman" w:eastAsia="仿宋_GB2312" w:cs="Times New Roman"/>
          <w:sz w:val="32"/>
          <w:szCs w:val="32"/>
        </w:rPr>
        <w:t>市场监督管理部门应当建立以“双随机、一公开”为基本手段、以重点监管为补充、以信用监管为基础的新型监管机制。</w:t>
      </w:r>
    </w:p>
    <w:p>
      <w:pPr>
        <w:autoSpaceDE w:val="0"/>
        <w:autoSpaceDN w:val="0"/>
        <w:adjustRightInd w:val="0"/>
        <w:spacing w:line="586"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黑体" w:cs="Times New Roman"/>
          <w:sz w:val="32"/>
          <w:szCs w:val="32"/>
          <w:shd w:val="clear" w:color="auto" w:fill="FFFFFF"/>
        </w:rPr>
        <w:t>第七条</w:t>
      </w:r>
      <w:r>
        <w:rPr>
          <w:rFonts w:hint="eastAsia" w:ascii="Times New Roman" w:hAnsi="Times New Roman" w:eastAsia="黑体" w:cs="Times New Roman"/>
          <w:sz w:val="32"/>
          <w:szCs w:val="32"/>
          <w:shd w:val="clear" w:color="auto" w:fill="FFFFFF"/>
          <w:lang w:val="en-US" w:eastAsia="zh-CN"/>
        </w:rPr>
        <w:t xml:space="preserve">  </w:t>
      </w:r>
      <w:r>
        <w:rPr>
          <w:rFonts w:hint="default" w:ascii="Times New Roman" w:hAnsi="Times New Roman" w:eastAsia="仿宋_GB2312" w:cs="Times New Roman"/>
          <w:sz w:val="32"/>
          <w:szCs w:val="32"/>
        </w:rPr>
        <w:t>“双随机、一公开”监管与其他监管的衔接。</w:t>
      </w:r>
    </w:p>
    <w:p>
      <w:pPr>
        <w:autoSpaceDE w:val="0"/>
        <w:autoSpaceDN w:val="0"/>
        <w:adjustRightInd w:val="0"/>
        <w:spacing w:line="586"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kern w:val="0"/>
          <w:sz w:val="32"/>
          <w:szCs w:val="32"/>
        </w:rPr>
        <w:t>（一）涉及重点领域食品药品、产品质量安全和特种设备安全，未列入抽查事项清单的事项，按照现有方式严格监管。</w:t>
      </w:r>
    </w:p>
    <w:p>
      <w:pPr>
        <w:spacing w:line="586"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（二）通过投诉举报、转办交办、大数据监测等发现的具体问题应及时进行检查、处置。</w:t>
      </w:r>
    </w:p>
    <w:p>
      <w:pPr>
        <w:spacing w:line="586"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（三）通过</w:t>
      </w:r>
      <w:r>
        <w:rPr>
          <w:rFonts w:hint="default" w:ascii="Times New Roman" w:hAnsi="Times New Roman" w:eastAsia="仿宋_GB2312" w:cs="Times New Roman"/>
          <w:kern w:val="0"/>
          <w:sz w:val="32"/>
          <w:szCs w:val="32"/>
        </w:rPr>
        <w:t>监测途径发现的普遍性问题和突出风险，在开展有</w:t>
      </w:r>
      <w:r>
        <w:rPr>
          <w:rFonts w:hint="eastAsia" w:ascii="Times New Roman" w:hAnsi="Times New Roman" w:eastAsia="仿宋_GB2312" w:cs="Times New Roman"/>
          <w:kern w:val="0"/>
          <w:sz w:val="32"/>
          <w:szCs w:val="32"/>
          <w:lang w:eastAsia="zh-CN"/>
        </w:rPr>
        <w:t>针对性</w:t>
      </w:r>
      <w:r>
        <w:rPr>
          <w:rFonts w:hint="eastAsia" w:eastAsia="仿宋_GB2312" w:cs="Times New Roman"/>
          <w:kern w:val="0"/>
          <w:sz w:val="32"/>
          <w:szCs w:val="32"/>
          <w:lang w:eastAsia="zh-CN"/>
        </w:rPr>
        <w:t>的</w:t>
      </w:r>
      <w:r>
        <w:rPr>
          <w:rFonts w:hint="eastAsia" w:ascii="Times New Roman" w:hAnsi="Times New Roman" w:eastAsia="仿宋_GB2312" w:cs="Times New Roman"/>
          <w:kern w:val="0"/>
          <w:sz w:val="32"/>
          <w:szCs w:val="32"/>
          <w:lang w:eastAsia="zh-CN"/>
        </w:rPr>
        <w:t>检查</w:t>
      </w:r>
      <w:r>
        <w:rPr>
          <w:rFonts w:hint="default" w:ascii="Times New Roman" w:hAnsi="Times New Roman" w:eastAsia="仿宋_GB2312" w:cs="Times New Roman"/>
          <w:kern w:val="0"/>
          <w:sz w:val="32"/>
          <w:szCs w:val="32"/>
        </w:rPr>
        <w:t>时，应当</w:t>
      </w:r>
      <w:r>
        <w:rPr>
          <w:rFonts w:hint="default" w:ascii="Times New Roman" w:hAnsi="Times New Roman" w:eastAsia="仿宋_GB2312" w:cs="Times New Roman"/>
          <w:sz w:val="32"/>
          <w:szCs w:val="32"/>
          <w:shd w:val="clear" w:color="auto" w:fill="FFFFFF"/>
        </w:rPr>
        <w:t>通过双随机抽查方式，对所涉抽查事项开展专项检查，并根据实际情况确定抽查比例。</w:t>
      </w:r>
    </w:p>
    <w:p>
      <w:pPr>
        <w:spacing w:line="586" w:lineRule="exact"/>
        <w:ind w:firstLine="640" w:firstLineChars="200"/>
        <w:jc w:val="both"/>
        <w:rPr>
          <w:rFonts w:hint="default" w:ascii="Times New Roman" w:hAnsi="Times New Roman" w:eastAsia="仿宋_GB2312" w:cs="Times New Roman"/>
          <w:sz w:val="32"/>
          <w:szCs w:val="32"/>
          <w:shd w:val="clear" w:color="auto" w:fill="FFFFFF"/>
        </w:rPr>
      </w:pPr>
    </w:p>
    <w:p>
      <w:pPr>
        <w:numPr>
          <w:ilvl w:val="0"/>
          <w:numId w:val="0"/>
        </w:numPr>
        <w:spacing w:line="586" w:lineRule="exact"/>
        <w:jc w:val="center"/>
        <w:rPr>
          <w:rFonts w:hint="default" w:ascii="Times New Roman" w:hAnsi="Times New Roman" w:eastAsia="黑体" w:cs="Times New Roman"/>
          <w:sz w:val="32"/>
          <w:szCs w:val="32"/>
        </w:rPr>
      </w:pPr>
      <w:r>
        <w:rPr>
          <w:rFonts w:hint="eastAsia" w:eastAsia="黑体" w:cs="Times New Roman"/>
          <w:sz w:val="32"/>
          <w:szCs w:val="32"/>
          <w:lang w:eastAsia="zh-CN"/>
        </w:rPr>
        <w:t>第二章</w:t>
      </w:r>
      <w:r>
        <w:rPr>
          <w:rFonts w:hint="eastAsia" w:eastAsia="黑体" w:cs="Times New Roman"/>
          <w:sz w:val="32"/>
          <w:szCs w:val="32"/>
          <w:lang w:val="en-US" w:eastAsia="zh-CN"/>
        </w:rPr>
        <w:t xml:space="preserve">  </w:t>
      </w:r>
      <w:r>
        <w:rPr>
          <w:rFonts w:hint="default" w:ascii="Times New Roman" w:hAnsi="Times New Roman" w:eastAsia="黑体" w:cs="Times New Roman"/>
          <w:sz w:val="32"/>
          <w:szCs w:val="32"/>
        </w:rPr>
        <w:t>职责分工</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w:t>
      </w:r>
      <w:r>
        <w:rPr>
          <w:rFonts w:hint="default" w:ascii="Times New Roman" w:hAnsi="Times New Roman" w:eastAsia="仿宋_GB2312" w:cs="Times New Roman"/>
          <w:sz w:val="32"/>
          <w:szCs w:val="32"/>
        </w:rPr>
        <w:t xml:space="preserve">  县市场监督管理局负责制定本局系统年度工作方案，组织、指导、开展、督查、考核全县市场监督管理系统“双随机、一公开”监管工作。</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市场监督管理局是“双随机、一公开”监管工作的主体，机关执法人员应参与随机抽查检查，以充实一线执法力量；要落实上级市场监管部门的部署和安排，合理制定本级抽查工作计划，并组织实施“双随机、一公开”抽查。</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市场监督管理所按照市、县市场监管部门的统一安排，负责对被抽取的检查对象实施检查。</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局信用监管部门负责牵头本级“双随机、一公开”监管工作，统筹协调双随机抽查工作的制度机制建设和年度抽查工作计划的汇总备案，整合涉及多个业务条线的抽查任务，确定每次抽查任务的牵头业务部门。相关业务部门按照年度抽查工作计划的安排，负责牵头组织、参与双随机抽查工作，并对本业务领域双随机抽查工作进行业务指导。政策法规部门负责抽查工作的执法监督。</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第九条  </w:t>
      </w:r>
      <w:r>
        <w:rPr>
          <w:rFonts w:hint="default" w:ascii="Times New Roman" w:hAnsi="Times New Roman" w:eastAsia="仿宋_GB2312" w:cs="Times New Roman"/>
          <w:sz w:val="32"/>
          <w:szCs w:val="32"/>
        </w:rPr>
        <w:t>县级市场监督管理局负责编制本级随机抽查事项清单，报市市场监督管理局备案，并及时向社会公示。</w:t>
      </w:r>
    </w:p>
    <w:p>
      <w:pPr>
        <w:spacing w:line="586"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szCs w:val="32"/>
          <w:shd w:val="clear" w:color="auto" w:fill="FFFFFF"/>
        </w:rPr>
        <w:t>随机抽查事项分为重点检查事项和一般检查事项。重点检查事项针对涉及安全、质量、公共利益等领域。一般检查事项针对一般监管领域。</w:t>
      </w:r>
    </w:p>
    <w:p>
      <w:pPr>
        <w:spacing w:line="586"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县级市场监督管理部门结合职能调整，根据法律法规规章立改废释和工作实际情况对</w:t>
      </w:r>
      <w:r>
        <w:rPr>
          <w:rFonts w:hint="default" w:ascii="Times New Roman" w:hAnsi="Times New Roman" w:eastAsia="仿宋_GB2312" w:cs="Times New Roman"/>
          <w:sz w:val="32"/>
          <w:szCs w:val="32"/>
        </w:rPr>
        <w:t>随机抽查事项清单</w:t>
      </w:r>
      <w:r>
        <w:rPr>
          <w:rFonts w:hint="default" w:ascii="Times New Roman" w:hAnsi="Times New Roman" w:eastAsia="仿宋_GB2312" w:cs="Times New Roman"/>
          <w:sz w:val="32"/>
        </w:rPr>
        <w:t>进行动态调整，并及时向社会公开。</w:t>
      </w:r>
    </w:p>
    <w:p>
      <w:pPr>
        <w:spacing w:line="586"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黑体" w:cs="Times New Roman"/>
          <w:sz w:val="32"/>
          <w:szCs w:val="32"/>
        </w:rPr>
        <w:t xml:space="preserve">第十条  </w:t>
      </w:r>
      <w:r>
        <w:rPr>
          <w:rFonts w:hint="default" w:ascii="Times New Roman" w:hAnsi="Times New Roman" w:eastAsia="仿宋_GB2312" w:cs="Times New Roman"/>
          <w:sz w:val="32"/>
          <w:szCs w:val="32"/>
        </w:rPr>
        <w:t>县级市场监督管理部门应当建立检查对象名录库和执法检查人员名录库，并</w:t>
      </w:r>
      <w:r>
        <w:rPr>
          <w:rFonts w:hint="default" w:ascii="Times New Roman" w:hAnsi="Times New Roman" w:eastAsia="仿宋_GB2312" w:cs="Times New Roman"/>
          <w:sz w:val="32"/>
        </w:rPr>
        <w:t>进行动态管理。</w:t>
      </w:r>
    </w:p>
    <w:p>
      <w:pPr>
        <w:spacing w:line="586"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检查对象名录库包括市场主体等对象。涉及市场主体的检查对象名录库应当依托</w:t>
      </w:r>
      <w:r>
        <w:rPr>
          <w:rFonts w:hint="default" w:ascii="Times New Roman" w:hAnsi="Times New Roman" w:eastAsia="仿宋_GB2312" w:cs="Times New Roman"/>
          <w:color w:val="000000"/>
          <w:sz w:val="32"/>
        </w:rPr>
        <w:t>国家企业信用信息公示系统</w:t>
      </w:r>
      <w:r>
        <w:rPr>
          <w:rFonts w:hint="default" w:ascii="Times New Roman" w:hAnsi="Times New Roman" w:eastAsia="仿宋_GB2312" w:cs="Times New Roman"/>
          <w:sz w:val="32"/>
        </w:rPr>
        <w:t>建立。</w:t>
      </w:r>
    </w:p>
    <w:p>
      <w:pPr>
        <w:spacing w:line="586"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rPr>
        <w:t>执法检查人员名录库应当包括市场监督管理部门所有行政执法类公务员、具有行政执法资格的工作人员和从事日常监管工作的人员，并按照执法资质、业务专长进行分类标注。</w:t>
      </w:r>
      <w:r>
        <w:rPr>
          <w:rFonts w:hint="default" w:ascii="Times New Roman" w:hAnsi="Times New Roman" w:eastAsia="仿宋_GB2312" w:cs="Times New Roman"/>
          <w:sz w:val="32"/>
          <w:szCs w:val="32"/>
          <w:shd w:val="clear" w:color="auto" w:fill="FFFFFF"/>
        </w:rPr>
        <w:t>特定领域的抽查，可以在满足执法检查人数要求的基础上，吸收检测机构、科研院所和专家学者等参与。</w:t>
      </w:r>
    </w:p>
    <w:p>
      <w:pPr>
        <w:spacing w:line="586"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szCs w:val="32"/>
          <w:shd w:val="clear" w:color="auto" w:fill="FFFFFF"/>
        </w:rPr>
        <w:t>县级市场监管部门应当对本级的</w:t>
      </w:r>
      <w:r>
        <w:rPr>
          <w:rFonts w:hint="default" w:ascii="Times New Roman" w:hAnsi="Times New Roman" w:eastAsia="仿宋_GB2312" w:cs="Times New Roman"/>
          <w:sz w:val="32"/>
        </w:rPr>
        <w:t>执法检查人员名录库实施动态管理。</w:t>
      </w:r>
    </w:p>
    <w:p>
      <w:pPr>
        <w:spacing w:line="586" w:lineRule="exact"/>
        <w:jc w:val="both"/>
        <w:rPr>
          <w:rFonts w:hint="default" w:ascii="Times New Roman" w:hAnsi="Times New Roman" w:eastAsia="黑体" w:cs="Times New Roman"/>
          <w:sz w:val="32"/>
          <w:szCs w:val="32"/>
        </w:rPr>
      </w:pPr>
    </w:p>
    <w:p>
      <w:pPr>
        <w:numPr>
          <w:ilvl w:val="0"/>
          <w:numId w:val="0"/>
        </w:numPr>
        <w:spacing w:line="586" w:lineRule="exact"/>
        <w:jc w:val="center"/>
        <w:rPr>
          <w:rFonts w:hint="default" w:ascii="Times New Roman" w:hAnsi="Times New Roman" w:eastAsia="黑体" w:cs="Times New Roman"/>
          <w:sz w:val="32"/>
          <w:szCs w:val="32"/>
        </w:rPr>
      </w:pPr>
      <w:r>
        <w:rPr>
          <w:rFonts w:hint="eastAsia" w:eastAsia="黑体" w:cs="Times New Roman"/>
          <w:sz w:val="32"/>
          <w:szCs w:val="32"/>
          <w:lang w:eastAsia="zh-CN"/>
        </w:rPr>
        <w:t>第三章</w:t>
      </w:r>
      <w:r>
        <w:rPr>
          <w:rFonts w:hint="eastAsia" w:eastAsia="黑体" w:cs="Times New Roman"/>
          <w:sz w:val="32"/>
          <w:szCs w:val="32"/>
          <w:lang w:val="en-US" w:eastAsia="zh-CN"/>
        </w:rPr>
        <w:t xml:space="preserve">  </w:t>
      </w:r>
      <w:r>
        <w:rPr>
          <w:rFonts w:hint="default" w:ascii="Times New Roman" w:hAnsi="Times New Roman" w:eastAsia="黑体" w:cs="Times New Roman"/>
          <w:sz w:val="32"/>
          <w:szCs w:val="32"/>
        </w:rPr>
        <w:t>抽查流程</w:t>
      </w:r>
    </w:p>
    <w:p>
      <w:pPr>
        <w:spacing w:line="586"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黑体" w:cs="Times New Roman"/>
          <w:sz w:val="32"/>
          <w:szCs w:val="32"/>
        </w:rPr>
        <w:t xml:space="preserve">第十一条 </w:t>
      </w:r>
      <w:r>
        <w:rPr>
          <w:rFonts w:hint="default" w:ascii="Times New Roman" w:hAnsi="Times New Roman" w:eastAsia="仿宋_GB2312" w:cs="Times New Roman"/>
          <w:sz w:val="32"/>
          <w:szCs w:val="32"/>
        </w:rPr>
        <w:t xml:space="preserve"> 县</w:t>
      </w:r>
      <w:r>
        <w:rPr>
          <w:rFonts w:hint="default" w:ascii="Times New Roman" w:hAnsi="Times New Roman" w:eastAsia="仿宋_GB2312" w:cs="Times New Roman"/>
          <w:sz w:val="32"/>
        </w:rPr>
        <w:t>级市场监督管理部门应当按照上级市场监督管理部门工作要求和本级抽查事项清单，统筹制定年度抽查工作计划，明确抽查任务、抽查类型、抽查事项、抽查对象范围、检查主体、抽查比例和检查日期，并报上一级市场监督管理部门备案。</w:t>
      </w:r>
    </w:p>
    <w:p>
      <w:pPr>
        <w:spacing w:line="586" w:lineRule="exact"/>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县市场监督管理局在综合局内各业务部门上报的抽查计划基础上，坚持问题导向，制定全县市场监管系统年度随机抽查工作计划，向社会公示，并根据工作实际进行动态调整。</w:t>
      </w:r>
    </w:p>
    <w:p>
      <w:pPr>
        <w:spacing w:line="586"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县市场监管部门的抽查计划应结合本地实际，针对风险点、重点领域，选择相关的抽查检查事项，制定本级的年度随机抽查工作计划，并组织实施。</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年度抽查工作计划以自然年为单位制定，可以根据工作实际进行调整。年度抽查工作计划应当于当年</w:t>
      </w:r>
      <w:r>
        <w:rPr>
          <w:rFonts w:hint="eastAsia" w:ascii="Times New Roman" w:hAnsi="Times New Roman" w:eastAsia="仿宋_GB2312" w:cs="Times New Roman"/>
          <w:sz w:val="32"/>
          <w:lang w:val="en-US" w:eastAsia="zh-CN"/>
        </w:rPr>
        <w:t>4</w:t>
      </w:r>
      <w:r>
        <w:rPr>
          <w:rFonts w:hint="default" w:ascii="Times New Roman" w:hAnsi="Times New Roman" w:eastAsia="仿宋_GB2312" w:cs="Times New Roman"/>
          <w:sz w:val="32"/>
        </w:rPr>
        <w:t>月底前制定完成，并</w:t>
      </w:r>
      <w:r>
        <w:rPr>
          <w:rFonts w:hint="default" w:ascii="Times New Roman" w:hAnsi="Times New Roman" w:eastAsia="仿宋_GB2312" w:cs="Times New Roman"/>
          <w:sz w:val="32"/>
          <w:szCs w:val="32"/>
        </w:rPr>
        <w:t>通过国家企业信用信息公示系统向社会公示。</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第十二条 </w:t>
      </w:r>
      <w:r>
        <w:rPr>
          <w:rFonts w:hint="default" w:ascii="Times New Roman" w:hAnsi="Times New Roman" w:eastAsia="仿宋_GB2312" w:cs="Times New Roman"/>
          <w:sz w:val="32"/>
          <w:szCs w:val="32"/>
        </w:rPr>
        <w:t xml:space="preserve"> 抽查分为不定向抽查和定向抽查。</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不定向抽查是指对抽取对象不设定条件，采取随机抽取方式，确定被检查对象名单，按对应抽查事项进行检查。</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定向抽查是指根据本级人民政府和上级部门检查的要求、消费者投诉集中的行业、社会关注的热点焦点、大数据分析的风险点等情况，按照所属行业、地理区域等特定条件，随机抽取确定检查对象名单，按对应抽查事项进行检查。</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市场监管部门可以在一次抽查中，整合不定向抽查和定向抽查开展综合性抽查。</w:t>
      </w:r>
    </w:p>
    <w:p>
      <w:pPr>
        <w:spacing w:line="586"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黑体" w:cs="Times New Roman"/>
          <w:sz w:val="32"/>
          <w:szCs w:val="32"/>
        </w:rPr>
        <w:t xml:space="preserve">第十三条  </w:t>
      </w:r>
      <w:r>
        <w:rPr>
          <w:rFonts w:hint="default" w:ascii="Times New Roman" w:hAnsi="Times New Roman" w:eastAsia="仿宋_GB2312" w:cs="Times New Roman"/>
          <w:sz w:val="32"/>
          <w:szCs w:val="32"/>
        </w:rPr>
        <w:t>县级</w:t>
      </w:r>
      <w:r>
        <w:rPr>
          <w:rFonts w:hint="default" w:ascii="Times New Roman" w:hAnsi="Times New Roman" w:eastAsia="仿宋_GB2312" w:cs="Times New Roman"/>
          <w:sz w:val="32"/>
        </w:rPr>
        <w:t>市场监督管理部门应当按照法律法规规定和监管领域、执法队伍实际情况，针对不同检查对象采取差异化监管，合理确定、动态调整抽查比例和检查对象被抽查概率。</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重点检查事项抽查比例不设上限；一般检查事项抽查比例应当根据监管实际情况设置上限。</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对风险较高、投诉举报多、列入经营异常名录、标记为经营异常状态或者有严重违法失信记录的市场主体，应当实施重点抽查，增加抽查比例和频次。</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第十四条  </w:t>
      </w:r>
      <w:r>
        <w:rPr>
          <w:rFonts w:hint="default" w:ascii="Times New Roman" w:hAnsi="Times New Roman" w:eastAsia="仿宋_GB2312" w:cs="Times New Roman"/>
          <w:sz w:val="32"/>
          <w:szCs w:val="32"/>
        </w:rPr>
        <w:t>县级市场监督管理部门按照本级年度抽查工作计划从辖区检查对象名录库中随机抽取检查对象。</w:t>
      </w:r>
    </w:p>
    <w:p>
      <w:pPr>
        <w:autoSpaceDE w:val="0"/>
        <w:autoSpaceDN w:val="0"/>
        <w:adjustRightInd w:val="0"/>
        <w:spacing w:line="586"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黑体" w:cs="Times New Roman"/>
          <w:sz w:val="32"/>
        </w:rPr>
        <w:t xml:space="preserve">第十五条  </w:t>
      </w:r>
      <w:r>
        <w:rPr>
          <w:rFonts w:hint="default" w:ascii="Times New Roman" w:hAnsi="Times New Roman" w:eastAsia="仿宋_GB2312" w:cs="Times New Roman"/>
          <w:kern w:val="0"/>
          <w:sz w:val="32"/>
          <w:szCs w:val="32"/>
        </w:rPr>
        <w:t>县级市场监督管理部门按照管辖所属，对抽取的检查对象进行本辖区执法检查人员随机匹配，并综合考虑所辖区域地理环境、人员配备、业务专长、保障水平等客观因素选择抽取方式。</w:t>
      </w:r>
    </w:p>
    <w:p>
      <w:pPr>
        <w:autoSpaceDE w:val="0"/>
        <w:autoSpaceDN w:val="0"/>
        <w:adjustRightInd w:val="0"/>
        <w:spacing w:line="586"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执法检查人员不能满足本区域内随机抽查基本条件的，可以采取直接委派方式。</w:t>
      </w:r>
    </w:p>
    <w:p>
      <w:pPr>
        <w:autoSpaceDE w:val="0"/>
        <w:autoSpaceDN w:val="0"/>
        <w:adjustRightInd w:val="0"/>
        <w:spacing w:line="586"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shd w:val="clear" w:color="auto" w:fill="FFFFFF"/>
        </w:rPr>
        <w:t>上级市场监督管理部门可以委托下级市场监督管理部门进行检查，被委托部门按照前款规定抽取执法人员。</w:t>
      </w:r>
    </w:p>
    <w:p>
      <w:pPr>
        <w:autoSpaceDE w:val="0"/>
        <w:autoSpaceDN w:val="0"/>
        <w:adjustRightInd w:val="0"/>
        <w:spacing w:line="586"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黑体" w:cs="Times New Roman"/>
          <w:sz w:val="32"/>
          <w:szCs w:val="32"/>
        </w:rPr>
        <w:t xml:space="preserve">第十六条  </w:t>
      </w:r>
      <w:r>
        <w:rPr>
          <w:rFonts w:hint="default" w:ascii="Times New Roman" w:hAnsi="Times New Roman" w:eastAsia="仿宋_GB2312" w:cs="Times New Roman"/>
          <w:sz w:val="32"/>
          <w:szCs w:val="32"/>
        </w:rPr>
        <w:t>检查对象名单、执法检查人员匹配名单应当通过“双随机、一公开”监管工作平台随机抽取产生。</w:t>
      </w:r>
      <w:r>
        <w:rPr>
          <w:rFonts w:hint="default" w:ascii="Times New Roman" w:hAnsi="Times New Roman" w:eastAsia="仿宋_GB2312" w:cs="Times New Roman"/>
          <w:sz w:val="32"/>
        </w:rPr>
        <w:t>抽取过程应当公开、公正。</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第十七条  </w:t>
      </w:r>
      <w:r>
        <w:rPr>
          <w:rFonts w:hint="default" w:ascii="Times New Roman" w:hAnsi="Times New Roman" w:eastAsia="仿宋_GB2312" w:cs="Times New Roman"/>
          <w:sz w:val="32"/>
          <w:szCs w:val="32"/>
        </w:rPr>
        <w:t>县级市场监管部门应整合内部流程，实施内部联合抽查，对同一检查对象的多个检查事项，应当一次性完成，提高执法效能，减轻检查对象负担。</w:t>
      </w:r>
    </w:p>
    <w:p>
      <w:pPr>
        <w:autoSpaceDE w:val="0"/>
        <w:autoSpaceDN w:val="0"/>
        <w:adjustRightInd w:val="0"/>
        <w:spacing w:line="586" w:lineRule="exact"/>
        <w:jc w:val="both"/>
        <w:rPr>
          <w:rFonts w:hint="default" w:ascii="Times New Roman" w:hAnsi="Times New Roman" w:eastAsia="黑体" w:cs="Times New Roman"/>
          <w:sz w:val="32"/>
          <w:szCs w:val="32"/>
        </w:rPr>
      </w:pPr>
    </w:p>
    <w:p>
      <w:pPr>
        <w:autoSpaceDE w:val="0"/>
        <w:autoSpaceDN w:val="0"/>
        <w:adjustRightInd w:val="0"/>
        <w:spacing w:line="586" w:lineRule="exact"/>
        <w:jc w:val="center"/>
        <w:rPr>
          <w:rFonts w:hint="default" w:ascii="Times New Roman" w:hAnsi="Times New Roman" w:eastAsia="仿宋_GB2312" w:cs="Times New Roman"/>
          <w:sz w:val="32"/>
        </w:rPr>
      </w:pPr>
      <w:r>
        <w:rPr>
          <w:rFonts w:hint="default" w:ascii="Times New Roman" w:hAnsi="Times New Roman" w:eastAsia="黑体" w:cs="Times New Roman"/>
          <w:sz w:val="32"/>
          <w:szCs w:val="32"/>
        </w:rPr>
        <w:t>第四章  检查实施</w:t>
      </w:r>
    </w:p>
    <w:p>
      <w:pPr>
        <w:autoSpaceDE w:val="0"/>
        <w:autoSpaceDN w:val="0"/>
        <w:adjustRightInd w:val="0"/>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第十八条  </w:t>
      </w:r>
      <w:r>
        <w:rPr>
          <w:rFonts w:hint="default" w:ascii="Times New Roman" w:hAnsi="Times New Roman" w:eastAsia="仿宋_GB2312" w:cs="Times New Roman"/>
          <w:kern w:val="0"/>
          <w:sz w:val="32"/>
          <w:szCs w:val="32"/>
        </w:rPr>
        <w:t>市场监督管理部门实施检查时，应当</w:t>
      </w:r>
      <w:r>
        <w:rPr>
          <w:rFonts w:hint="default" w:ascii="Times New Roman" w:hAnsi="Times New Roman" w:eastAsia="仿宋_GB2312" w:cs="Times New Roman"/>
          <w:sz w:val="32"/>
          <w:szCs w:val="32"/>
        </w:rPr>
        <w:t>严格按照抽查事项清单进行。</w:t>
      </w:r>
    </w:p>
    <w:p>
      <w:pPr>
        <w:autoSpaceDE w:val="0"/>
        <w:autoSpaceDN w:val="0"/>
        <w:adjustRightInd w:val="0"/>
        <w:spacing w:line="586"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黑体" w:cs="Times New Roman"/>
          <w:sz w:val="32"/>
          <w:szCs w:val="32"/>
        </w:rPr>
        <w:t>第十九条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bCs/>
          <w:kern w:val="28"/>
          <w:sz w:val="32"/>
          <w:szCs w:val="32"/>
        </w:rPr>
        <w:t>【检查方式】</w:t>
      </w:r>
      <w:r>
        <w:rPr>
          <w:rFonts w:hint="default" w:ascii="Times New Roman" w:hAnsi="Times New Roman" w:eastAsia="仿宋_GB2312" w:cs="Times New Roman"/>
          <w:kern w:val="0"/>
          <w:sz w:val="32"/>
          <w:szCs w:val="32"/>
        </w:rPr>
        <w:t>市场监督管理部门可以</w:t>
      </w:r>
      <w:r>
        <w:rPr>
          <w:rFonts w:hint="default" w:ascii="Times New Roman" w:hAnsi="Times New Roman" w:eastAsia="仿宋_GB2312" w:cs="Times New Roman"/>
          <w:sz w:val="32"/>
          <w:szCs w:val="32"/>
        </w:rPr>
        <w:t>依法</w:t>
      </w:r>
      <w:r>
        <w:rPr>
          <w:rFonts w:hint="default" w:ascii="Times New Roman" w:hAnsi="Times New Roman" w:eastAsia="仿宋_GB2312" w:cs="Times New Roman"/>
          <w:kern w:val="0"/>
          <w:sz w:val="32"/>
          <w:szCs w:val="32"/>
        </w:rPr>
        <w:t>采取现场检查、书面检查、网络检查、</w:t>
      </w:r>
      <w:r>
        <w:rPr>
          <w:rFonts w:hint="default" w:ascii="Times New Roman" w:hAnsi="Times New Roman" w:eastAsia="仿宋_GB2312" w:cs="Times New Roman"/>
          <w:sz w:val="32"/>
          <w:szCs w:val="32"/>
        </w:rPr>
        <w:t>检验检测、</w:t>
      </w:r>
      <w:r>
        <w:rPr>
          <w:rFonts w:hint="default" w:ascii="Times New Roman" w:hAnsi="Times New Roman" w:eastAsia="仿宋_GB2312" w:cs="Times New Roman"/>
          <w:kern w:val="0"/>
          <w:sz w:val="32"/>
          <w:szCs w:val="32"/>
        </w:rPr>
        <w:t>委托专业机构检查等方式实施抽查检查。</w:t>
      </w:r>
    </w:p>
    <w:p>
      <w:pPr>
        <w:autoSpaceDE w:val="0"/>
        <w:autoSpaceDN w:val="0"/>
        <w:adjustRightInd w:val="0"/>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第二十条  </w:t>
      </w:r>
      <w:r>
        <w:rPr>
          <w:rFonts w:hint="default" w:ascii="Times New Roman" w:hAnsi="Times New Roman" w:eastAsia="仿宋_GB2312" w:cs="Times New Roman"/>
          <w:sz w:val="32"/>
          <w:szCs w:val="32"/>
        </w:rPr>
        <w:t>采取现场方式检查的，应当依照相关法律法规规章和工作程序规定进行。检查人员不得少于两人，应当出示执法证件。核查结束后，应当及时如实填写实地核查记录表。</w:t>
      </w:r>
    </w:p>
    <w:p>
      <w:pPr>
        <w:autoSpaceDE w:val="0"/>
        <w:autoSpaceDN w:val="0"/>
        <w:adjustRightInd w:val="0"/>
        <w:spacing w:line="586"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核查记录表应当由被检查市场主体法定代表人、负责人，或者与检查对象相关的责任人员签字或者盖章确认。无法取得签字或者盖章的，检查人员应当注明原因，必要时可邀请相关人员签字见证。</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第二十一条  </w:t>
      </w:r>
      <w:r>
        <w:rPr>
          <w:rFonts w:hint="default" w:ascii="Times New Roman" w:hAnsi="Times New Roman" w:eastAsia="仿宋_GB2312" w:cs="Times New Roman"/>
          <w:sz w:val="32"/>
          <w:szCs w:val="32"/>
        </w:rPr>
        <w:t>采取书面方式检查的，可以通过审查市场主体提供的会计资料、审计报告、行政许可证明、行政处罚决定书、场所使用证明、销售凭证、产品质量检验证书、宣传资料等相关材料，对检查事项实施检查。</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第二十二条 </w:t>
      </w:r>
      <w:r>
        <w:rPr>
          <w:rFonts w:hint="default" w:ascii="Times New Roman" w:hAnsi="Times New Roman" w:eastAsia="仿宋_GB2312" w:cs="Times New Roman"/>
          <w:sz w:val="32"/>
          <w:szCs w:val="32"/>
        </w:rPr>
        <w:t xml:space="preserve"> 采取网络监测方式检查的，可以依法使用网络监测软件和工具，对有关网站、网页、邮件等进行监测监控；可以与相关部门建立信息交换机制，运用网络技术获取与检查事项相关的信息。</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第二十三条 </w:t>
      </w:r>
      <w:r>
        <w:rPr>
          <w:rFonts w:hint="default" w:ascii="Times New Roman" w:hAnsi="Times New Roman" w:eastAsia="仿宋_GB2312" w:cs="Times New Roman"/>
          <w:sz w:val="32"/>
          <w:szCs w:val="32"/>
        </w:rPr>
        <w:t xml:space="preserve"> 采取检验检测方式检查的，应当委托有专业资质的检验检测认证机构实施，并依法使用检验检测结果。</w:t>
      </w:r>
    </w:p>
    <w:p>
      <w:pPr>
        <w:autoSpaceDE w:val="0"/>
        <w:autoSpaceDN w:val="0"/>
        <w:adjustRightInd w:val="0"/>
        <w:spacing w:line="586"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黑体" w:cs="Times New Roman"/>
          <w:kern w:val="0"/>
          <w:sz w:val="32"/>
          <w:szCs w:val="32"/>
        </w:rPr>
        <w:t xml:space="preserve">第二十四条  </w:t>
      </w:r>
      <w:r>
        <w:rPr>
          <w:rFonts w:hint="default" w:ascii="Times New Roman" w:hAnsi="Times New Roman" w:eastAsia="仿宋_GB2312" w:cs="Times New Roman"/>
          <w:kern w:val="0"/>
          <w:sz w:val="32"/>
          <w:szCs w:val="32"/>
        </w:rPr>
        <w:t>检查对象范围</w:t>
      </w:r>
      <w:r>
        <w:rPr>
          <w:rFonts w:hint="default" w:ascii="Times New Roman" w:hAnsi="Times New Roman" w:eastAsia="仿宋_GB2312" w:cs="Times New Roman"/>
          <w:sz w:val="32"/>
          <w:szCs w:val="32"/>
          <w:shd w:val="clear" w:color="auto" w:fill="FFFFFF"/>
        </w:rPr>
        <w:t>涉及专业领域的，</w:t>
      </w:r>
      <w:r>
        <w:rPr>
          <w:rFonts w:hint="default" w:ascii="Times New Roman" w:hAnsi="Times New Roman" w:eastAsia="仿宋_GB2312" w:cs="Times New Roman"/>
          <w:kern w:val="0"/>
          <w:sz w:val="32"/>
          <w:szCs w:val="32"/>
        </w:rPr>
        <w:t>市场监督管理部门可以</w:t>
      </w:r>
      <w:r>
        <w:rPr>
          <w:rFonts w:hint="default" w:ascii="Times New Roman" w:hAnsi="Times New Roman" w:eastAsia="仿宋_GB2312" w:cs="Times New Roman"/>
          <w:sz w:val="32"/>
          <w:szCs w:val="32"/>
          <w:shd w:val="clear" w:color="auto" w:fill="FFFFFF"/>
        </w:rPr>
        <w:t>委托有资质的专业机构开展财务审计、调查咨询等工作，或者依法采用</w:t>
      </w:r>
      <w:r>
        <w:rPr>
          <w:rFonts w:hint="default" w:ascii="Times New Roman" w:hAnsi="Times New Roman" w:eastAsia="仿宋_GB2312" w:cs="Times New Roman"/>
          <w:kern w:val="0"/>
          <w:sz w:val="32"/>
          <w:szCs w:val="32"/>
        </w:rPr>
        <w:t>其他政府部门检查结论、司法机关生效文书和专业机构</w:t>
      </w:r>
      <w:r>
        <w:rPr>
          <w:rFonts w:hint="default" w:ascii="Times New Roman" w:hAnsi="Times New Roman" w:eastAsia="仿宋_GB2312" w:cs="Times New Roman"/>
          <w:sz w:val="32"/>
          <w:szCs w:val="32"/>
          <w:shd w:val="clear" w:color="auto" w:fill="FFFFFF"/>
        </w:rPr>
        <w:t>作出的鉴定结论。</w:t>
      </w:r>
    </w:p>
    <w:p>
      <w:pPr>
        <w:autoSpaceDE w:val="0"/>
        <w:autoSpaceDN w:val="0"/>
        <w:adjustRightInd w:val="0"/>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委托专业机构实施抽查检查的，市场监督管理部门应当加强业务指导和监督。</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市场监督管理部门对委托行为和采信行为的合法性负责，不对其他政府部门检查核查结果、法院文书以及专业机构结论本身的真实性、合法性负责。</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第二十五条  </w:t>
      </w:r>
      <w:r>
        <w:rPr>
          <w:rFonts w:hint="default" w:ascii="Times New Roman" w:hAnsi="Times New Roman" w:eastAsia="仿宋_GB2312" w:cs="Times New Roman"/>
          <w:sz w:val="32"/>
          <w:szCs w:val="32"/>
        </w:rPr>
        <w:t>市场监督管理部门及其执法检查人员 对检查对象实施检查时，应当切实履行法定监管职责，不得妨碍检查对象正常的生产经营活动，不得索取或者收受检查对象的财物，不得谋取其他利益，不得收取或变相收取费用。</w:t>
      </w:r>
    </w:p>
    <w:p>
      <w:pPr>
        <w:spacing w:line="586" w:lineRule="exact"/>
        <w:jc w:val="center"/>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第五章  抽查结果处理及运用</w:t>
      </w:r>
    </w:p>
    <w:p>
      <w:pPr>
        <w:autoSpaceDE w:val="0"/>
        <w:autoSpaceDN w:val="0"/>
        <w:adjustRightInd w:val="0"/>
        <w:spacing w:line="586"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黑体" w:cs="Times New Roman"/>
          <w:sz w:val="32"/>
          <w:szCs w:val="32"/>
        </w:rPr>
        <w:t xml:space="preserve">第二十六条  </w:t>
      </w:r>
      <w:r>
        <w:rPr>
          <w:rFonts w:hint="default" w:ascii="Times New Roman" w:hAnsi="Times New Roman" w:eastAsia="仿宋_GB2312" w:cs="Times New Roman"/>
          <w:kern w:val="0"/>
          <w:sz w:val="32"/>
          <w:szCs w:val="32"/>
        </w:rPr>
        <w:t>市场监督管理部门应当在每次抽查检查任务完成之日起20个工作日内，</w:t>
      </w:r>
      <w:r>
        <w:rPr>
          <w:rFonts w:hint="default" w:ascii="Times New Roman" w:hAnsi="Times New Roman" w:eastAsia="仿宋_GB2312" w:cs="Times New Roman"/>
          <w:sz w:val="32"/>
          <w:szCs w:val="32"/>
          <w:shd w:val="clear" w:color="auto" w:fill="FFFFFF"/>
        </w:rPr>
        <w:t>按照“谁检查、谁录入、谁公开”的原则，</w:t>
      </w:r>
      <w:r>
        <w:rPr>
          <w:rFonts w:hint="default" w:ascii="Times New Roman" w:hAnsi="Times New Roman" w:eastAsia="仿宋_GB2312" w:cs="Times New Roman"/>
          <w:color w:val="000000"/>
          <w:sz w:val="32"/>
          <w:szCs w:val="32"/>
        </w:rPr>
        <w:t>履行审批程序后，</w:t>
      </w:r>
      <w:r>
        <w:rPr>
          <w:rFonts w:hint="default" w:ascii="Times New Roman" w:hAnsi="Times New Roman" w:eastAsia="仿宋_GB2312" w:cs="Times New Roman"/>
          <w:kern w:val="0"/>
          <w:sz w:val="32"/>
          <w:szCs w:val="32"/>
        </w:rPr>
        <w:t>将抽查检查结果通过国家企业信用信息公示系统、专业抽查系统和部门网站进行公示；涉及市场主体的抽查检查结果，应当</w:t>
      </w:r>
      <w:r>
        <w:rPr>
          <w:rFonts w:hint="eastAsia" w:eastAsia="仿宋_GB2312" w:cs="Times New Roman"/>
          <w:kern w:val="0"/>
          <w:sz w:val="32"/>
          <w:szCs w:val="32"/>
          <w:lang w:eastAsia="zh-CN"/>
        </w:rPr>
        <w:t>登记</w:t>
      </w:r>
      <w:r>
        <w:rPr>
          <w:rFonts w:hint="default" w:ascii="Times New Roman" w:hAnsi="Times New Roman" w:eastAsia="仿宋_GB2312" w:cs="Times New Roman"/>
          <w:kern w:val="0"/>
          <w:sz w:val="32"/>
          <w:szCs w:val="32"/>
        </w:rPr>
        <w:t>于市场主体名下通过国家企业信用信息公示系统向社会公示。依法依规不适合公开的情形除外。</w:t>
      </w:r>
    </w:p>
    <w:p>
      <w:pPr>
        <w:spacing w:line="586"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已实施检查但未进行公示的，视为未完成抽查检查任务。</w:t>
      </w:r>
    </w:p>
    <w:p>
      <w:pPr>
        <w:spacing w:line="586"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因投诉举报、转办交办、数据监测等实施检查的，市场监督管理部门应当按照前款规定公示检查结果。</w:t>
      </w:r>
    </w:p>
    <w:p>
      <w:pPr>
        <w:autoSpaceDE w:val="0"/>
        <w:autoSpaceDN w:val="0"/>
        <w:adjustRightInd w:val="0"/>
        <w:spacing w:line="586"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黑体" w:cs="Times New Roman"/>
          <w:sz w:val="32"/>
          <w:szCs w:val="32"/>
        </w:rPr>
        <w:t>第二十七条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w:t>
      </w:r>
      <w:r>
        <w:rPr>
          <w:rFonts w:hint="default" w:ascii="Times New Roman" w:hAnsi="Times New Roman" w:eastAsia="仿宋_GB2312" w:cs="Times New Roman"/>
          <w:color w:val="000000"/>
          <w:sz w:val="32"/>
          <w:szCs w:val="32"/>
        </w:rPr>
        <w:t>抽查检查结果信息包括未发现问题、未按规定公示应当公示的信息、公示信息隐瞒真实情况弄虚作假、通过登记的住所（经营场所）无法联系、发现问题已责令改正、不配合检查情节严重、未发现开展本次抽查涉及的经营活动、发现问题待后续处理等8类。</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第二十八条  </w:t>
      </w:r>
      <w:r>
        <w:rPr>
          <w:rFonts w:hint="default" w:ascii="Times New Roman" w:hAnsi="Times New Roman" w:eastAsia="仿宋_GB2312" w:cs="Times New Roman"/>
          <w:color w:val="000000"/>
          <w:sz w:val="32"/>
          <w:szCs w:val="32"/>
        </w:rPr>
        <w:t>被检查对象</w:t>
      </w:r>
      <w:r>
        <w:rPr>
          <w:rFonts w:hint="default" w:ascii="Times New Roman" w:hAnsi="Times New Roman" w:eastAsia="仿宋_GB2312" w:cs="Times New Roman"/>
          <w:sz w:val="32"/>
          <w:szCs w:val="32"/>
        </w:rPr>
        <w:t>有下列情形之一的，可视为“不予配合情节严重”：</w:t>
      </w:r>
    </w:p>
    <w:p>
      <w:pPr>
        <w:tabs>
          <w:tab w:val="left" w:pos="891"/>
        </w:tabs>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（一）拒绝、阻挠、妨碍检查人员或其委托的专业机构进入被检查场所的：</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（二）拒绝向检查人员或其委托的专业机构提供相关材料的；</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（三）拒绝接受、阻挠、妨碍询问调查的；</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（四）其他阻扰、妨碍检查工作的行为，致使</w:t>
      </w:r>
      <w:bookmarkStart w:id="0" w:name="_GoBack"/>
      <w:bookmarkEnd w:id="0"/>
      <w:r>
        <w:rPr>
          <w:rFonts w:hint="default" w:ascii="Times New Roman" w:hAnsi="Times New Roman" w:eastAsia="仿宋_GB2312" w:cs="Times New Roman"/>
          <w:sz w:val="32"/>
          <w:szCs w:val="32"/>
        </w:rPr>
        <w:t>检查工作无法正常进行的。</w:t>
      </w:r>
    </w:p>
    <w:p>
      <w:pPr>
        <w:spacing w:line="586"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被检查对象不予配合检查的，市场监管部门除将企业不予配合的情况认定为“不予配合情节严重”对外公示以外，对于具备企业法人条件的全民所有制企业、集体所有制企业、联营企业、外商投资企业（包括中外合资经营企业、中外合作经营企业、外资企业）和其他企业登记事项的检查，还可以根据《中华人民共和国企业法人登记管理条例施行细则》第六十条第一款第十项的规定，责令其接受监督检查和提供真实情况，予以警告，处以1万元以下的罚款。</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第二十九条  </w:t>
      </w:r>
      <w:r>
        <w:rPr>
          <w:rFonts w:hint="default" w:ascii="Times New Roman" w:hAnsi="Times New Roman" w:eastAsia="仿宋_GB2312" w:cs="Times New Roman"/>
          <w:sz w:val="32"/>
          <w:szCs w:val="32"/>
        </w:rPr>
        <w:t>抽查检查中发现问题的，市场监督管理部门应当按照“谁管辖、谁负责”的原则实施后续监管。法律法规另有明确规定的，按其规定执行。</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上级市场监督管理部门可以委托下级市场监督管理部门对本级管辖的市场主体进行后续监管。</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第三十条  </w:t>
      </w:r>
      <w:r>
        <w:rPr>
          <w:rFonts w:hint="default" w:ascii="Times New Roman" w:hAnsi="Times New Roman" w:eastAsia="仿宋_GB2312" w:cs="Times New Roman"/>
          <w:sz w:val="32"/>
          <w:szCs w:val="32"/>
        </w:rPr>
        <w:t>市场监督管理部门对抽查检查发现的违法违规行为进行立案查处的，查处结果应当自作出行政处罚决定之日起20个工作日内通过国家企业信用信息公示系统向社会公示。</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第三十一条  </w:t>
      </w:r>
      <w:r>
        <w:rPr>
          <w:rFonts w:hint="default" w:ascii="Times New Roman" w:hAnsi="Times New Roman" w:eastAsia="仿宋_GB2312" w:cs="Times New Roman"/>
          <w:sz w:val="32"/>
          <w:szCs w:val="32"/>
        </w:rPr>
        <w:t>市场监督管理部门在抽查检查中发现市场主体存在被列入经营异常名录或者被标记为经营异常状态情形的，应当依法列入经营异常名录或者标记为经营异常状态，并通过国家企业信用信息公示系统向社会公示。</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第三十二条 </w:t>
      </w:r>
      <w:r>
        <w:rPr>
          <w:rFonts w:hint="default" w:ascii="Times New Roman" w:hAnsi="Times New Roman" w:eastAsia="仿宋_GB2312" w:cs="Times New Roman"/>
          <w:sz w:val="32"/>
          <w:szCs w:val="32"/>
        </w:rPr>
        <w:t xml:space="preserve"> 市场监督管理部门在抽查检查中发现市场主体存在被列入严重违法失信企业名单情形的，应当依法列入严重违法失信企业名单，并通过国家企业信用信息公示系统向社会公示。</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第三十三条</w:t>
      </w:r>
      <w:r>
        <w:rPr>
          <w:rFonts w:hint="default" w:ascii="Times New Roman" w:hAnsi="Times New Roman" w:eastAsia="仿宋_GB2312" w:cs="Times New Roman"/>
          <w:sz w:val="32"/>
          <w:szCs w:val="32"/>
        </w:rPr>
        <w:t xml:space="preserve">  市场监督管理部门在抽查检查中发现被检查对象主体存在其他违法行为的，应当移送有管辖权的部门依法查处。涉嫌犯罪的移送司法机关。</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第三十四条  </w:t>
      </w:r>
      <w:r>
        <w:rPr>
          <w:rFonts w:hint="default" w:ascii="Times New Roman" w:hAnsi="Times New Roman" w:eastAsia="仿宋_GB2312" w:cs="Times New Roman"/>
          <w:sz w:val="32"/>
          <w:szCs w:val="32"/>
        </w:rPr>
        <w:t>市场监督管理部门在日常行政管理中应当查询和使用抽查检查结果信息，对根据抽查结果被列入经营异常名录、严重违法失信企业名单的市场主体，严格依法落实内部联合惩戒。</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第三十五条 </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bCs/>
          <w:kern w:val="28"/>
          <w:sz w:val="32"/>
          <w:szCs w:val="32"/>
        </w:rPr>
        <w:t>市场监督管理部门应当</w:t>
      </w:r>
      <w:r>
        <w:rPr>
          <w:rFonts w:hint="default" w:ascii="Times New Roman" w:hAnsi="Times New Roman" w:eastAsia="仿宋_GB2312" w:cs="Times New Roman"/>
          <w:sz w:val="32"/>
          <w:szCs w:val="32"/>
        </w:rPr>
        <w:t>建立双随机抽查检查结果部门间共享交换和互认互用机制，实现“双随机、一公开”监管与信用监管有效衔接，对抽查检查发现的严重违法失信行为依法实施联合惩戒。</w:t>
      </w:r>
    </w:p>
    <w:p>
      <w:pPr>
        <w:spacing w:line="586" w:lineRule="exact"/>
        <w:ind w:firstLine="640" w:firstLineChars="200"/>
        <w:jc w:val="both"/>
        <w:rPr>
          <w:rFonts w:hint="default" w:ascii="Times New Roman" w:hAnsi="Times New Roman" w:eastAsia="仿宋_GB2312" w:cs="Times New Roman"/>
          <w:sz w:val="32"/>
          <w:szCs w:val="32"/>
        </w:rPr>
      </w:pPr>
    </w:p>
    <w:p>
      <w:pPr>
        <w:spacing w:line="586" w:lineRule="exact"/>
        <w:jc w:val="center"/>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第六章  督查考核</w:t>
      </w:r>
    </w:p>
    <w:p>
      <w:pPr>
        <w:spacing w:line="586"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第三十六条</w:t>
      </w:r>
      <w:r>
        <w:rPr>
          <w:rFonts w:hint="default" w:ascii="Times New Roman" w:hAnsi="Times New Roman" w:eastAsia="仿宋_GB2312" w:cs="Times New Roman"/>
          <w:sz w:val="32"/>
          <w:szCs w:val="32"/>
        </w:rPr>
        <w:t xml:space="preserve">  县市场监督管理部门负责对本局系统“双随机、一公开”监管实施工作指导、督促和检查。通过督查检查、网络监测、抽查复查、效能评估等方式进行考核。</w:t>
      </w:r>
    </w:p>
    <w:p>
      <w:pPr>
        <w:spacing w:line="586" w:lineRule="exact"/>
        <w:jc w:val="both"/>
        <w:rPr>
          <w:rFonts w:hint="default" w:ascii="Times New Roman" w:hAnsi="Times New Roman" w:eastAsia="黑体" w:cs="Times New Roman"/>
          <w:sz w:val="32"/>
          <w:szCs w:val="32"/>
        </w:rPr>
      </w:pPr>
    </w:p>
    <w:p>
      <w:pPr>
        <w:spacing w:line="586" w:lineRule="exact"/>
        <w:jc w:val="center"/>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第七章  法律责任</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第三十七条  </w:t>
      </w:r>
      <w:r>
        <w:rPr>
          <w:rFonts w:hint="default" w:ascii="Times New Roman" w:hAnsi="Times New Roman" w:eastAsia="仿宋_GB2312" w:cs="Times New Roman"/>
          <w:sz w:val="32"/>
          <w:szCs w:val="32"/>
        </w:rPr>
        <w:t>市场监督管理部门未按照本细则的有关规定履行职责的，由上一级市场监督管理部门责令改正；情节严重的，对负有责任的主管人员和其他直接责任人员依照有关规定予以处理。</w:t>
      </w:r>
    </w:p>
    <w:p>
      <w:pPr>
        <w:autoSpaceDE w:val="0"/>
        <w:autoSpaceDN w:val="0"/>
        <w:adjustRightInd w:val="0"/>
        <w:spacing w:line="586"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第三十八条  </w:t>
      </w:r>
      <w:r>
        <w:rPr>
          <w:rFonts w:hint="default" w:ascii="Times New Roman" w:hAnsi="Times New Roman" w:eastAsia="仿宋_GB2312" w:cs="Times New Roman"/>
          <w:kern w:val="0"/>
          <w:sz w:val="32"/>
          <w:szCs w:val="32"/>
        </w:rPr>
        <w:t>市场监督管理部门及其执法检查人员在“双随机、一公开”监管中有下列情形之一的，应当承担行政责任：</w:t>
      </w:r>
    </w:p>
    <w:p>
      <w:pPr>
        <w:autoSpaceDE w:val="0"/>
        <w:autoSpaceDN w:val="0"/>
        <w:adjustRightInd w:val="0"/>
        <w:spacing w:line="586"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（一）未按要求进行抽查检查，造成不良后果的；</w:t>
      </w:r>
    </w:p>
    <w:p>
      <w:pPr>
        <w:autoSpaceDE w:val="0"/>
        <w:autoSpaceDN w:val="0"/>
        <w:adjustRightInd w:val="0"/>
        <w:spacing w:line="586"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（二）未依法及时公示抽查检查结果，造成不良后果的；</w:t>
      </w:r>
    </w:p>
    <w:p>
      <w:pPr>
        <w:autoSpaceDE w:val="0"/>
        <w:autoSpaceDN w:val="0"/>
        <w:adjustRightInd w:val="0"/>
        <w:spacing w:line="586"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（三）对抽查检查中发现的涉嫌犯罪案件，未依法移送公安机关处理的；</w:t>
      </w:r>
    </w:p>
    <w:p>
      <w:pPr>
        <w:autoSpaceDE w:val="0"/>
        <w:autoSpaceDN w:val="0"/>
        <w:adjustRightInd w:val="0"/>
        <w:spacing w:line="586"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（四）不执行或者拖延执行抽查任务的；</w:t>
      </w:r>
    </w:p>
    <w:p>
      <w:pPr>
        <w:autoSpaceDE w:val="0"/>
        <w:autoSpaceDN w:val="0"/>
        <w:adjustRightInd w:val="0"/>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（五）其他依法依规应当追究责任的。</w:t>
      </w:r>
    </w:p>
    <w:p>
      <w:pPr>
        <w:autoSpaceDE w:val="0"/>
        <w:autoSpaceDN w:val="0"/>
        <w:adjustRightInd w:val="0"/>
        <w:spacing w:line="586"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第三十九条  </w:t>
      </w:r>
      <w:r>
        <w:rPr>
          <w:rFonts w:hint="default" w:ascii="Times New Roman" w:hAnsi="Times New Roman" w:eastAsia="仿宋_GB2312" w:cs="Times New Roman"/>
          <w:kern w:val="0"/>
          <w:sz w:val="32"/>
          <w:szCs w:val="32"/>
        </w:rPr>
        <w:t>市场监督管理部门及其执法检查人员在“双随机、一公开”监管中存在下列情形之一、相关市场主体出现问题的，可以免除行政责任：</w:t>
      </w:r>
    </w:p>
    <w:p>
      <w:pPr>
        <w:autoSpaceDE w:val="0"/>
        <w:autoSpaceDN w:val="0"/>
        <w:adjustRightInd w:val="0"/>
        <w:spacing w:line="586"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（一）按照法律法规规章规定和抽查工作计划安排，已履行抽查检查职责的；</w:t>
      </w:r>
    </w:p>
    <w:p>
      <w:pPr>
        <w:autoSpaceDE w:val="0"/>
        <w:autoSpaceDN w:val="0"/>
        <w:adjustRightInd w:val="0"/>
        <w:spacing w:line="586"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（二）因现有专业技术手段限制不能发现所存在问题的；</w:t>
      </w:r>
    </w:p>
    <w:p>
      <w:pPr>
        <w:autoSpaceDE w:val="0"/>
        <w:autoSpaceDN w:val="0"/>
        <w:adjustRightInd w:val="0"/>
        <w:spacing w:line="586"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（三）检查对象发生事故，性质上与执法检查人员的抽查检查不存在因果关系的；</w:t>
      </w:r>
    </w:p>
    <w:p>
      <w:pPr>
        <w:autoSpaceDE w:val="0"/>
        <w:autoSpaceDN w:val="0"/>
        <w:adjustRightInd w:val="0"/>
        <w:spacing w:line="586"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（四）因被委托进行检查的专业机构出具虚假报告等，导致错误判定或者处理的；</w:t>
      </w:r>
    </w:p>
    <w:p>
      <w:pPr>
        <w:autoSpaceDE w:val="0"/>
        <w:autoSpaceDN w:val="0"/>
        <w:adjustRightInd w:val="0"/>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（五）其他依法依规不应当追究责任的。</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第四十条 </w:t>
      </w:r>
      <w:r>
        <w:rPr>
          <w:rFonts w:hint="default" w:ascii="Times New Roman" w:hAnsi="Times New Roman" w:eastAsia="仿宋_GB2312" w:cs="Times New Roman"/>
          <w:sz w:val="32"/>
          <w:szCs w:val="32"/>
        </w:rPr>
        <w:t xml:space="preserve"> 执法检查人员在“双随机、一公开”监管中存在滥用职权、玩忽职守、徇私舞弊等行为的，应当依法依纪追究责任。</w:t>
      </w:r>
    </w:p>
    <w:p>
      <w:pPr>
        <w:spacing w:line="586"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第八章  附 则</w:t>
      </w:r>
    </w:p>
    <w:p>
      <w:pPr>
        <w:spacing w:line="586"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第四十一条 </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市场监督管理部门应当将抽查检查过程中产生的材料、文书、证据等资料整理归档，不得擅自涂改、伪造、损毁档案资料、数据信息。</w:t>
      </w:r>
    </w:p>
    <w:p>
      <w:pPr>
        <w:spacing w:line="586"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第四十二条  </w:t>
      </w:r>
      <w:r>
        <w:rPr>
          <w:rFonts w:hint="default" w:ascii="Times New Roman" w:hAnsi="Times New Roman" w:eastAsia="仿宋_GB2312" w:cs="Times New Roman"/>
          <w:sz w:val="32"/>
          <w:szCs w:val="32"/>
        </w:rPr>
        <w:t>抽查检查相关文书样式由自治区市场监督管理局另行统一制定。</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第四十三条 </w:t>
      </w:r>
      <w:r>
        <w:rPr>
          <w:rFonts w:hint="default" w:ascii="Times New Roman" w:hAnsi="Times New Roman" w:eastAsia="仿宋_GB2312" w:cs="Times New Roman"/>
          <w:sz w:val="32"/>
          <w:szCs w:val="32"/>
        </w:rPr>
        <w:t xml:space="preserve"> 本细则由资源县市场监督管理局负责解释。</w:t>
      </w:r>
    </w:p>
    <w:p>
      <w:pPr>
        <w:pStyle w:val="5"/>
        <w:ind w:firstLine="640" w:firstLineChars="200"/>
        <w:jc w:val="both"/>
        <w:rPr>
          <w:rFonts w:hint="eastAsia"/>
        </w:rPr>
      </w:pPr>
      <w:r>
        <w:rPr>
          <w:rFonts w:hint="default" w:ascii="Times New Roman" w:hAnsi="Times New Roman" w:eastAsia="黑体" w:cs="Times New Roman"/>
          <w:sz w:val="32"/>
          <w:szCs w:val="32"/>
        </w:rPr>
        <w:t>第四十四条</w:t>
      </w:r>
      <w:r>
        <w:rPr>
          <w:rFonts w:hint="default" w:ascii="Times New Roman" w:hAnsi="Times New Roman" w:eastAsia="仿宋_GB2312" w:cs="Times New Roman"/>
          <w:sz w:val="32"/>
          <w:szCs w:val="32"/>
        </w:rPr>
        <w:t xml:space="preserve">  本细则自印发之日起施行。</w:t>
      </w:r>
    </w:p>
    <w:p>
      <w:pPr>
        <w:pStyle w:val="5"/>
        <w:jc w:val="both"/>
        <w:rPr>
          <w:rFonts w:hint="eastAsia"/>
        </w:rPr>
      </w:pPr>
    </w:p>
    <w:p>
      <w:pPr>
        <w:pStyle w:val="5"/>
        <w:jc w:val="both"/>
        <w:rPr>
          <w:rFonts w:hint="eastAsia"/>
        </w:rPr>
      </w:pPr>
    </w:p>
    <w:p>
      <w:pPr>
        <w:pStyle w:val="5"/>
        <w:jc w:val="both"/>
        <w:rPr>
          <w:rFonts w:hint="eastAsia"/>
        </w:rPr>
      </w:pPr>
    </w:p>
    <w:p>
      <w:pPr>
        <w:pStyle w:val="5"/>
        <w:jc w:val="both"/>
        <w:rPr>
          <w:rFonts w:hint="eastAsia"/>
        </w:rPr>
      </w:pPr>
    </w:p>
    <w:p>
      <w:pPr>
        <w:pStyle w:val="5"/>
        <w:jc w:val="both"/>
        <w:rPr>
          <w:rFonts w:hint="eastAsia"/>
        </w:rPr>
      </w:pPr>
    </w:p>
    <w:p>
      <w:pPr>
        <w:pStyle w:val="5"/>
        <w:jc w:val="both"/>
        <w:rPr>
          <w:rFonts w:hint="eastAsia"/>
        </w:rPr>
      </w:pPr>
    </w:p>
    <w:p>
      <w:pPr>
        <w:pStyle w:val="5"/>
        <w:jc w:val="both"/>
        <w:rPr>
          <w:rFonts w:hint="eastAsia"/>
        </w:rPr>
      </w:pPr>
    </w:p>
    <w:p>
      <w:pPr>
        <w:pStyle w:val="5"/>
        <w:jc w:val="both"/>
        <w:rPr>
          <w:rFonts w:hint="eastAsia"/>
        </w:rPr>
      </w:pPr>
    </w:p>
    <w:p>
      <w:pPr>
        <w:pStyle w:val="5"/>
        <w:jc w:val="both"/>
        <w:rPr>
          <w:rFonts w:hint="eastAsia"/>
        </w:rPr>
      </w:pPr>
    </w:p>
    <w:p>
      <w:pPr>
        <w:pStyle w:val="5"/>
        <w:jc w:val="both"/>
        <w:rPr>
          <w:rFonts w:hint="eastAsia"/>
        </w:rPr>
      </w:pPr>
    </w:p>
    <w:p>
      <w:pPr>
        <w:pStyle w:val="5"/>
        <w:jc w:val="both"/>
        <w:rPr>
          <w:rFonts w:hint="eastAsia"/>
        </w:rPr>
      </w:pPr>
    </w:p>
    <w:p>
      <w:pPr>
        <w:pStyle w:val="5"/>
        <w:jc w:val="both"/>
        <w:rPr>
          <w:rFonts w:hint="eastAsia"/>
        </w:rPr>
      </w:pPr>
    </w:p>
    <w:p>
      <w:pPr>
        <w:pStyle w:val="5"/>
        <w:jc w:val="both"/>
        <w:rPr>
          <w:rFonts w:hint="eastAsia"/>
        </w:rPr>
      </w:pPr>
    </w:p>
    <w:p>
      <w:pPr>
        <w:pStyle w:val="5"/>
        <w:jc w:val="both"/>
        <w:rPr>
          <w:rFonts w:hint="eastAsia"/>
        </w:rPr>
      </w:pPr>
    </w:p>
    <w:p>
      <w:pPr>
        <w:pStyle w:val="5"/>
        <w:jc w:val="both"/>
        <w:rPr>
          <w:rFonts w:hint="eastAsia"/>
        </w:rPr>
      </w:pPr>
    </w:p>
    <w:p>
      <w:pPr>
        <w:pStyle w:val="5"/>
        <w:jc w:val="both"/>
        <w:rPr>
          <w:rFonts w:hint="eastAsia"/>
        </w:rPr>
      </w:pPr>
    </w:p>
    <w:p>
      <w:pPr>
        <w:pStyle w:val="5"/>
        <w:jc w:val="both"/>
        <w:rPr>
          <w:rFonts w:hint="eastAsia"/>
        </w:rPr>
      </w:pPr>
    </w:p>
    <w:p>
      <w:pPr>
        <w:pStyle w:val="5"/>
        <w:jc w:val="both"/>
        <w:rPr>
          <w:rFonts w:hint="eastAsia"/>
        </w:rPr>
      </w:pPr>
    </w:p>
    <w:p>
      <w:pPr>
        <w:pStyle w:val="5"/>
        <w:jc w:val="both"/>
        <w:rPr>
          <w:rFonts w:hint="eastAsia"/>
        </w:rPr>
      </w:pPr>
    </w:p>
    <w:p>
      <w:pPr>
        <w:pStyle w:val="5"/>
        <w:jc w:val="both"/>
        <w:rPr>
          <w:rFonts w:hint="eastAsia"/>
        </w:rPr>
      </w:pPr>
    </w:p>
    <w:p>
      <w:pPr>
        <w:pStyle w:val="5"/>
        <w:jc w:val="both"/>
        <w:rPr>
          <w:rFonts w:hint="eastAsia"/>
        </w:rPr>
      </w:pPr>
    </w:p>
    <w:p>
      <w:pPr>
        <w:pStyle w:val="5"/>
        <w:jc w:val="both"/>
        <w:rPr>
          <w:rFonts w:hint="eastAsia"/>
        </w:rPr>
      </w:pPr>
    </w:p>
    <w:p>
      <w:pPr>
        <w:pStyle w:val="5"/>
        <w:jc w:val="both"/>
        <w:rPr>
          <w:rFonts w:hint="eastAsia"/>
        </w:rPr>
      </w:pPr>
    </w:p>
    <w:p>
      <w:pPr>
        <w:pStyle w:val="5"/>
        <w:jc w:val="both"/>
        <w:rPr>
          <w:rFonts w:hint="eastAsia"/>
        </w:rPr>
      </w:pPr>
    </w:p>
    <w:p>
      <w:pPr>
        <w:pStyle w:val="5"/>
        <w:jc w:val="both"/>
        <w:rPr>
          <w:rFonts w:hint="eastAsia"/>
        </w:rPr>
      </w:pPr>
    </w:p>
    <w:p>
      <w:pPr>
        <w:pStyle w:val="5"/>
        <w:jc w:val="both"/>
        <w:rPr>
          <w:rFonts w:hint="eastAsia"/>
        </w:rPr>
      </w:pPr>
    </w:p>
    <w:sectPr>
      <w:pgSz w:w="11906" w:h="16838"/>
      <w:pgMar w:top="2098"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NGQ5MmMyOTFkNjQ2MTZiYzUxMzhmOTIwNWY3MjAifQ=="/>
  </w:docVars>
  <w:rsids>
    <w:rsidRoot w:val="00000000"/>
    <w:rsid w:val="174329A9"/>
    <w:rsid w:val="1A991545"/>
    <w:rsid w:val="26797B39"/>
    <w:rsid w:val="50CB34EE"/>
    <w:rsid w:val="75DE663D"/>
    <w:rsid w:val="7DDF4401"/>
    <w:rsid w:val="7E986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cs="宋体"/>
      <w:b/>
      <w:bCs/>
      <w:sz w:val="32"/>
      <w:szCs w:val="32"/>
    </w:rPr>
  </w:style>
  <w:style w:type="paragraph" w:customStyle="1" w:styleId="5">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5917</Words>
  <Characters>5938</Characters>
  <Lines>0</Lines>
  <Paragraphs>0</Paragraphs>
  <TotalTime>195</TotalTime>
  <ScaleCrop>false</ScaleCrop>
  <LinksUpToDate>false</LinksUpToDate>
  <CharactersWithSpaces>6053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2023-04-26T09:43:00Z</dcterms:created>
  <dc:creator>Administrator</dc:creator>
  <cp:lastModifiedBy>WPS_1655450356</cp:lastModifiedBy>
  <cp:lastPrinted>2023-04-27T02:37:00Z</cp:lastPrinted>
  <dcterms:modified xsi:type="dcterms:W3CDTF">2023-05-04T07:10:03Z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173C9C81EC884AE1B4200B12D0985B27_12</vt:lpwstr>
  </property>
</Properties>
</file>