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58B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default" w:ascii="宋体" w:hAnsi="宋体" w:eastAsia="黑体" w:cs="Times New Roman"/>
          <w:sz w:val="32"/>
          <w:szCs w:val="32"/>
          <w:lang w:val="en-US" w:eastAsia="zh-CN"/>
        </w:rPr>
      </w:pPr>
      <w:r>
        <w:rPr>
          <w:rFonts w:hint="eastAsia" w:ascii="宋体" w:hAnsi="宋体" w:eastAsia="黑体" w:cs="Times New Roman"/>
          <w:sz w:val="32"/>
          <w:szCs w:val="32"/>
          <w:lang w:val="en-US" w:eastAsia="zh-CN"/>
        </w:rPr>
        <w:t>附件13-1</w:t>
      </w:r>
    </w:p>
    <w:p w14:paraId="251F26B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3A24095D">
      <w:pPr>
        <w:keepNext w:val="0"/>
        <w:keepLines w:val="0"/>
        <w:pageBreakBefore w:val="0"/>
        <w:widowControl w:val="0"/>
        <w:tabs>
          <w:tab w:val="left" w:pos="2310"/>
        </w:tabs>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根据《广西壮族自治区人力资源和社会保障厅 广西壮族自治区财政厅 广西壮族自治区扶贫开发办公室关于进一步做好扶贫公益性岗位开发助力脱贫攻坚的通知》（桂人社规（2019）13号）第一条 加大扶贫公益性岗位开发力度（二）安置对象 扶贫公益性岗位（现乡村公益性岗位）的安置</w:t>
      </w:r>
      <w:bookmarkStart w:id="0" w:name="_GoBack"/>
      <w:bookmarkEnd w:id="0"/>
      <w:r>
        <w:rPr>
          <w:rFonts w:hint="eastAsia" w:ascii="仿宋_GB2312" w:hAnsi="仿宋_GB2312" w:eastAsia="仿宋_GB2312" w:cs="仿宋_GB2312"/>
          <w:sz w:val="28"/>
          <w:szCs w:val="28"/>
          <w:lang w:val="en-US" w:eastAsia="zh-CN"/>
        </w:rPr>
        <w:t>对象是农村建档立卡贫困家庭有劳动能力和就业意愿、无业可扶、无力脱贫的劳动力和</w:t>
      </w: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《资源县人力资源和社会保障局关于印发 资源县人力资源和社会保障局开展2025年度乡村公益性岗位开发相关工作实施方案的通知》（资人社发</w:t>
      </w:r>
      <w:r>
        <w:rPr>
          <w:rFonts w:hint="eastAsia" w:ascii="Times New Roman" w:hAnsi="Times New Roman" w:eastAsia="仿宋_GB2312" w:cs="Times New Roman"/>
          <w:snapToGrid/>
          <w:color w:val="auto"/>
          <w:spacing w:val="0"/>
          <w:w w:val="100"/>
          <w:kern w:val="2"/>
          <w:position w:val="0"/>
          <w:sz w:val="28"/>
          <w:szCs w:val="28"/>
          <w:u w:val="none"/>
          <w:shd w:val="clear" w:color="auto" w:fill="auto"/>
          <w:lang w:val="en-US" w:eastAsia="zh-CN" w:bidi="zh-TW"/>
        </w:rPr>
        <w:t>（2024）37</w:t>
      </w: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号）第二条 对象及实施时限 乡村公益性岗位的安置对象：符合条件的脱贫人口、易地搬迁安置人口。特别是安置其中的弱劳力、半劳力上岗，动态调整安置对象条件。各乡（镇）可根据脱贫家庭实际情况，安置脱贫家庭有劳动能力和就业意愿、无业可扶、无力脱贫的劳动力。</w:t>
      </w:r>
    </w:p>
    <w:p w14:paraId="2F3F4C43">
      <w:pPr>
        <w:keepNext w:val="0"/>
        <w:keepLines w:val="0"/>
        <w:pageBreakBefore w:val="0"/>
        <w:widowControl w:val="0"/>
        <w:tabs>
          <w:tab w:val="left" w:pos="2310"/>
        </w:tabs>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snapToGrid/>
          <w:color w:val="000000"/>
          <w:spacing w:val="0"/>
          <w:w w:val="100"/>
          <w:kern w:val="2"/>
          <w:position w:val="0"/>
          <w:sz w:val="28"/>
          <w:szCs w:val="28"/>
          <w:u w:val="none"/>
          <w:shd w:val="clear" w:color="auto" w:fill="auto"/>
          <w:lang w:val="en-US" w:eastAsia="zh-CN" w:bidi="zh-TW"/>
        </w:rPr>
        <w:t>无业可扶的脱贫劳动力在人社乡村公益性岗位期间</w:t>
      </w:r>
      <w:r>
        <w:rPr>
          <w:rFonts w:hint="eastAsia" w:ascii="仿宋_GB2312" w:hAnsi="仿宋_GB2312" w:eastAsia="仿宋_GB2312" w:cs="仿宋_GB2312"/>
          <w:sz w:val="28"/>
          <w:szCs w:val="28"/>
          <w:lang w:val="en-US" w:eastAsia="zh-CN"/>
        </w:rPr>
        <w:t>不能从事个体经营或创办企业，并已领取营业执照或办理其他组织法定登记手续，本人为法定代表人，股东（合伙人）或负责人。</w:t>
      </w:r>
    </w:p>
    <w:p w14:paraId="1B092C4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本单位承诺在使用人社乡村公益性岗位人员期间，管理好本单位人社乡村公益性岗位人员不得从事个体经营或创办企业，不得成为</w:t>
      </w:r>
      <w:r>
        <w:rPr>
          <w:rFonts w:hint="eastAsia" w:ascii="仿宋_GB2312" w:hAnsi="仿宋_GB2312" w:eastAsia="仿宋_GB2312" w:cs="仿宋_GB2312"/>
          <w:sz w:val="28"/>
          <w:szCs w:val="28"/>
        </w:rPr>
        <w:t>企业或合作社注册</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法定代表人或股东（合伙人）</w:t>
      </w:r>
      <w:r>
        <w:rPr>
          <w:rFonts w:hint="eastAsia" w:ascii="仿宋_GB2312" w:hAnsi="仿宋_GB2312" w:eastAsia="仿宋_GB2312" w:cs="仿宋_GB2312"/>
          <w:sz w:val="28"/>
          <w:szCs w:val="28"/>
          <w:lang w:val="en-US" w:eastAsia="zh-CN"/>
        </w:rPr>
        <w:t>（管理员）。如发生管理不到位的情况，本单位自行负责人社乡村公益性岗位人员的岗位补贴（工资）和意外险，并承担相关责任。</w:t>
      </w:r>
    </w:p>
    <w:p w14:paraId="03172023">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承诺单位（盖章）：</w:t>
      </w:r>
    </w:p>
    <w:p w14:paraId="0024A61F">
      <w:pPr>
        <w:pStyle w:val="4"/>
        <w:rPr>
          <w:rFonts w:hint="eastAsia"/>
          <w:lang w:val="en-US" w:eastAsia="zh-CN"/>
        </w:rPr>
      </w:pPr>
    </w:p>
    <w:p w14:paraId="18597934">
      <w:pPr>
        <w:jc w:val="right"/>
        <w:rPr>
          <w:sz w:val="20"/>
          <w:szCs w:val="22"/>
        </w:rPr>
      </w:pPr>
      <w:r>
        <w:rPr>
          <w:rFonts w:hint="eastAsia" w:ascii="仿宋_GB2312" w:hAnsi="仿宋_GB2312" w:eastAsia="仿宋_GB2312" w:cs="仿宋_GB2312"/>
          <w:sz w:val="28"/>
          <w:szCs w:val="28"/>
          <w:lang w:val="en-US" w:eastAsia="zh-CN"/>
        </w:rPr>
        <w:t>年    月    日</w:t>
      </w:r>
    </w:p>
    <w:sectPr>
      <w:pgSz w:w="11906" w:h="16838"/>
      <w:pgMar w:top="850" w:right="1236" w:bottom="85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1ADF"/>
    <w:rsid w:val="19BF1512"/>
    <w:rsid w:val="1F073974"/>
    <w:rsid w:val="314B0054"/>
    <w:rsid w:val="317E1ADF"/>
    <w:rsid w:val="4F357A5C"/>
    <w:rsid w:val="554715D9"/>
    <w:rsid w:val="6CC35D4C"/>
    <w:rsid w:val="72B54695"/>
    <w:rsid w:val="78AB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UserStyle_0"/>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597</Characters>
  <Lines>0</Lines>
  <Paragraphs>0</Paragraphs>
  <TotalTime>0</TotalTime>
  <ScaleCrop>false</ScaleCrop>
  <LinksUpToDate>false</LinksUpToDate>
  <CharactersWithSpaces>617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2024-11-13T03:39:00Z</dcterms:created>
  <dc:creator> 善忘 </dc:creator>
  <cp:lastModifiedBy> 善忘 </cp:lastModifiedBy>
  <cp:lastPrinted>2024-11-13T03:43:00Z</cp:lastPrinted>
  <dcterms:modified xsi:type="dcterms:W3CDTF">2024-12-11T01:55:38Z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2F4E7417A0B244DEB3B06A17A9F68506_13</vt:lpwstr>
  </property>
</Properties>
</file>