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0"/>
        <w:rPr>
          <w:rFonts w:hint="default" w:ascii="Times New Roman" w:hAnsi="Times New Roman" w:eastAsia="方正小标宋_GBK" w:cs="Times New Roman"/>
          <w:snapToGrid w:val="0"/>
          <w:color w:val="000000"/>
          <w:sz w:val="44"/>
          <w:szCs w:val="44"/>
          <w:highlight w:val="none"/>
        </w:rPr>
      </w:pPr>
      <w:r>
        <w:rPr>
          <w:rFonts w:hint="default" w:ascii="Times New Roman" w:hAnsi="Times New Roman" w:eastAsia="方正小标宋_GBK" w:cs="Times New Roman"/>
          <w:snapToGrid w:val="0"/>
          <w:color w:val="000000"/>
          <w:sz w:val="44"/>
          <w:szCs w:val="44"/>
          <w:highlight w:val="none"/>
          <w:lang w:val="en-US" w:eastAsia="zh-CN"/>
        </w:rPr>
        <w:t>资源</w:t>
      </w:r>
      <w:r>
        <w:rPr>
          <w:rFonts w:hint="default" w:ascii="Times New Roman" w:hAnsi="Times New Roman" w:eastAsia="方正小标宋_GBK" w:cs="Times New Roman"/>
          <w:snapToGrid w:val="0"/>
          <w:color w:val="000000"/>
          <w:sz w:val="44"/>
          <w:szCs w:val="44"/>
          <w:highlight w:val="none"/>
          <w:lang w:eastAsia="zh-CN"/>
        </w:rPr>
        <w:t>县</w:t>
      </w:r>
      <w:r>
        <w:rPr>
          <w:rFonts w:hint="default" w:ascii="Times New Roman" w:hAnsi="Times New Roman" w:eastAsia="方正小标宋_GBK" w:cs="Times New Roman"/>
          <w:snapToGrid w:val="0"/>
          <w:color w:val="000000"/>
          <w:sz w:val="44"/>
          <w:szCs w:val="44"/>
          <w:highlight w:val="none"/>
        </w:rPr>
        <w:t>202</w:t>
      </w:r>
      <w:r>
        <w:rPr>
          <w:rFonts w:hint="default" w:ascii="Times New Roman" w:hAnsi="Times New Roman" w:eastAsia="方正小标宋_GBK" w:cs="Times New Roman"/>
          <w:snapToGrid w:val="0"/>
          <w:color w:val="000000"/>
          <w:sz w:val="44"/>
          <w:szCs w:val="44"/>
          <w:highlight w:val="none"/>
          <w:lang w:val="en-US" w:eastAsia="zh-CN"/>
        </w:rPr>
        <w:t>5</w:t>
      </w:r>
      <w:r>
        <w:rPr>
          <w:rFonts w:hint="default" w:ascii="Times New Roman" w:hAnsi="Times New Roman" w:eastAsia="方正小标宋_GBK" w:cs="Times New Roman"/>
          <w:snapToGrid w:val="0"/>
          <w:color w:val="000000"/>
          <w:sz w:val="44"/>
          <w:szCs w:val="44"/>
          <w:highlight w:val="none"/>
        </w:rPr>
        <w:t>年</w:t>
      </w:r>
      <w:r>
        <w:rPr>
          <w:rFonts w:hint="eastAsia" w:ascii="Times New Roman" w:hAnsi="Times New Roman" w:eastAsia="方正小标宋_GBK" w:cs="Times New Roman"/>
          <w:snapToGrid w:val="0"/>
          <w:color w:val="000000"/>
          <w:sz w:val="44"/>
          <w:szCs w:val="44"/>
          <w:highlight w:val="none"/>
          <w:lang w:val="en-US" w:eastAsia="zh-CN"/>
        </w:rPr>
        <w:t>前三季度</w:t>
      </w:r>
      <w:r>
        <w:rPr>
          <w:rFonts w:hint="default" w:ascii="Times New Roman" w:hAnsi="Times New Roman" w:eastAsia="方正小标宋_GBK" w:cs="Times New Roman"/>
          <w:snapToGrid w:val="0"/>
          <w:color w:val="000000"/>
          <w:sz w:val="44"/>
          <w:szCs w:val="44"/>
          <w:highlight w:val="none"/>
        </w:rPr>
        <w:t>经济运行</w:t>
      </w:r>
      <w:r>
        <w:rPr>
          <w:rFonts w:hint="default" w:ascii="Times New Roman" w:hAnsi="Times New Roman" w:eastAsia="方正小标宋_GBK" w:cs="Times New Roman"/>
          <w:snapToGrid w:val="0"/>
          <w:color w:val="000000"/>
          <w:sz w:val="44"/>
          <w:szCs w:val="44"/>
          <w:highlight w:val="none"/>
          <w:lang w:val="en-US" w:eastAsia="zh-CN"/>
        </w:rPr>
        <w:t>点评</w:t>
      </w:r>
      <w:r>
        <w:rPr>
          <w:rFonts w:hint="default" w:ascii="Times New Roman" w:hAnsi="Times New Roman" w:eastAsia="方正小标宋_GBK" w:cs="Times New Roman"/>
          <w:snapToGrid w:val="0"/>
          <w:color w:val="000000"/>
          <w:sz w:val="44"/>
          <w:szCs w:val="44"/>
          <w:highlight w:val="none"/>
        </w:rPr>
        <w:t>分析</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资源县统计局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2025年</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月2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lef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jc w:val="left"/>
        <w:textAlignment w:val="auto"/>
        <w:rPr>
          <w:rFonts w:hint="default" w:ascii="Times New Roman" w:hAnsi="Times New Roman" w:eastAsia="黑体" w:cs="Times New Roman"/>
          <w:b w:val="0"/>
          <w:bCs w:val="0"/>
          <w:snapToGrid w:val="0"/>
          <w:sz w:val="32"/>
          <w:szCs w:val="32"/>
          <w:highlight w:val="none"/>
        </w:rPr>
      </w:pPr>
      <w:r>
        <w:rPr>
          <w:rFonts w:hint="default" w:ascii="Times New Roman" w:hAnsi="Times New Roman" w:eastAsia="黑体" w:cs="Times New Roman"/>
          <w:b w:val="0"/>
          <w:bCs w:val="0"/>
          <w:snapToGrid w:val="0"/>
          <w:sz w:val="32"/>
          <w:szCs w:val="32"/>
          <w:highlight w:val="none"/>
        </w:rPr>
        <w:t>一、经济运行总体情况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snapToGrid w:val="0"/>
          <w:color w:val="000000"/>
          <w:sz w:val="32"/>
          <w:szCs w:val="32"/>
          <w:highlight w:val="none"/>
          <w:lang w:val="en-US" w:eastAsia="zh-CN"/>
        </w:rPr>
        <w:t>根据地区生产总值统一核算结果，资源</w:t>
      </w:r>
      <w:r>
        <w:rPr>
          <w:rFonts w:hint="default" w:ascii="Times New Roman" w:hAnsi="Times New Roman" w:eastAsia="仿宋_GB2312" w:cs="Times New Roman"/>
          <w:color w:val="auto"/>
          <w:kern w:val="0"/>
          <w:sz w:val="32"/>
          <w:szCs w:val="32"/>
          <w:highlight w:val="none"/>
          <w:lang w:val="en-US" w:eastAsia="zh-CN"/>
        </w:rPr>
        <w:t>县2025年</w:t>
      </w:r>
      <w:r>
        <w:rPr>
          <w:rFonts w:hint="eastAsia" w:ascii="Times New Roman" w:hAnsi="Times New Roman" w:eastAsia="仿宋_GB2312" w:cs="Times New Roman"/>
          <w:color w:val="auto"/>
          <w:kern w:val="0"/>
          <w:sz w:val="32"/>
          <w:szCs w:val="32"/>
          <w:highlight w:val="none"/>
          <w:lang w:val="en-US" w:eastAsia="zh-CN"/>
        </w:rPr>
        <w:t>前三季度</w:t>
      </w:r>
      <w:bookmarkStart w:id="0" w:name="_GoBack"/>
      <w:bookmarkEnd w:id="0"/>
      <w:r>
        <w:rPr>
          <w:rFonts w:hint="default" w:ascii="Times New Roman" w:hAnsi="Times New Roman" w:eastAsia="仿宋_GB2312" w:cs="Times New Roman"/>
          <w:snapToGrid w:val="0"/>
          <w:spacing w:val="-6"/>
          <w:sz w:val="32"/>
          <w:szCs w:val="32"/>
          <w:highlight w:val="none"/>
          <w:lang w:eastAsia="zh-CN"/>
        </w:rPr>
        <w:t>地区</w:t>
      </w:r>
      <w:r>
        <w:rPr>
          <w:rFonts w:hint="default" w:ascii="Times New Roman" w:hAnsi="Times New Roman" w:eastAsia="仿宋_GB2312" w:cs="Times New Roman"/>
          <w:snapToGrid w:val="0"/>
          <w:spacing w:val="-6"/>
          <w:sz w:val="32"/>
          <w:szCs w:val="32"/>
          <w:highlight w:val="none"/>
        </w:rPr>
        <w:t>生产总值</w:t>
      </w:r>
      <w:r>
        <w:rPr>
          <w:rFonts w:hint="eastAsia" w:ascii="Times New Roman" w:hAnsi="Times New Roman" w:eastAsia="仿宋_GB2312" w:cs="Times New Roman"/>
          <w:snapToGrid w:val="0"/>
          <w:spacing w:val="-6"/>
          <w:sz w:val="32"/>
          <w:szCs w:val="32"/>
          <w:highlight w:val="none"/>
          <w:lang w:val="en-US" w:eastAsia="zh-CN"/>
        </w:rPr>
        <w:t>46.8</w:t>
      </w:r>
      <w:r>
        <w:rPr>
          <w:rFonts w:hint="default" w:ascii="Times New Roman" w:hAnsi="Times New Roman" w:eastAsia="仿宋_GB2312" w:cs="Times New Roman"/>
          <w:snapToGrid w:val="0"/>
          <w:spacing w:val="-6"/>
          <w:sz w:val="32"/>
          <w:szCs w:val="32"/>
          <w:highlight w:val="none"/>
        </w:rPr>
        <w:t>亿元，同比增长</w:t>
      </w:r>
      <w:r>
        <w:rPr>
          <w:rFonts w:hint="eastAsia" w:ascii="Times New Roman" w:hAnsi="Times New Roman" w:eastAsia="仿宋_GB2312" w:cs="Times New Roman"/>
          <w:snapToGrid w:val="0"/>
          <w:spacing w:val="-6"/>
          <w:sz w:val="32"/>
          <w:szCs w:val="32"/>
          <w:highlight w:val="none"/>
          <w:lang w:val="en-US" w:eastAsia="zh-CN"/>
        </w:rPr>
        <w:t>3.1</w:t>
      </w:r>
      <w:r>
        <w:rPr>
          <w:rFonts w:hint="default" w:ascii="Times New Roman" w:hAnsi="Times New Roman" w:eastAsia="仿宋_GB2312" w:cs="Times New Roman"/>
          <w:snapToGrid w:val="0"/>
          <w:spacing w:val="-6"/>
          <w:sz w:val="32"/>
          <w:szCs w:val="32"/>
          <w:highlight w:val="none"/>
        </w:rPr>
        <w:t>%，</w:t>
      </w:r>
      <w:r>
        <w:rPr>
          <w:rFonts w:hint="default" w:ascii="Times New Roman" w:hAnsi="Times New Roman" w:eastAsia="仿宋_GB2312" w:cs="Times New Roman"/>
          <w:snapToGrid w:val="0"/>
          <w:spacing w:val="-6"/>
          <w:sz w:val="32"/>
          <w:szCs w:val="32"/>
          <w:highlight w:val="none"/>
          <w:lang w:val="en-US" w:eastAsia="zh-CN"/>
        </w:rPr>
        <w:t>高于</w:t>
      </w:r>
      <w:r>
        <w:rPr>
          <w:rFonts w:hint="eastAsia" w:ascii="Times New Roman" w:hAnsi="Times New Roman" w:eastAsia="仿宋_GB2312" w:cs="Times New Roman"/>
          <w:snapToGrid w:val="0"/>
          <w:spacing w:val="-6"/>
          <w:sz w:val="32"/>
          <w:szCs w:val="32"/>
          <w:highlight w:val="none"/>
          <w:lang w:val="en-US" w:eastAsia="zh-CN"/>
        </w:rPr>
        <w:t>上半年0.7</w:t>
      </w:r>
      <w:r>
        <w:rPr>
          <w:rFonts w:hint="default" w:ascii="Times New Roman" w:hAnsi="Times New Roman" w:eastAsia="仿宋_GB2312" w:cs="Times New Roman"/>
          <w:snapToGrid w:val="0"/>
          <w:spacing w:val="-6"/>
          <w:sz w:val="32"/>
          <w:szCs w:val="32"/>
          <w:highlight w:val="none"/>
        </w:rPr>
        <w:t>个百分点。</w:t>
      </w:r>
      <w:r>
        <w:rPr>
          <w:rFonts w:hint="default" w:ascii="Times New Roman" w:hAnsi="Times New Roman" w:eastAsia="仿宋_GB2312" w:cs="Times New Roman"/>
          <w:b/>
          <w:bCs/>
          <w:snapToGrid w:val="0"/>
          <w:sz w:val="32"/>
          <w:szCs w:val="32"/>
          <w:highlight w:val="none"/>
        </w:rPr>
        <w:t>从三次产业看，</w:t>
      </w:r>
      <w:r>
        <w:rPr>
          <w:rFonts w:hint="default" w:ascii="Times New Roman" w:hAnsi="Times New Roman" w:eastAsia="仿宋_GB2312" w:cs="Times New Roman"/>
          <w:b/>
          <w:bCs/>
          <w:snapToGrid w:val="0"/>
          <w:sz w:val="32"/>
          <w:szCs w:val="32"/>
          <w:highlight w:val="none"/>
          <w:lang w:eastAsia="zh-CN"/>
        </w:rPr>
        <w:t>增速</w:t>
      </w:r>
      <w:r>
        <w:rPr>
          <w:rFonts w:hint="default" w:ascii="Times New Roman" w:hAnsi="Times New Roman" w:eastAsia="仿宋_GB2312" w:cs="Times New Roman"/>
          <w:b/>
          <w:bCs/>
          <w:snapToGrid w:val="0"/>
          <w:sz w:val="32"/>
          <w:szCs w:val="32"/>
          <w:highlight w:val="none"/>
        </w:rPr>
        <w:t>与</w:t>
      </w:r>
      <w:r>
        <w:rPr>
          <w:rFonts w:hint="eastAsia" w:ascii="Times New Roman" w:hAnsi="Times New Roman" w:eastAsia="仿宋_GB2312" w:cs="Times New Roman"/>
          <w:b/>
          <w:bCs/>
          <w:snapToGrid w:val="0"/>
          <w:sz w:val="32"/>
          <w:szCs w:val="32"/>
          <w:highlight w:val="none"/>
          <w:lang w:val="en-US" w:eastAsia="zh-CN"/>
        </w:rPr>
        <w:t>一季度</w:t>
      </w:r>
      <w:r>
        <w:rPr>
          <w:rFonts w:hint="default" w:ascii="Times New Roman" w:hAnsi="Times New Roman" w:eastAsia="仿宋_GB2312" w:cs="Times New Roman"/>
          <w:b/>
          <w:bCs/>
          <w:snapToGrid w:val="0"/>
          <w:sz w:val="32"/>
          <w:szCs w:val="32"/>
          <w:highlight w:val="none"/>
          <w:lang w:val="en-US" w:eastAsia="zh-CN"/>
        </w:rPr>
        <w:t>相</w:t>
      </w:r>
      <w:r>
        <w:rPr>
          <w:rFonts w:hint="default" w:ascii="Times New Roman" w:hAnsi="Times New Roman" w:eastAsia="仿宋_GB2312" w:cs="Times New Roman"/>
          <w:b/>
          <w:bCs/>
          <w:snapToGrid w:val="0"/>
          <w:sz w:val="32"/>
          <w:szCs w:val="32"/>
          <w:highlight w:val="none"/>
        </w:rPr>
        <w:t>比“</w:t>
      </w:r>
      <w:r>
        <w:rPr>
          <w:rFonts w:hint="default" w:ascii="Times New Roman" w:hAnsi="Times New Roman" w:eastAsia="仿宋_GB2312" w:cs="Times New Roman"/>
          <w:b/>
          <w:bCs/>
          <w:snapToGrid w:val="0"/>
          <w:sz w:val="32"/>
          <w:szCs w:val="32"/>
          <w:highlight w:val="none"/>
          <w:lang w:val="en-US" w:eastAsia="zh-CN"/>
        </w:rPr>
        <w:t>2升1降</w:t>
      </w:r>
      <w:r>
        <w:rPr>
          <w:rFonts w:hint="default" w:ascii="Times New Roman" w:hAnsi="Times New Roman" w:eastAsia="仿宋_GB2312" w:cs="Times New Roman"/>
          <w:b/>
          <w:bCs/>
          <w:snapToGrid w:val="0"/>
          <w:sz w:val="32"/>
          <w:szCs w:val="32"/>
          <w:highlight w:val="none"/>
        </w:rPr>
        <w:t>”。</w:t>
      </w:r>
      <w:r>
        <w:rPr>
          <w:rFonts w:hint="default" w:ascii="Times New Roman" w:hAnsi="Times New Roman" w:eastAsia="仿宋_GB2312" w:cs="Times New Roman"/>
          <w:snapToGrid w:val="0"/>
          <w:sz w:val="32"/>
          <w:szCs w:val="32"/>
          <w:highlight w:val="none"/>
        </w:rPr>
        <w:t>第一产业增加值</w:t>
      </w:r>
      <w:r>
        <w:rPr>
          <w:rFonts w:hint="eastAsia" w:ascii="Times New Roman" w:hAnsi="Times New Roman" w:eastAsia="仿宋_GB2312" w:cs="Times New Roman"/>
          <w:snapToGrid w:val="0"/>
          <w:sz w:val="32"/>
          <w:szCs w:val="32"/>
          <w:highlight w:val="none"/>
          <w:lang w:val="en-US" w:eastAsia="zh-CN"/>
        </w:rPr>
        <w:t>17.47</w:t>
      </w:r>
      <w:r>
        <w:rPr>
          <w:rFonts w:hint="default" w:ascii="Times New Roman" w:hAnsi="Times New Roman" w:eastAsia="仿宋_GB2312" w:cs="Times New Roman"/>
          <w:snapToGrid w:val="0"/>
          <w:sz w:val="32"/>
          <w:szCs w:val="32"/>
          <w:highlight w:val="none"/>
          <w:lang w:val="en-US" w:eastAsia="zh-CN"/>
        </w:rPr>
        <w:t>亿元，</w:t>
      </w:r>
      <w:r>
        <w:rPr>
          <w:rFonts w:hint="default" w:ascii="Times New Roman" w:hAnsi="Times New Roman" w:eastAsia="仿宋_GB2312" w:cs="Times New Roman"/>
          <w:snapToGrid w:val="0"/>
          <w:sz w:val="32"/>
          <w:szCs w:val="32"/>
          <w:highlight w:val="none"/>
        </w:rPr>
        <w:t>增长</w:t>
      </w:r>
      <w:r>
        <w:rPr>
          <w:rFonts w:hint="eastAsia" w:ascii="Times New Roman" w:hAnsi="Times New Roman" w:eastAsia="仿宋_GB2312" w:cs="Times New Roman"/>
          <w:snapToGrid w:val="0"/>
          <w:sz w:val="32"/>
          <w:szCs w:val="32"/>
          <w:highlight w:val="none"/>
          <w:lang w:val="en-US" w:eastAsia="zh-CN"/>
        </w:rPr>
        <w:t>2.8</w:t>
      </w:r>
      <w:r>
        <w:rPr>
          <w:rFonts w:hint="default" w:ascii="Times New Roman" w:hAnsi="Times New Roman" w:eastAsia="仿宋_GB2312" w:cs="Times New Roman"/>
          <w:snapToGrid w:val="0"/>
          <w:sz w:val="32"/>
          <w:szCs w:val="32"/>
          <w:highlight w:val="none"/>
        </w:rPr>
        <w:t>%，</w:t>
      </w:r>
      <w:r>
        <w:rPr>
          <w:rFonts w:hint="eastAsia" w:ascii="Times New Roman" w:hAnsi="Times New Roman" w:eastAsia="仿宋_GB2312" w:cs="Times New Roman"/>
          <w:snapToGrid w:val="0"/>
          <w:sz w:val="32"/>
          <w:szCs w:val="32"/>
          <w:highlight w:val="none"/>
          <w:lang w:val="en-US" w:eastAsia="zh-CN"/>
        </w:rPr>
        <w:t>低于上半年0.4</w:t>
      </w:r>
      <w:r>
        <w:rPr>
          <w:rFonts w:hint="default" w:ascii="Times New Roman" w:hAnsi="Times New Roman" w:eastAsia="仿宋_GB2312" w:cs="Times New Roman"/>
          <w:snapToGrid w:val="0"/>
          <w:sz w:val="32"/>
          <w:szCs w:val="32"/>
          <w:highlight w:val="none"/>
          <w:lang w:val="en-US" w:eastAsia="zh-CN"/>
        </w:rPr>
        <w:t>个百分点</w:t>
      </w:r>
      <w:r>
        <w:rPr>
          <w:rFonts w:hint="default" w:ascii="Times New Roman" w:hAnsi="Times New Roman" w:eastAsia="仿宋_GB2312" w:cs="Times New Roman"/>
          <w:snapToGrid w:val="0"/>
          <w:sz w:val="32"/>
          <w:szCs w:val="32"/>
          <w:highlight w:val="none"/>
        </w:rPr>
        <w:t>；第二产业</w:t>
      </w:r>
      <w:r>
        <w:rPr>
          <w:rFonts w:hint="default" w:ascii="Times New Roman" w:hAnsi="Times New Roman" w:eastAsia="仿宋_GB2312" w:cs="Times New Roman"/>
          <w:snapToGrid w:val="0"/>
          <w:sz w:val="32"/>
          <w:szCs w:val="32"/>
          <w:highlight w:val="none"/>
          <w:lang w:val="en-US" w:eastAsia="zh-CN"/>
        </w:rPr>
        <w:t>增加值</w:t>
      </w:r>
      <w:r>
        <w:rPr>
          <w:rFonts w:hint="eastAsia" w:ascii="Times New Roman" w:hAnsi="Times New Roman" w:eastAsia="仿宋_GB2312" w:cs="Times New Roman"/>
          <w:snapToGrid w:val="0"/>
          <w:sz w:val="32"/>
          <w:szCs w:val="32"/>
          <w:highlight w:val="none"/>
          <w:lang w:val="en-US" w:eastAsia="zh-CN"/>
        </w:rPr>
        <w:t>5.85</w:t>
      </w:r>
      <w:r>
        <w:rPr>
          <w:rFonts w:hint="default" w:ascii="Times New Roman" w:hAnsi="Times New Roman" w:eastAsia="仿宋_GB2312" w:cs="Times New Roman"/>
          <w:snapToGrid w:val="0"/>
          <w:sz w:val="32"/>
          <w:szCs w:val="32"/>
          <w:highlight w:val="none"/>
          <w:lang w:val="en-US" w:eastAsia="zh-CN"/>
        </w:rPr>
        <w:t>亿元，下降</w:t>
      </w:r>
      <w:r>
        <w:rPr>
          <w:rFonts w:hint="eastAsia" w:ascii="Times New Roman" w:hAnsi="Times New Roman" w:eastAsia="仿宋_GB2312" w:cs="Times New Roman"/>
          <w:snapToGrid w:val="0"/>
          <w:sz w:val="32"/>
          <w:szCs w:val="32"/>
          <w:highlight w:val="none"/>
          <w:lang w:val="en-US" w:eastAsia="zh-CN"/>
        </w:rPr>
        <w:t>3.9</w:t>
      </w:r>
      <w:r>
        <w:rPr>
          <w:rFonts w:hint="default" w:ascii="Times New Roman" w:hAnsi="Times New Roman" w:eastAsia="仿宋_GB2312" w:cs="Times New Roman"/>
          <w:snapToGrid w:val="0"/>
          <w:sz w:val="32"/>
          <w:szCs w:val="32"/>
          <w:highlight w:val="none"/>
          <w:lang w:val="en-US" w:eastAsia="zh-CN"/>
        </w:rPr>
        <w:t>%，</w:t>
      </w:r>
      <w:r>
        <w:rPr>
          <w:rFonts w:hint="eastAsia" w:ascii="Times New Roman" w:hAnsi="Times New Roman" w:eastAsia="仿宋_GB2312" w:cs="Times New Roman"/>
          <w:snapToGrid w:val="0"/>
          <w:sz w:val="32"/>
          <w:szCs w:val="32"/>
          <w:highlight w:val="none"/>
          <w:lang w:val="en-US" w:eastAsia="zh-CN"/>
        </w:rPr>
        <w:t>降幅比上半年收窄0.9</w:t>
      </w:r>
      <w:r>
        <w:rPr>
          <w:rFonts w:hint="default" w:ascii="Times New Roman" w:hAnsi="Times New Roman" w:eastAsia="仿宋_GB2312" w:cs="Times New Roman"/>
          <w:snapToGrid w:val="0"/>
          <w:sz w:val="32"/>
          <w:szCs w:val="32"/>
          <w:highlight w:val="none"/>
          <w:lang w:val="en-US" w:eastAsia="zh-CN"/>
        </w:rPr>
        <w:t>个百分点；</w:t>
      </w:r>
      <w:r>
        <w:rPr>
          <w:rFonts w:hint="default" w:ascii="Times New Roman" w:hAnsi="Times New Roman" w:eastAsia="仿宋_GB2312" w:cs="Times New Roman"/>
          <w:snapToGrid w:val="0"/>
          <w:sz w:val="32"/>
          <w:szCs w:val="32"/>
          <w:highlight w:val="none"/>
        </w:rPr>
        <w:t>第三产业</w:t>
      </w:r>
      <w:r>
        <w:rPr>
          <w:rFonts w:hint="default" w:ascii="Times New Roman" w:hAnsi="Times New Roman" w:eastAsia="仿宋_GB2312" w:cs="Times New Roman"/>
          <w:snapToGrid w:val="0"/>
          <w:sz w:val="32"/>
          <w:szCs w:val="32"/>
          <w:highlight w:val="none"/>
          <w:lang w:val="en-US" w:eastAsia="zh-CN"/>
        </w:rPr>
        <w:t>增加值</w:t>
      </w:r>
      <w:r>
        <w:rPr>
          <w:rFonts w:hint="eastAsia" w:ascii="Times New Roman" w:hAnsi="Times New Roman" w:eastAsia="仿宋_GB2312" w:cs="Times New Roman"/>
          <w:snapToGrid w:val="0"/>
          <w:sz w:val="32"/>
          <w:szCs w:val="32"/>
          <w:highlight w:val="none"/>
          <w:lang w:val="en-US" w:eastAsia="zh-CN"/>
        </w:rPr>
        <w:t>23.48</w:t>
      </w:r>
      <w:r>
        <w:rPr>
          <w:rFonts w:hint="default" w:ascii="Times New Roman" w:hAnsi="Times New Roman" w:eastAsia="仿宋_GB2312" w:cs="Times New Roman"/>
          <w:snapToGrid w:val="0"/>
          <w:sz w:val="32"/>
          <w:szCs w:val="32"/>
          <w:highlight w:val="none"/>
          <w:lang w:val="en-US" w:eastAsia="zh-CN"/>
        </w:rPr>
        <w:t>亿元，</w:t>
      </w:r>
      <w:r>
        <w:rPr>
          <w:rFonts w:hint="default" w:ascii="Times New Roman" w:hAnsi="Times New Roman" w:eastAsia="仿宋_GB2312" w:cs="Times New Roman"/>
          <w:snapToGrid w:val="0"/>
          <w:sz w:val="32"/>
          <w:szCs w:val="32"/>
          <w:highlight w:val="none"/>
        </w:rPr>
        <w:t>增长</w:t>
      </w:r>
      <w:r>
        <w:rPr>
          <w:rFonts w:hint="eastAsia" w:ascii="Times New Roman" w:hAnsi="Times New Roman" w:eastAsia="仿宋_GB2312" w:cs="Times New Roman"/>
          <w:snapToGrid w:val="0"/>
          <w:sz w:val="32"/>
          <w:szCs w:val="32"/>
          <w:highlight w:val="none"/>
          <w:lang w:val="en-US" w:eastAsia="zh-CN"/>
        </w:rPr>
        <w:t>5.2</w:t>
      </w:r>
      <w:r>
        <w:rPr>
          <w:rFonts w:hint="default" w:ascii="Times New Roman" w:hAnsi="Times New Roman" w:eastAsia="仿宋_GB2312" w:cs="Times New Roman"/>
          <w:snapToGrid w:val="0"/>
          <w:sz w:val="32"/>
          <w:szCs w:val="32"/>
          <w:highlight w:val="none"/>
          <w:lang w:val="en-US" w:eastAsia="zh-CN"/>
        </w:rPr>
        <w:t>%，</w:t>
      </w:r>
      <w:r>
        <w:rPr>
          <w:rFonts w:hint="eastAsia" w:ascii="Times New Roman" w:hAnsi="Times New Roman" w:eastAsia="仿宋_GB2312" w:cs="Times New Roman"/>
          <w:snapToGrid w:val="0"/>
          <w:sz w:val="32"/>
          <w:szCs w:val="32"/>
          <w:highlight w:val="none"/>
          <w:lang w:val="en-US" w:eastAsia="zh-CN"/>
        </w:rPr>
        <w:t>高于上半年1</w:t>
      </w:r>
      <w:r>
        <w:rPr>
          <w:rFonts w:hint="default" w:ascii="Times New Roman" w:hAnsi="Times New Roman" w:eastAsia="仿宋_GB2312" w:cs="Times New Roman"/>
          <w:snapToGrid w:val="0"/>
          <w:sz w:val="32"/>
          <w:szCs w:val="32"/>
          <w:highlight w:val="none"/>
          <w:lang w:val="en-US" w:eastAsia="zh-CN"/>
        </w:rPr>
        <w:t>个百分点,三次产业比重为</w:t>
      </w:r>
      <w:r>
        <w:rPr>
          <w:rFonts w:hint="eastAsia" w:ascii="Times New Roman" w:hAnsi="Times New Roman" w:eastAsia="仿宋_GB2312" w:cs="Times New Roman"/>
          <w:snapToGrid w:val="0"/>
          <w:sz w:val="32"/>
          <w:szCs w:val="32"/>
          <w:highlight w:val="none"/>
          <w:lang w:val="en-US" w:eastAsia="zh-CN"/>
        </w:rPr>
        <w:t>37.3:12.5:50.2</w:t>
      </w:r>
      <w:r>
        <w:rPr>
          <w:rFonts w:hint="default" w:ascii="Times New Roman" w:hAnsi="Times New Roman" w:eastAsia="仿宋_GB2312" w:cs="Times New Roman"/>
          <w:snapToGrid w:val="0"/>
          <w:sz w:val="32"/>
          <w:szCs w:val="32"/>
          <w:highlight w:val="none"/>
          <w:lang w:val="en-US" w:eastAsia="zh-CN"/>
        </w:rPr>
        <w:t>，二产增长乏力是经济增长趋缓的主要原因。</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contextualSpacing/>
        <w:jc w:val="left"/>
        <w:textAlignment w:val="auto"/>
        <w:rPr>
          <w:rFonts w:hint="default" w:ascii="Times New Roman" w:hAnsi="Times New Roman" w:eastAsia="仿宋_GB2312" w:cs="Times New Roman"/>
          <w:bCs/>
          <w:snapToGrid w:val="0"/>
          <w:sz w:val="32"/>
          <w:szCs w:val="32"/>
          <w:highlight w:val="none"/>
          <w:lang w:val="en-US"/>
        </w:rPr>
      </w:pPr>
      <w:r>
        <w:rPr>
          <w:rFonts w:hint="eastAsia" w:ascii="Times New Roman" w:hAnsi="Times New Roman" w:eastAsia="仿宋_GB2312" w:cs="Times New Roman"/>
          <w:b/>
          <w:bCs/>
          <w:snapToGrid w:val="0"/>
          <w:sz w:val="32"/>
          <w:szCs w:val="32"/>
          <w:highlight w:val="none"/>
          <w:lang w:val="en-US" w:eastAsia="zh-CN"/>
        </w:rPr>
        <w:t>从投资、消费、预算收入看，增速与上半相比“1升2降”。</w:t>
      </w:r>
      <w:r>
        <w:rPr>
          <w:rFonts w:hint="default" w:ascii="Times New Roman" w:hAnsi="Times New Roman" w:eastAsia="仿宋_GB2312" w:cs="Times New Roman"/>
          <w:b w:val="0"/>
          <w:bCs w:val="0"/>
          <w:sz w:val="32"/>
          <w:szCs w:val="32"/>
          <w:highlight w:val="none"/>
          <w:lang w:val="en-US" w:eastAsia="zh-CN"/>
        </w:rPr>
        <w:t>固定资产投资</w:t>
      </w:r>
      <w:r>
        <w:rPr>
          <w:rFonts w:hint="eastAsia" w:ascii="Times New Roman" w:hAnsi="Times New Roman" w:eastAsia="仿宋_GB2312" w:cs="Times New Roman"/>
          <w:b w:val="0"/>
          <w:bCs w:val="0"/>
          <w:sz w:val="32"/>
          <w:szCs w:val="32"/>
          <w:highlight w:val="none"/>
          <w:lang w:val="en-US" w:eastAsia="zh-CN"/>
        </w:rPr>
        <w:t>14.68</w:t>
      </w:r>
      <w:r>
        <w:rPr>
          <w:rFonts w:hint="default" w:ascii="Times New Roman" w:hAnsi="Times New Roman" w:eastAsia="仿宋_GB2312" w:cs="Times New Roman"/>
          <w:b w:val="0"/>
          <w:bCs w:val="0"/>
          <w:sz w:val="32"/>
          <w:szCs w:val="32"/>
          <w:highlight w:val="none"/>
          <w:lang w:val="en-US" w:eastAsia="zh-CN"/>
        </w:rPr>
        <w:t>亿元，同比</w:t>
      </w:r>
      <w:r>
        <w:rPr>
          <w:rFonts w:hint="eastAsia" w:ascii="Times New Roman" w:hAnsi="Times New Roman" w:eastAsia="仿宋_GB2312" w:cs="Times New Roman"/>
          <w:b w:val="0"/>
          <w:bCs w:val="0"/>
          <w:sz w:val="32"/>
          <w:szCs w:val="32"/>
          <w:highlight w:val="none"/>
          <w:lang w:val="en-US" w:eastAsia="zh-CN"/>
        </w:rPr>
        <w:t>下降22.1</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，降幅比上半年扩大21.1个百分点；社会消费品零售总额11.66亿元，同比增长6.7%，高于上半年2.8个百分点；一般公共预算收入1.67亿元，同比增长36.2%，增速比上半年下降34.4个百分点。</w:t>
      </w:r>
    </w:p>
    <w:p>
      <w:pPr>
        <w:numPr>
          <w:ilvl w:val="0"/>
          <w:numId w:val="1"/>
        </w:numPr>
        <w:spacing w:line="586" w:lineRule="exact"/>
        <w:ind w:firstLine="640" w:firstLineChars="20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经济运行的主要特点</w:t>
      </w:r>
    </w:p>
    <w:p>
      <w:pPr>
        <w:numPr>
          <w:ilvl w:val="0"/>
          <w:numId w:val="2"/>
        </w:numPr>
        <w:spacing w:line="586"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lang w:val="en-US" w:eastAsia="zh-CN" w:bidi="ar-SA"/>
        </w:rPr>
        <w:t>农村经济增幅回落。</w:t>
      </w:r>
      <w:r>
        <w:rPr>
          <w:rFonts w:hint="eastAsia" w:ascii="Times New Roman" w:hAnsi="Times New Roman" w:eastAsia="仿宋_GB2312" w:cs="Times New Roman"/>
          <w:color w:val="auto"/>
          <w:kern w:val="2"/>
          <w:sz w:val="32"/>
          <w:szCs w:val="32"/>
          <w:lang w:val="en-US" w:eastAsia="zh-CN" w:bidi="ar-SA"/>
        </w:rPr>
        <w:t>前三季度，第一产业增加值同比增长2.8%，增幅比上半年回落0.4个百分点。农林牧渔业总产值26.92亿元，同比增长2.8%；其中：农业产值22.38亿元，同比增长2.9%，林业产值1.68亿元，同比增长4.7%，牧业产值1.99亿元，同比增长0.1%，渔业产值0.12亿元，同比增长4.7%；农林牧渔专业及辅助性活动产值0.74亿元，同比增长3.9%。</w:t>
      </w:r>
    </w:p>
    <w:p>
      <w:pPr>
        <w:numPr>
          <w:ilvl w:val="0"/>
          <w:numId w:val="0"/>
        </w:numPr>
        <w:spacing w:line="586"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（二）工业增长不及预期。前</w:t>
      </w:r>
      <w:r>
        <w:rPr>
          <w:rFonts w:hint="eastAsia" w:ascii="Times New Roman" w:hAnsi="Times New Roman" w:eastAsia="仿宋_GB2312" w:cs="Times New Roman"/>
          <w:color w:val="auto"/>
          <w:kern w:val="2"/>
          <w:sz w:val="32"/>
          <w:szCs w:val="32"/>
          <w:highlight w:val="none"/>
          <w:lang w:val="en-US" w:eastAsia="zh-CN" w:bidi="ar-SA"/>
        </w:rPr>
        <w:t>三季度，资源县规上工业增加值3.57亿元，同比下降1.5%。下拉GDP0.1个百分点。</w:t>
      </w:r>
    </w:p>
    <w:p>
      <w:pPr>
        <w:numPr>
          <w:ilvl w:val="0"/>
          <w:numId w:val="0"/>
        </w:numPr>
        <w:spacing w:line="586" w:lineRule="exact"/>
        <w:ind w:firstLine="640" w:firstLineChars="200"/>
        <w:rPr>
          <w:rFonts w:hint="eastAsia" w:ascii="Times New Roman" w:hAnsi="Times New Roman" w:eastAsia="仿宋_GB2312"/>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（三）重大项目投资进度滞后。</w:t>
      </w:r>
      <w:r>
        <w:rPr>
          <w:rFonts w:ascii="Times New Roman" w:hAnsi="Times New Roman" w:eastAsia="仿宋_GB2312"/>
          <w:sz w:val="32"/>
          <w:szCs w:val="32"/>
        </w:rPr>
        <w:t>在建的风电项目剩余投资</w:t>
      </w:r>
      <w:r>
        <w:rPr>
          <w:rFonts w:hint="eastAsia" w:ascii="Times New Roman" w:hAnsi="Times New Roman" w:eastAsia="仿宋_GB2312"/>
          <w:sz w:val="32"/>
          <w:szCs w:val="32"/>
        </w:rPr>
        <w:t>较少</w:t>
      </w:r>
      <w:r>
        <w:rPr>
          <w:rFonts w:ascii="Times New Roman" w:hAnsi="Times New Roman" w:eastAsia="仿宋_GB2312"/>
          <w:sz w:val="32"/>
          <w:szCs w:val="32"/>
        </w:rPr>
        <w:t>，而新建风电</w:t>
      </w:r>
      <w:r>
        <w:rPr>
          <w:rFonts w:hint="eastAsia" w:ascii="Times New Roman" w:hAnsi="Times New Roman" w:eastAsia="仿宋_GB2312"/>
          <w:sz w:val="32"/>
          <w:szCs w:val="32"/>
          <w:lang w:val="en-US" w:eastAsia="zh-CN"/>
        </w:rPr>
        <w:t>项目仍处于前期阶段</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全通高速等基建项目无</w:t>
      </w:r>
      <w:r>
        <w:rPr>
          <w:rFonts w:ascii="Times New Roman" w:hAnsi="Times New Roman" w:eastAsia="仿宋_GB2312"/>
          <w:sz w:val="32"/>
          <w:szCs w:val="32"/>
        </w:rPr>
        <w:t>法按时开工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建安投资严重下滑，增速同比下降28.4%。</w:t>
      </w:r>
    </w:p>
    <w:p>
      <w:pPr>
        <w:numPr>
          <w:ilvl w:val="0"/>
          <w:numId w:val="0"/>
        </w:numPr>
        <w:spacing w:line="586" w:lineRule="exact"/>
        <w:ind w:firstLine="616" w:firstLineChars="200"/>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楷体_GB2312" w:cs="Times New Roman"/>
          <w:b w:val="0"/>
          <w:bCs w:val="0"/>
          <w:spacing w:val="-6"/>
          <w:sz w:val="32"/>
          <w:szCs w:val="32"/>
          <w:lang w:val="en-US" w:eastAsia="zh-CN"/>
        </w:rPr>
        <w:t>（四）金融业运行稳健。</w:t>
      </w:r>
      <w:r>
        <w:rPr>
          <w:rFonts w:hint="eastAsia" w:ascii="Times New Roman" w:hAnsi="Times New Roman" w:eastAsia="楷体_GB2312" w:cs="Times New Roman"/>
          <w:b w:val="0"/>
          <w:bCs w:val="0"/>
          <w:spacing w:val="-6"/>
          <w:sz w:val="32"/>
          <w:szCs w:val="32"/>
          <w:lang w:val="en-US" w:eastAsia="zh-CN"/>
        </w:rPr>
        <w:t>前三季度</w:t>
      </w:r>
      <w:r>
        <w:rPr>
          <w:rFonts w:hint="default" w:ascii="Times New Roman" w:hAnsi="Times New Roman" w:eastAsia="仿宋_GB2312" w:cs="Times New Roman"/>
          <w:b w:val="0"/>
          <w:bCs w:val="0"/>
          <w:spacing w:val="-6"/>
          <w:sz w:val="32"/>
          <w:szCs w:val="32"/>
          <w:lang w:val="en-US" w:eastAsia="zh-CN"/>
        </w:rPr>
        <w:t>，利息净收入和手续费及佣金净收入同比增长</w:t>
      </w:r>
      <w:r>
        <w:rPr>
          <w:rFonts w:hint="eastAsia" w:ascii="Times New Roman" w:hAnsi="Times New Roman" w:eastAsia="仿宋_GB2312" w:cs="Times New Roman"/>
          <w:b w:val="0"/>
          <w:bCs w:val="0"/>
          <w:spacing w:val="-6"/>
          <w:sz w:val="32"/>
          <w:szCs w:val="32"/>
          <w:lang w:val="en-US" w:eastAsia="zh-CN"/>
        </w:rPr>
        <w:t>7.9</w:t>
      </w:r>
      <w:r>
        <w:rPr>
          <w:rFonts w:hint="default" w:ascii="Times New Roman" w:hAnsi="Times New Roman" w:eastAsia="仿宋_GB2312" w:cs="Times New Roman"/>
          <w:b w:val="0"/>
          <w:bCs w:val="0"/>
          <w:spacing w:val="-6"/>
          <w:sz w:val="32"/>
          <w:szCs w:val="32"/>
          <w:lang w:val="en-US" w:eastAsia="zh-CN"/>
        </w:rPr>
        <w:t>%，</w:t>
      </w:r>
      <w:r>
        <w:rPr>
          <w:rFonts w:hint="eastAsia" w:ascii="Times New Roman" w:hAnsi="Times New Roman" w:eastAsia="仿宋_GB2312" w:cs="Times New Roman"/>
          <w:b w:val="0"/>
          <w:bCs w:val="0"/>
          <w:spacing w:val="-6"/>
          <w:sz w:val="32"/>
          <w:szCs w:val="32"/>
          <w:lang w:val="en-US" w:eastAsia="zh-CN"/>
        </w:rPr>
        <w:t>人民币存贷款余额同比增长13.4%，</w:t>
      </w:r>
      <w:r>
        <w:rPr>
          <w:rFonts w:hint="default" w:ascii="Times New Roman" w:hAnsi="Times New Roman" w:eastAsia="仿宋_GB2312" w:cs="Times New Roman"/>
          <w:b w:val="0"/>
          <w:bCs w:val="0"/>
          <w:spacing w:val="-6"/>
          <w:sz w:val="32"/>
          <w:szCs w:val="32"/>
          <w:lang w:val="en-US" w:eastAsia="zh-CN"/>
        </w:rPr>
        <w:t>金融业增加值同比增长</w:t>
      </w:r>
      <w:r>
        <w:rPr>
          <w:rFonts w:hint="eastAsia" w:ascii="Times New Roman" w:hAnsi="Times New Roman" w:eastAsia="仿宋_GB2312" w:cs="Times New Roman"/>
          <w:b w:val="0"/>
          <w:bCs w:val="0"/>
          <w:spacing w:val="-6"/>
          <w:sz w:val="32"/>
          <w:szCs w:val="32"/>
          <w:lang w:val="en-US" w:eastAsia="zh-CN"/>
        </w:rPr>
        <w:t>9.5</w:t>
      </w:r>
      <w:r>
        <w:rPr>
          <w:rFonts w:hint="default" w:ascii="Times New Roman" w:hAnsi="Times New Roman" w:eastAsia="仿宋_GB2312" w:cs="Times New Roman"/>
          <w:b w:val="0"/>
          <w:bCs w:val="0"/>
          <w:spacing w:val="-6"/>
          <w:sz w:val="32"/>
          <w:szCs w:val="32"/>
          <w:lang w:val="en-US" w:eastAsia="zh-CN"/>
        </w:rPr>
        <w:t>%，拉动GDP增长</w:t>
      </w:r>
      <w:r>
        <w:rPr>
          <w:rFonts w:hint="eastAsia" w:ascii="Times New Roman" w:hAnsi="Times New Roman" w:eastAsia="仿宋_GB2312" w:cs="Times New Roman"/>
          <w:b w:val="0"/>
          <w:bCs w:val="0"/>
          <w:spacing w:val="-6"/>
          <w:sz w:val="32"/>
          <w:szCs w:val="32"/>
          <w:lang w:val="en-US" w:eastAsia="zh-CN"/>
        </w:rPr>
        <w:t>0.6</w:t>
      </w:r>
      <w:r>
        <w:rPr>
          <w:rFonts w:hint="default" w:ascii="Times New Roman" w:hAnsi="Times New Roman" w:eastAsia="仿宋_GB2312" w:cs="Times New Roman"/>
          <w:b w:val="0"/>
          <w:bCs w:val="0"/>
          <w:spacing w:val="-6"/>
          <w:sz w:val="32"/>
          <w:szCs w:val="32"/>
          <w:lang w:val="en-US" w:eastAsia="zh-CN"/>
        </w:rPr>
        <w:t>个百分点。</w:t>
      </w:r>
    </w:p>
    <w:p>
      <w:pPr>
        <w:numPr>
          <w:ilvl w:val="0"/>
          <w:numId w:val="0"/>
        </w:numPr>
        <w:spacing w:line="586" w:lineRule="exact"/>
        <w:ind w:firstLine="616" w:firstLineChars="200"/>
        <w:rPr>
          <w:rFonts w:hint="default" w:ascii="Times New Roman" w:hAnsi="Times New Roman" w:eastAsia="仿宋_GB2312"/>
          <w:sz w:val="32"/>
          <w:szCs w:val="32"/>
          <w:lang w:val="en-US" w:eastAsia="zh-CN"/>
        </w:rPr>
      </w:pPr>
      <w:r>
        <w:rPr>
          <w:rFonts w:hint="default" w:ascii="Times New Roman" w:hAnsi="Times New Roman" w:eastAsia="楷体_GB2312" w:cs="Times New Roman"/>
          <w:b w:val="0"/>
          <w:bCs w:val="0"/>
          <w:spacing w:val="-6"/>
          <w:sz w:val="32"/>
          <w:szCs w:val="32"/>
          <w:lang w:val="en-US" w:eastAsia="zh-CN"/>
        </w:rPr>
        <w:t>（五）非营利性服务业工资稳定增长</w:t>
      </w:r>
      <w:r>
        <w:rPr>
          <w:rFonts w:hint="eastAsia" w:ascii="Times New Roman" w:hAnsi="Times New Roman" w:eastAsia="楷体_GB2312" w:cs="Times New Roman"/>
          <w:b w:val="0"/>
          <w:bCs w:val="0"/>
          <w:spacing w:val="-6"/>
          <w:sz w:val="32"/>
          <w:szCs w:val="32"/>
          <w:lang w:val="en-US" w:eastAsia="zh-CN"/>
        </w:rPr>
        <w:t>，贡献突出</w:t>
      </w:r>
      <w:r>
        <w:rPr>
          <w:rFonts w:hint="default" w:ascii="Times New Roman" w:hAnsi="Times New Roman" w:eastAsia="楷体_GB2312" w:cs="Times New Roman"/>
          <w:b w:val="0"/>
          <w:bCs w:val="0"/>
          <w:spacing w:val="-6"/>
          <w:sz w:val="32"/>
          <w:szCs w:val="32"/>
          <w:lang w:val="en-US" w:eastAsia="zh-CN"/>
        </w:rPr>
        <w:t>。</w:t>
      </w:r>
      <w:r>
        <w:rPr>
          <w:rFonts w:hint="eastAsia" w:ascii="Times New Roman" w:hAnsi="Times New Roman" w:eastAsia="楷体_GB2312" w:cs="Times New Roman"/>
          <w:b w:val="0"/>
          <w:bCs w:val="0"/>
          <w:spacing w:val="-6"/>
          <w:sz w:val="32"/>
          <w:szCs w:val="32"/>
          <w:lang w:val="en-US" w:eastAsia="zh-CN"/>
        </w:rPr>
        <w:t>前三季度，</w:t>
      </w:r>
      <w:r>
        <w:rPr>
          <w:rFonts w:hint="eastAsia" w:ascii="Times New Roman" w:hAnsi="Times New Roman" w:eastAsia="仿宋_GB2312"/>
          <w:sz w:val="32"/>
          <w:szCs w:val="32"/>
          <w:lang w:val="en-US" w:eastAsia="zh-CN"/>
        </w:rPr>
        <w:t>水利、环境工资同比增长29.7%、教育工资总额同比增长10.7%、卫生和社会工资总额同比增长6.8%、公共管理工资总额同比增长10.9%；以上四项工资共拉动GDP增长1.1个百分点，贡献突出。</w:t>
      </w:r>
    </w:p>
    <w:p>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16" w:firstLineChars="200"/>
        <w:jc w:val="left"/>
        <w:textAlignment w:val="auto"/>
        <w:rPr>
          <w:rFonts w:hint="default" w:ascii="Times New Roman" w:hAnsi="Times New Roman" w:eastAsia="黑体" w:cs="Times New Roman"/>
          <w:b w:val="0"/>
          <w:bCs w:val="0"/>
          <w:spacing w:val="-6"/>
          <w:sz w:val="32"/>
          <w:szCs w:val="32"/>
          <w:lang w:val="en-US" w:eastAsia="zh-CN"/>
        </w:rPr>
      </w:pPr>
      <w:r>
        <w:rPr>
          <w:rFonts w:hint="default" w:ascii="Times New Roman" w:hAnsi="Times New Roman" w:eastAsia="黑体" w:cs="Times New Roman"/>
          <w:b w:val="0"/>
          <w:bCs w:val="0"/>
          <w:spacing w:val="-6"/>
          <w:sz w:val="32"/>
          <w:szCs w:val="32"/>
          <w:lang w:val="en-US" w:eastAsia="zh-CN"/>
        </w:rPr>
        <w:t>三、需要关注的主要问题</w:t>
      </w:r>
    </w:p>
    <w:p>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16"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pacing w:val="-6"/>
          <w:sz w:val="32"/>
          <w:szCs w:val="32"/>
          <w:lang w:val="en-US" w:eastAsia="zh-CN"/>
        </w:rPr>
        <w:t>（一）</w:t>
      </w:r>
      <w:r>
        <w:rPr>
          <w:rFonts w:hint="eastAsia" w:ascii="楷体_GB2312" w:hAnsi="楷体_GB2312" w:eastAsia="楷体_GB2312" w:cs="楷体_GB2312"/>
          <w:sz w:val="32"/>
          <w:szCs w:val="32"/>
          <w:highlight w:val="none"/>
          <w:lang w:val="en-US" w:eastAsia="zh-CN"/>
        </w:rPr>
        <w:t>工业生产情况持续低迷。</w:t>
      </w:r>
      <w:r>
        <w:rPr>
          <w:rFonts w:hint="eastAsia" w:ascii="仿宋_GB2312" w:hAnsi="仿宋_GB2312" w:eastAsia="仿宋_GB2312" w:cs="仿宋_GB2312"/>
          <w:sz w:val="32"/>
          <w:szCs w:val="32"/>
          <w:lang w:val="en-US" w:eastAsia="zh-CN"/>
        </w:rPr>
        <w:t>9月当月产值完成1.19亿元，同比增长12.4%。分企业看，4家企业当月停产，8家企业当月产值同比下降，9家企业当月产值实现正增长。</w:t>
      </w:r>
    </w:p>
    <w:p>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行业看，电力、热力生产和供应业当月产值增长8.6%；农副食品加工业当月产值下降11.2%；其他医疗设备及器械制造业当月产值下降1.6%；黑色金属冶炼和压延加工业当月产值增长24.3倍；非金属矿采选业行业当月产值增长35.1%；非金属矿物制品业当月产值下降15.2%。总的来看，全县六个工业大类行业，当月产值增速呈现“三正三负”的特点。</w:t>
      </w:r>
    </w:p>
    <w:p>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40" w:firstLineChars="200"/>
        <w:jc w:val="left"/>
        <w:textAlignment w:val="auto"/>
        <w:rPr>
          <w:rFonts w:hint="default" w:ascii="Times New Roman" w:hAnsi="Times New Roman" w:eastAsia="楷体_GB2312" w:cs="Times New Roman"/>
          <w:spacing w:val="6"/>
          <w:kern w:val="2"/>
          <w:sz w:val="32"/>
          <w:szCs w:val="32"/>
          <w:shd w:val="clear" w:color="auto" w:fill="FFFFFF"/>
          <w:lang w:val="en-US" w:eastAsia="zh-CN" w:bidi="ar-SA"/>
        </w:rPr>
      </w:pPr>
      <w:r>
        <w:rPr>
          <w:rFonts w:hint="eastAsia" w:ascii="楷体_GB2312" w:hAnsi="楷体_GB2312" w:eastAsia="楷体_GB2312" w:cs="楷体_GB2312"/>
          <w:sz w:val="32"/>
          <w:szCs w:val="32"/>
          <w:lang w:val="en-US" w:eastAsia="zh-CN"/>
        </w:rPr>
        <w:t>（二）固定资产投资增速下滑严重。</w:t>
      </w:r>
      <w:r>
        <w:rPr>
          <w:rFonts w:hint="eastAsia" w:ascii="Times New Roman" w:hAnsi="Times New Roman" w:eastAsia="仿宋" w:cs="仿宋"/>
          <w:color w:val="000000"/>
          <w:sz w:val="32"/>
          <w:szCs w:val="32"/>
          <w:shd w:val="clear" w:color="auto" w:fill="FFFFFF"/>
          <w:lang w:val="en-US" w:eastAsia="zh-CN"/>
        </w:rPr>
        <w:t>截至1-9月，固定资产投资在库项目59个（包含5个房地产项目），其中5000万以上项目26个。完成总投资14.68亿元，同比下降22.1%。主要原因:亿元以上在建项目大部分已完工，导致投资金额急速下降，今年没有亿元以上重大项目入库，后期拉力严重不足。</w:t>
      </w:r>
    </w:p>
    <w:p>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64" w:firstLineChars="200"/>
        <w:jc w:val="left"/>
        <w:textAlignment w:val="auto"/>
        <w:rPr>
          <w:rFonts w:hint="default" w:ascii="Times New Roman" w:hAnsi="Times New Roman" w:cs="Times New Roman"/>
          <w:lang w:val="en-US" w:eastAsia="zh-CN"/>
        </w:rPr>
      </w:pPr>
      <w:r>
        <w:rPr>
          <w:rFonts w:hint="default" w:ascii="Times New Roman" w:hAnsi="Times New Roman" w:eastAsia="楷体_GB2312" w:cs="Times New Roman"/>
          <w:spacing w:val="6"/>
          <w:kern w:val="2"/>
          <w:sz w:val="32"/>
          <w:szCs w:val="32"/>
          <w:shd w:val="clear" w:color="auto" w:fill="FFFFFF"/>
          <w:lang w:val="en-US" w:eastAsia="zh-CN" w:bidi="ar-SA"/>
        </w:rPr>
        <w:t>（</w:t>
      </w:r>
      <w:r>
        <w:rPr>
          <w:rFonts w:hint="eastAsia" w:ascii="Times New Roman" w:hAnsi="Times New Roman" w:eastAsia="楷体_GB2312" w:cs="Times New Roman"/>
          <w:spacing w:val="6"/>
          <w:kern w:val="2"/>
          <w:sz w:val="32"/>
          <w:szCs w:val="32"/>
          <w:shd w:val="clear" w:color="auto" w:fill="FFFFFF"/>
          <w:lang w:val="en-US" w:eastAsia="zh-CN" w:bidi="ar-SA"/>
        </w:rPr>
        <w:t>三</w:t>
      </w:r>
      <w:r>
        <w:rPr>
          <w:rFonts w:hint="default" w:ascii="Times New Roman" w:hAnsi="Times New Roman" w:eastAsia="楷体_GB2312" w:cs="Times New Roman"/>
          <w:spacing w:val="6"/>
          <w:kern w:val="2"/>
          <w:sz w:val="32"/>
          <w:szCs w:val="32"/>
          <w:shd w:val="clear" w:color="auto" w:fill="FFFFFF"/>
          <w:lang w:val="en-US" w:eastAsia="zh-CN" w:bidi="ar-SA"/>
        </w:rPr>
        <w:t>）规模以上营利性服务业企业数量较少，增长乏力。</w:t>
      </w:r>
      <w:r>
        <w:rPr>
          <w:rFonts w:hint="default" w:ascii="Times New Roman" w:hAnsi="Times New Roman" w:eastAsia="仿宋_GB2312" w:cs="Times New Roman"/>
          <w:spacing w:val="6"/>
          <w:kern w:val="2"/>
          <w:sz w:val="32"/>
          <w:szCs w:val="32"/>
          <w:shd w:val="clear" w:color="auto" w:fill="FFFFFF"/>
          <w:lang w:val="en-US" w:eastAsia="zh-CN" w:bidi="ar-SA"/>
        </w:rPr>
        <w:t xml:space="preserve">目前我县规上营利性服务业企业总数只有3家，企业数量少、行业覆盖不全导致行业数据波动明显、稳定性较差，难以全面地、准确地反映行业发展情况。且新成立的服务业企业少，现有企业规模小，营业收入很难达到入库标准，培育难度较大。 </w:t>
      </w:r>
    </w:p>
    <w:p>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64" w:firstLineChars="200"/>
        <w:jc w:val="left"/>
        <w:textAlignment w:val="auto"/>
        <w:rPr>
          <w:rFonts w:hint="default" w:ascii="Times New Roman" w:hAnsi="Times New Roman" w:eastAsia="黑体" w:cs="Times New Roman"/>
          <w:spacing w:val="6"/>
          <w:kern w:val="2"/>
          <w:sz w:val="32"/>
          <w:szCs w:val="32"/>
          <w:shd w:val="clear" w:color="auto" w:fill="FFFFFF"/>
          <w:lang w:val="en-US" w:eastAsia="zh-CN" w:bidi="ar-SA"/>
        </w:rPr>
      </w:pPr>
      <w:r>
        <w:rPr>
          <w:rFonts w:hint="default" w:ascii="Times New Roman" w:hAnsi="Times New Roman" w:eastAsia="黑体" w:cs="Times New Roman"/>
          <w:spacing w:val="6"/>
          <w:kern w:val="2"/>
          <w:sz w:val="32"/>
          <w:szCs w:val="32"/>
          <w:shd w:val="clear" w:color="auto" w:fill="FFFFFF"/>
          <w:lang w:val="en-US" w:eastAsia="zh-CN" w:bidi="ar-SA"/>
        </w:rPr>
        <w:t>四、几点建议</w:t>
      </w:r>
    </w:p>
    <w:p>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楷体" w:hAnsi="楷体" w:eastAsia="楷体" w:cs="楷体"/>
          <w:b w:val="0"/>
          <w:bCs w:val="0"/>
          <w:color w:val="auto"/>
          <w:kern w:val="2"/>
          <w:sz w:val="32"/>
          <w:szCs w:val="32"/>
          <w:highlight w:val="none"/>
          <w:lang w:val="en-US" w:eastAsia="zh-CN" w:bidi="ar-SA"/>
        </w:rPr>
        <w:t>（一）聚焦一产提质增效。</w:t>
      </w:r>
      <w:r>
        <w:rPr>
          <w:rFonts w:hint="eastAsia" w:ascii="仿宋_GB2312" w:hAnsi="仿宋_GB2312" w:eastAsia="仿宋_GB2312" w:cs="仿宋_GB2312"/>
          <w:b w:val="0"/>
          <w:bCs w:val="0"/>
          <w:color w:val="auto"/>
          <w:sz w:val="32"/>
          <w:szCs w:val="32"/>
          <w:lang w:val="en-US" w:eastAsia="zh-CN"/>
        </w:rPr>
        <w:t>扎实推进高标准农田建设，确保完成14.85万亩粮食播种任务；积极挖掘冬闲田潜力，加强高山萝卜、柑橘等特色作物管护；加快盛德、天九等养殖场扩建，促进新群农场陆基圆池鲈鱼养殖项目投产，争取肉类总产量增量增产。</w:t>
      </w:r>
    </w:p>
    <w:p>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kern w:val="2"/>
          <w:sz w:val="32"/>
          <w:szCs w:val="32"/>
          <w:highlight w:val="none"/>
          <w:lang w:val="en-US" w:eastAsia="zh-CN" w:bidi="ar-SA"/>
        </w:rPr>
        <w:t>（二）聚焦二产攻坚突破。</w:t>
      </w:r>
      <w:r>
        <w:rPr>
          <w:rFonts w:hint="eastAsia" w:ascii="仿宋_GB2312" w:hAnsi="仿宋_GB2312" w:eastAsia="仿宋_GB2312" w:cs="仿宋_GB2312"/>
          <w:sz w:val="32"/>
          <w:szCs w:val="32"/>
          <w:highlight w:val="none"/>
          <w:lang w:val="en-US" w:eastAsia="zh-CN"/>
        </w:rPr>
        <w:t>建立“一企一策”帮扶机制，重点服务10家减产企业，紧盯2家产值下降过亿企业，服务好新入库的资源坪台新能源公司，督促金紫山风电实现满产达产，全力推动桂亿町、电投绿合新能源</w:t>
      </w:r>
      <w:r>
        <w:rPr>
          <w:rFonts w:hint="eastAsia" w:ascii="仿宋_GB2312" w:hAnsi="仿宋_GB2312" w:eastAsia="仿宋_GB2312" w:cs="仿宋_GB2312"/>
          <w:color w:val="auto"/>
          <w:kern w:val="0"/>
          <w:sz w:val="32"/>
          <w:szCs w:val="32"/>
          <w:highlight w:val="none"/>
          <w:lang w:val="en-US" w:eastAsia="zh-CN" w:bidi="ar"/>
        </w:rPr>
        <w:t>等企业</w:t>
      </w:r>
      <w:r>
        <w:rPr>
          <w:rFonts w:hint="eastAsia" w:ascii="仿宋_GB2312" w:hAnsi="仿宋_GB2312" w:eastAsia="仿宋_GB2312" w:cs="仿宋_GB2312"/>
          <w:sz w:val="32"/>
          <w:szCs w:val="32"/>
          <w:highlight w:val="none"/>
          <w:lang w:val="en-US" w:eastAsia="zh-CN"/>
        </w:rPr>
        <w:t>四季度实现月度入库，争取规模以上工业增加值增速扭负为正；加强对在库建筑企业的服务引导，</w:t>
      </w:r>
      <w:r>
        <w:rPr>
          <w:rFonts w:hint="eastAsia" w:ascii="仿宋_GB2312" w:hAnsi="仿宋_GB2312" w:eastAsia="仿宋_GB2312" w:cs="仿宋_GB2312"/>
          <w:b w:val="0"/>
          <w:bCs w:val="0"/>
          <w:color w:val="auto"/>
          <w:sz w:val="32"/>
          <w:szCs w:val="32"/>
          <w:highlight w:val="none"/>
          <w:lang w:val="en-US" w:eastAsia="zh-CN"/>
        </w:rPr>
        <w:t>推动康泰肉联二期、县域环境整治等项目加快建设和资金拨付。</w:t>
      </w:r>
    </w:p>
    <w:p>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val="0"/>
          <w:bCs w:val="0"/>
          <w:color w:val="auto"/>
          <w:kern w:val="2"/>
          <w:sz w:val="32"/>
          <w:szCs w:val="32"/>
          <w:highlight w:val="none"/>
          <w:lang w:val="en-US" w:eastAsia="zh-CN" w:bidi="ar-SA"/>
        </w:rPr>
        <w:t>（三）聚焦三产挖潜促消</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sz w:val="32"/>
          <w:szCs w:val="32"/>
          <w:highlight w:val="none"/>
          <w:lang w:val="en-US" w:eastAsia="zh-CN"/>
        </w:rPr>
        <w:t>高质量办好30周年纪念活动，推介秋冬季观花赏雪等精品线路，结合“以旧换新”政策开展促销，推动广西资新投资、中铁建桂林旅游开发等企业年内上规入统，</w:t>
      </w:r>
      <w:r>
        <w:rPr>
          <w:rFonts w:hint="eastAsia" w:ascii="仿宋_GB2312" w:hAnsi="仿宋_GB2312" w:eastAsia="仿宋_GB2312" w:cs="仿宋_GB2312"/>
          <w:color w:val="auto"/>
          <w:sz w:val="32"/>
          <w:szCs w:val="32"/>
          <w:highlight w:val="none"/>
          <w:lang w:eastAsia="zh-CN"/>
        </w:rPr>
        <w:t>带动</w:t>
      </w:r>
      <w:r>
        <w:rPr>
          <w:rFonts w:hint="eastAsia" w:ascii="仿宋_GB2312" w:hAnsi="仿宋_GB2312" w:eastAsia="仿宋_GB2312" w:cs="仿宋_GB2312"/>
          <w:sz w:val="32"/>
          <w:szCs w:val="32"/>
          <w:highlight w:val="none"/>
          <w:lang w:val="en-US" w:eastAsia="zh-CN"/>
        </w:rPr>
        <w:t>限上批零住餐和规模以上营利性服务业。</w:t>
      </w:r>
      <w:r>
        <w:rPr>
          <w:rFonts w:hint="eastAsia" w:ascii="仿宋_GB2312" w:hAnsi="仿宋_GB2312" w:eastAsia="仿宋_GB2312" w:cs="仿宋_GB2312"/>
          <w:color w:val="auto"/>
          <w:sz w:val="32"/>
          <w:szCs w:val="32"/>
          <w:highlight w:val="none"/>
          <w:lang w:val="en-US" w:eastAsia="zh-CN"/>
        </w:rPr>
        <w:t>加大购房契税补贴政策宣传力度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积极</w:t>
      </w:r>
      <w:r>
        <w:rPr>
          <w:rFonts w:hint="eastAsia" w:ascii="仿宋_GB2312" w:hAnsi="仿宋_GB2312" w:eastAsia="仿宋_GB2312" w:cs="仿宋_GB2312"/>
          <w:color w:val="auto"/>
          <w:sz w:val="32"/>
          <w:szCs w:val="32"/>
          <w:highlight w:val="none"/>
          <w:lang w:val="en-US" w:eastAsia="zh-CN"/>
        </w:rPr>
        <w:t>谋划城北体育馆片区新楼盘开发。重点协调农业银行与中船公司风电项目对接，促进贷款落地。</w:t>
      </w:r>
    </w:p>
    <w:p>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color w:val="auto"/>
          <w:kern w:val="2"/>
          <w:sz w:val="32"/>
          <w:szCs w:val="32"/>
          <w:highlight w:val="none"/>
          <w:lang w:val="en-US" w:eastAsia="zh-CN" w:bidi="ar-SA"/>
        </w:rPr>
        <w:t>（四）聚焦投资加速发力。</w:t>
      </w:r>
      <w:r>
        <w:rPr>
          <w:rFonts w:hint="eastAsia" w:ascii="仿宋_GB2312" w:hAnsi="仿宋_GB2312" w:eastAsia="仿宋_GB2312" w:cs="仿宋_GB2312"/>
          <w:sz w:val="32"/>
          <w:szCs w:val="32"/>
          <w:lang w:val="en-US" w:eastAsia="zh-CN"/>
        </w:rPr>
        <w:t>动态摸排2025年计划开工项目，加快小流域综合治理提质增效等项目入库进度，确保“开工即入库”；加快推进电网基建、同禾养心谷等10个存量项目建设进度，专班服务枫树湾风电项目，确保12月前完工；主动对接竹山湾等新建风电项目，争取年底前形成可观的投资增量；开展“千企万户大走访”，精准破解融资、用地等堵点难点，切实增强投资对经济增长的拉动效能，为长远发展蓄积后劲。</w:t>
      </w:r>
    </w:p>
    <w:p>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440" w:right="12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140"/>
      </w:tabs>
      <w:wordWrap w:val="0"/>
      <w:ind w:right="405"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tabs>
                              <w:tab w:val="left" w:pos="7140"/>
                            </w:tabs>
                            <w:wordWrap w:val="0"/>
                            <w:ind w:right="405" w:firstLine="360"/>
                            <w:jc w:val="right"/>
                          </w:pPr>
                          <w:r>
                            <w:rPr>
                              <w:rStyle w:val="16"/>
                              <w:rFonts w:hint="eastAsia"/>
                              <w:color w:val="000000"/>
                              <w:spacing w:val="-8"/>
                              <w:sz w:val="28"/>
                              <w:szCs w:val="28"/>
                            </w:rPr>
                            <w:t xml:space="preserve">—  </w:t>
                          </w:r>
                          <w:r>
                            <w:rPr>
                              <w:rFonts w:ascii="宋体" w:hAnsi="宋体"/>
                              <w:color w:val="000000"/>
                              <w:spacing w:val="-8"/>
                              <w:sz w:val="28"/>
                              <w:szCs w:val="28"/>
                            </w:rPr>
                            <w:fldChar w:fldCharType="begin"/>
                          </w:r>
                          <w:r>
                            <w:rPr>
                              <w:rStyle w:val="16"/>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6"/>
                              <w:rFonts w:ascii="宋体" w:hAnsi="宋体"/>
                              <w:color w:val="000000"/>
                              <w:spacing w:val="-8"/>
                              <w:sz w:val="28"/>
                              <w:szCs w:val="28"/>
                            </w:rPr>
                            <w:t>1</w:t>
                          </w:r>
                          <w:r>
                            <w:rPr>
                              <w:rFonts w:ascii="宋体" w:hAnsi="宋体"/>
                              <w:color w:val="000000"/>
                              <w:spacing w:val="-8"/>
                              <w:sz w:val="28"/>
                              <w:szCs w:val="28"/>
                            </w:rPr>
                            <w:fldChar w:fldCharType="end"/>
                          </w:r>
                          <w:r>
                            <w:rPr>
                              <w:rStyle w:val="16"/>
                              <w:rFonts w:hint="eastAsia" w:ascii="宋体" w:hAnsi="宋体"/>
                              <w:color w:val="000000"/>
                              <w:spacing w:val="-8"/>
                              <w:sz w:val="28"/>
                              <w:szCs w:val="28"/>
                            </w:rPr>
                            <w:t xml:space="preserve"> </w:t>
                          </w:r>
                          <w:r>
                            <w:rPr>
                              <w:rStyle w:val="16"/>
                              <w:rFonts w:hint="eastAsia"/>
                              <w:color w:val="000000"/>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tabs>
                        <w:tab w:val="left" w:pos="7140"/>
                      </w:tabs>
                      <w:wordWrap w:val="0"/>
                      <w:ind w:right="405" w:firstLine="360"/>
                      <w:jc w:val="right"/>
                    </w:pPr>
                    <w:r>
                      <w:rPr>
                        <w:rStyle w:val="16"/>
                        <w:rFonts w:hint="eastAsia"/>
                        <w:color w:val="000000"/>
                        <w:spacing w:val="-8"/>
                        <w:sz w:val="28"/>
                        <w:szCs w:val="28"/>
                      </w:rPr>
                      <w:t xml:space="preserve">—  </w:t>
                    </w:r>
                    <w:r>
                      <w:rPr>
                        <w:rFonts w:ascii="宋体" w:hAnsi="宋体"/>
                        <w:color w:val="000000"/>
                        <w:spacing w:val="-8"/>
                        <w:sz w:val="28"/>
                        <w:szCs w:val="28"/>
                      </w:rPr>
                      <w:fldChar w:fldCharType="begin"/>
                    </w:r>
                    <w:r>
                      <w:rPr>
                        <w:rStyle w:val="16"/>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6"/>
                        <w:rFonts w:ascii="宋体" w:hAnsi="宋体"/>
                        <w:color w:val="000000"/>
                        <w:spacing w:val="-8"/>
                        <w:sz w:val="28"/>
                        <w:szCs w:val="28"/>
                      </w:rPr>
                      <w:t>1</w:t>
                    </w:r>
                    <w:r>
                      <w:rPr>
                        <w:rFonts w:ascii="宋体" w:hAnsi="宋体"/>
                        <w:color w:val="000000"/>
                        <w:spacing w:val="-8"/>
                        <w:sz w:val="28"/>
                        <w:szCs w:val="28"/>
                      </w:rPr>
                      <w:fldChar w:fldCharType="end"/>
                    </w:r>
                    <w:r>
                      <w:rPr>
                        <w:rStyle w:val="16"/>
                        <w:rFonts w:hint="eastAsia" w:ascii="宋体" w:hAnsi="宋体"/>
                        <w:color w:val="000000"/>
                        <w:spacing w:val="-8"/>
                        <w:sz w:val="28"/>
                        <w:szCs w:val="28"/>
                      </w:rPr>
                      <w:t xml:space="preserve"> </w:t>
                    </w:r>
                    <w:r>
                      <w:rPr>
                        <w:rStyle w:val="16"/>
                        <w:rFonts w:hint="eastAsia"/>
                        <w:color w:val="000000"/>
                        <w:spacing w:val="-8"/>
                        <w:sz w:val="28"/>
                        <w:szCs w:val="28"/>
                      </w:rPr>
                      <w:t xml:space="preserve"> —</w:t>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79434"/>
    <w:multiLevelType w:val="singleLevel"/>
    <w:tmpl w:val="A0579434"/>
    <w:lvl w:ilvl="0" w:tentative="0">
      <w:start w:val="1"/>
      <w:numFmt w:val="chineseCounting"/>
      <w:suff w:val="nothing"/>
      <w:lvlText w:val="（%1）"/>
      <w:lvlJc w:val="left"/>
      <w:rPr>
        <w:rFonts w:hint="eastAsia"/>
      </w:rPr>
    </w:lvl>
  </w:abstractNum>
  <w:abstractNum w:abstractNumId="1">
    <w:nsid w:val="DFEE3531"/>
    <w:multiLevelType w:val="singleLevel"/>
    <w:tmpl w:val="DFEE353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YmRmZTA1MDVkNDBhYWMwMjEwYWIwYzJlZjEzNzUifQ=="/>
  </w:docVars>
  <w:rsids>
    <w:rsidRoot w:val="026306AC"/>
    <w:rsid w:val="004E6AD7"/>
    <w:rsid w:val="00595883"/>
    <w:rsid w:val="00D9637F"/>
    <w:rsid w:val="01071EBF"/>
    <w:rsid w:val="01406BB4"/>
    <w:rsid w:val="016F45ED"/>
    <w:rsid w:val="018111CE"/>
    <w:rsid w:val="01FD4C2B"/>
    <w:rsid w:val="020411DA"/>
    <w:rsid w:val="023758FE"/>
    <w:rsid w:val="024944D8"/>
    <w:rsid w:val="026306AC"/>
    <w:rsid w:val="02683E76"/>
    <w:rsid w:val="02B6709D"/>
    <w:rsid w:val="032C4E8C"/>
    <w:rsid w:val="034675D0"/>
    <w:rsid w:val="03694EBA"/>
    <w:rsid w:val="036E42B8"/>
    <w:rsid w:val="03C30C20"/>
    <w:rsid w:val="03CE13CD"/>
    <w:rsid w:val="04250BBE"/>
    <w:rsid w:val="045D07AF"/>
    <w:rsid w:val="048E0FA1"/>
    <w:rsid w:val="04975514"/>
    <w:rsid w:val="049802FF"/>
    <w:rsid w:val="04A528C8"/>
    <w:rsid w:val="04B00145"/>
    <w:rsid w:val="04D87247"/>
    <w:rsid w:val="050D6215"/>
    <w:rsid w:val="05D47115"/>
    <w:rsid w:val="06732524"/>
    <w:rsid w:val="067D5433"/>
    <w:rsid w:val="06BD404D"/>
    <w:rsid w:val="06D342A9"/>
    <w:rsid w:val="07032827"/>
    <w:rsid w:val="07A32405"/>
    <w:rsid w:val="07F558F4"/>
    <w:rsid w:val="07F64E08"/>
    <w:rsid w:val="08AA0601"/>
    <w:rsid w:val="08B4037A"/>
    <w:rsid w:val="091A17DE"/>
    <w:rsid w:val="09295E9E"/>
    <w:rsid w:val="093976CC"/>
    <w:rsid w:val="09402B0D"/>
    <w:rsid w:val="09616400"/>
    <w:rsid w:val="096A5FCE"/>
    <w:rsid w:val="09D678FF"/>
    <w:rsid w:val="0A3D797F"/>
    <w:rsid w:val="0A430E0F"/>
    <w:rsid w:val="0A6D3946"/>
    <w:rsid w:val="0AB40941"/>
    <w:rsid w:val="0AE431AC"/>
    <w:rsid w:val="0AE84FF2"/>
    <w:rsid w:val="0AEC150C"/>
    <w:rsid w:val="0B1A769A"/>
    <w:rsid w:val="0B6E449C"/>
    <w:rsid w:val="0BA23811"/>
    <w:rsid w:val="0BB806BF"/>
    <w:rsid w:val="0BD56B62"/>
    <w:rsid w:val="0BDA5E84"/>
    <w:rsid w:val="0C297536"/>
    <w:rsid w:val="0C526355"/>
    <w:rsid w:val="0C62191E"/>
    <w:rsid w:val="0CB67574"/>
    <w:rsid w:val="0CCE6992"/>
    <w:rsid w:val="0D0238B7"/>
    <w:rsid w:val="0D292C69"/>
    <w:rsid w:val="0D4F69B2"/>
    <w:rsid w:val="0DED10AE"/>
    <w:rsid w:val="0E6A2D0C"/>
    <w:rsid w:val="0E77558A"/>
    <w:rsid w:val="0EC26FA4"/>
    <w:rsid w:val="0F67379F"/>
    <w:rsid w:val="0F696B20"/>
    <w:rsid w:val="0F8A78DF"/>
    <w:rsid w:val="0FCE72CB"/>
    <w:rsid w:val="0FE8038D"/>
    <w:rsid w:val="10392996"/>
    <w:rsid w:val="10D14A05"/>
    <w:rsid w:val="10E365C2"/>
    <w:rsid w:val="11270A41"/>
    <w:rsid w:val="113066C1"/>
    <w:rsid w:val="11890DCD"/>
    <w:rsid w:val="11AA3420"/>
    <w:rsid w:val="11AA6E3E"/>
    <w:rsid w:val="1231650C"/>
    <w:rsid w:val="126D2DCB"/>
    <w:rsid w:val="12820C40"/>
    <w:rsid w:val="130018D9"/>
    <w:rsid w:val="130F7B66"/>
    <w:rsid w:val="131B78FA"/>
    <w:rsid w:val="13306645"/>
    <w:rsid w:val="14575DAF"/>
    <w:rsid w:val="147177E0"/>
    <w:rsid w:val="148461AA"/>
    <w:rsid w:val="148B7538"/>
    <w:rsid w:val="14CD7B51"/>
    <w:rsid w:val="1601798F"/>
    <w:rsid w:val="16336C45"/>
    <w:rsid w:val="168406E3"/>
    <w:rsid w:val="16B03286"/>
    <w:rsid w:val="17495AA8"/>
    <w:rsid w:val="17B010FC"/>
    <w:rsid w:val="17B5412B"/>
    <w:rsid w:val="17C36FE9"/>
    <w:rsid w:val="182539D9"/>
    <w:rsid w:val="18512322"/>
    <w:rsid w:val="18A4506D"/>
    <w:rsid w:val="18AA6C52"/>
    <w:rsid w:val="18CD38A6"/>
    <w:rsid w:val="19237E96"/>
    <w:rsid w:val="1941133F"/>
    <w:rsid w:val="19F618F8"/>
    <w:rsid w:val="1A1C3315"/>
    <w:rsid w:val="1A4A0280"/>
    <w:rsid w:val="1A4B2894"/>
    <w:rsid w:val="1A7C5C7A"/>
    <w:rsid w:val="1AF35E37"/>
    <w:rsid w:val="1B012026"/>
    <w:rsid w:val="1B1946DC"/>
    <w:rsid w:val="1B2C5C22"/>
    <w:rsid w:val="1B303855"/>
    <w:rsid w:val="1B375D24"/>
    <w:rsid w:val="1B510196"/>
    <w:rsid w:val="1B742AD4"/>
    <w:rsid w:val="1C024584"/>
    <w:rsid w:val="1C3E7F58"/>
    <w:rsid w:val="1CD31A7D"/>
    <w:rsid w:val="1D064EAE"/>
    <w:rsid w:val="1D6D7456"/>
    <w:rsid w:val="1D7E4CE6"/>
    <w:rsid w:val="1DB75DEA"/>
    <w:rsid w:val="1E9A46DE"/>
    <w:rsid w:val="1F3C14D5"/>
    <w:rsid w:val="1F782821"/>
    <w:rsid w:val="1FB762ED"/>
    <w:rsid w:val="1FD86823"/>
    <w:rsid w:val="1FEB0C35"/>
    <w:rsid w:val="204C2272"/>
    <w:rsid w:val="205731B3"/>
    <w:rsid w:val="20C95670"/>
    <w:rsid w:val="216F2939"/>
    <w:rsid w:val="21947A2B"/>
    <w:rsid w:val="21C01703"/>
    <w:rsid w:val="22640AE1"/>
    <w:rsid w:val="22810ECB"/>
    <w:rsid w:val="22E54D84"/>
    <w:rsid w:val="22FA4207"/>
    <w:rsid w:val="23BB026B"/>
    <w:rsid w:val="23D6413A"/>
    <w:rsid w:val="248D0B17"/>
    <w:rsid w:val="24AA7567"/>
    <w:rsid w:val="24B25B68"/>
    <w:rsid w:val="24CC3BE1"/>
    <w:rsid w:val="24D9609E"/>
    <w:rsid w:val="24DB3BC4"/>
    <w:rsid w:val="24E71EFA"/>
    <w:rsid w:val="25CD3A76"/>
    <w:rsid w:val="25E371D4"/>
    <w:rsid w:val="26211A56"/>
    <w:rsid w:val="262D66A1"/>
    <w:rsid w:val="266C5FB9"/>
    <w:rsid w:val="26765D99"/>
    <w:rsid w:val="269F47EE"/>
    <w:rsid w:val="26A03E06"/>
    <w:rsid w:val="274B2C1C"/>
    <w:rsid w:val="281E2746"/>
    <w:rsid w:val="281F5561"/>
    <w:rsid w:val="2908719B"/>
    <w:rsid w:val="297B5976"/>
    <w:rsid w:val="29C27FBA"/>
    <w:rsid w:val="29D83A19"/>
    <w:rsid w:val="29F319B0"/>
    <w:rsid w:val="2A274151"/>
    <w:rsid w:val="2A573CED"/>
    <w:rsid w:val="2A8704F8"/>
    <w:rsid w:val="2AAF60B0"/>
    <w:rsid w:val="2AB22486"/>
    <w:rsid w:val="2B201C64"/>
    <w:rsid w:val="2B7E34FB"/>
    <w:rsid w:val="2BA8720F"/>
    <w:rsid w:val="2BB94F21"/>
    <w:rsid w:val="2C5D6BA9"/>
    <w:rsid w:val="2CED26E7"/>
    <w:rsid w:val="2D490C13"/>
    <w:rsid w:val="2D6055AE"/>
    <w:rsid w:val="2D801AB4"/>
    <w:rsid w:val="2D996BD8"/>
    <w:rsid w:val="2DAE2494"/>
    <w:rsid w:val="2DC87F71"/>
    <w:rsid w:val="2E327C8A"/>
    <w:rsid w:val="2E60301A"/>
    <w:rsid w:val="2ED47230"/>
    <w:rsid w:val="2EDD678B"/>
    <w:rsid w:val="2F2F5238"/>
    <w:rsid w:val="2F5C1E00"/>
    <w:rsid w:val="2F5E1045"/>
    <w:rsid w:val="2F8135BA"/>
    <w:rsid w:val="2F8F1554"/>
    <w:rsid w:val="2FA85492"/>
    <w:rsid w:val="2FEF6427"/>
    <w:rsid w:val="301601A6"/>
    <w:rsid w:val="30234671"/>
    <w:rsid w:val="305667F5"/>
    <w:rsid w:val="30633E3B"/>
    <w:rsid w:val="30AC6AF7"/>
    <w:rsid w:val="30D11760"/>
    <w:rsid w:val="30E402A4"/>
    <w:rsid w:val="30ED7159"/>
    <w:rsid w:val="30FC739C"/>
    <w:rsid w:val="31012F78"/>
    <w:rsid w:val="31322BF0"/>
    <w:rsid w:val="313411D1"/>
    <w:rsid w:val="316B2774"/>
    <w:rsid w:val="31A124A9"/>
    <w:rsid w:val="31D73965"/>
    <w:rsid w:val="320E7169"/>
    <w:rsid w:val="32BF2B3A"/>
    <w:rsid w:val="33316B7B"/>
    <w:rsid w:val="33663DB1"/>
    <w:rsid w:val="33B9096A"/>
    <w:rsid w:val="33CD1809"/>
    <w:rsid w:val="33DE31C6"/>
    <w:rsid w:val="33E365F1"/>
    <w:rsid w:val="33F807E9"/>
    <w:rsid w:val="3441036B"/>
    <w:rsid w:val="34412E37"/>
    <w:rsid w:val="35241B92"/>
    <w:rsid w:val="352C6210"/>
    <w:rsid w:val="35713976"/>
    <w:rsid w:val="35887BAB"/>
    <w:rsid w:val="358D2EA7"/>
    <w:rsid w:val="3597738F"/>
    <w:rsid w:val="359D2519"/>
    <w:rsid w:val="35A84AA3"/>
    <w:rsid w:val="361B02C4"/>
    <w:rsid w:val="36372C24"/>
    <w:rsid w:val="36931E73"/>
    <w:rsid w:val="369346F7"/>
    <w:rsid w:val="36A91D74"/>
    <w:rsid w:val="36CB5A6B"/>
    <w:rsid w:val="36EC59B3"/>
    <w:rsid w:val="37A454B2"/>
    <w:rsid w:val="388B03EE"/>
    <w:rsid w:val="38912AC0"/>
    <w:rsid w:val="391F2488"/>
    <w:rsid w:val="39334084"/>
    <w:rsid w:val="395A55A8"/>
    <w:rsid w:val="396D5FCB"/>
    <w:rsid w:val="39B822CE"/>
    <w:rsid w:val="39E54C7E"/>
    <w:rsid w:val="3A3519D1"/>
    <w:rsid w:val="3A576D8D"/>
    <w:rsid w:val="3AB118B5"/>
    <w:rsid w:val="3AD67296"/>
    <w:rsid w:val="3B206D92"/>
    <w:rsid w:val="3B3F60C1"/>
    <w:rsid w:val="3B7774BB"/>
    <w:rsid w:val="3B9E4D92"/>
    <w:rsid w:val="3C1D1BBA"/>
    <w:rsid w:val="3C575C4E"/>
    <w:rsid w:val="3C642299"/>
    <w:rsid w:val="3C862210"/>
    <w:rsid w:val="3CA54D8C"/>
    <w:rsid w:val="3CDB2F6F"/>
    <w:rsid w:val="3D0D0E5C"/>
    <w:rsid w:val="3D1B3DB0"/>
    <w:rsid w:val="3D483E84"/>
    <w:rsid w:val="3D5C1338"/>
    <w:rsid w:val="3D624CAE"/>
    <w:rsid w:val="3D8263F7"/>
    <w:rsid w:val="3DAB1CCC"/>
    <w:rsid w:val="3E5E3444"/>
    <w:rsid w:val="3E640D24"/>
    <w:rsid w:val="3E704F26"/>
    <w:rsid w:val="3E7F33BB"/>
    <w:rsid w:val="3EC63638"/>
    <w:rsid w:val="3EF75C45"/>
    <w:rsid w:val="3F780536"/>
    <w:rsid w:val="3FA21C75"/>
    <w:rsid w:val="40331F40"/>
    <w:rsid w:val="40442B0E"/>
    <w:rsid w:val="4098779E"/>
    <w:rsid w:val="40A4535A"/>
    <w:rsid w:val="40C46DEE"/>
    <w:rsid w:val="40EC05AB"/>
    <w:rsid w:val="41CE08E1"/>
    <w:rsid w:val="41EC5C11"/>
    <w:rsid w:val="42521512"/>
    <w:rsid w:val="428711BD"/>
    <w:rsid w:val="42A666D3"/>
    <w:rsid w:val="42AD7535"/>
    <w:rsid w:val="42EE7F3E"/>
    <w:rsid w:val="43310D2E"/>
    <w:rsid w:val="43BC29BB"/>
    <w:rsid w:val="43D9531B"/>
    <w:rsid w:val="44140159"/>
    <w:rsid w:val="4451086E"/>
    <w:rsid w:val="445E6EA4"/>
    <w:rsid w:val="44B57B36"/>
    <w:rsid w:val="44FF374B"/>
    <w:rsid w:val="451313F6"/>
    <w:rsid w:val="45506C29"/>
    <w:rsid w:val="455E3FF6"/>
    <w:rsid w:val="456D21BF"/>
    <w:rsid w:val="45863F0F"/>
    <w:rsid w:val="46222FA9"/>
    <w:rsid w:val="46441DFD"/>
    <w:rsid w:val="46483629"/>
    <w:rsid w:val="46843C64"/>
    <w:rsid w:val="46B83457"/>
    <w:rsid w:val="46BA1434"/>
    <w:rsid w:val="46F8097F"/>
    <w:rsid w:val="472E597E"/>
    <w:rsid w:val="478D729D"/>
    <w:rsid w:val="47BA3586"/>
    <w:rsid w:val="47C87B80"/>
    <w:rsid w:val="48B325DE"/>
    <w:rsid w:val="4914021D"/>
    <w:rsid w:val="495579D6"/>
    <w:rsid w:val="497F6965"/>
    <w:rsid w:val="49C10D2B"/>
    <w:rsid w:val="4A7B35D0"/>
    <w:rsid w:val="4A8A10C1"/>
    <w:rsid w:val="4A927267"/>
    <w:rsid w:val="4ABE20F3"/>
    <w:rsid w:val="4AD54A8E"/>
    <w:rsid w:val="4B152ADC"/>
    <w:rsid w:val="4B383175"/>
    <w:rsid w:val="4BA40A9B"/>
    <w:rsid w:val="4BAB4B2A"/>
    <w:rsid w:val="4C433C79"/>
    <w:rsid w:val="4CE27936"/>
    <w:rsid w:val="4CE51E03"/>
    <w:rsid w:val="4CEB4D7C"/>
    <w:rsid w:val="4D083C53"/>
    <w:rsid w:val="4D407CB0"/>
    <w:rsid w:val="4D897F0C"/>
    <w:rsid w:val="4D9C6D15"/>
    <w:rsid w:val="4DC1579E"/>
    <w:rsid w:val="4DE13DC5"/>
    <w:rsid w:val="4E8F4889"/>
    <w:rsid w:val="4EA6241A"/>
    <w:rsid w:val="4F6B613B"/>
    <w:rsid w:val="4FC81996"/>
    <w:rsid w:val="50835C26"/>
    <w:rsid w:val="5093016C"/>
    <w:rsid w:val="509479E7"/>
    <w:rsid w:val="509505F3"/>
    <w:rsid w:val="50D83132"/>
    <w:rsid w:val="50E91447"/>
    <w:rsid w:val="50E9517D"/>
    <w:rsid w:val="50E95A62"/>
    <w:rsid w:val="50F533DB"/>
    <w:rsid w:val="51344E18"/>
    <w:rsid w:val="51562339"/>
    <w:rsid w:val="51B83CF3"/>
    <w:rsid w:val="51D569AB"/>
    <w:rsid w:val="52192DE2"/>
    <w:rsid w:val="52466271"/>
    <w:rsid w:val="52536850"/>
    <w:rsid w:val="525C6BF0"/>
    <w:rsid w:val="52614E59"/>
    <w:rsid w:val="527D4186"/>
    <w:rsid w:val="52A14542"/>
    <w:rsid w:val="52D90CBE"/>
    <w:rsid w:val="53280172"/>
    <w:rsid w:val="53620E89"/>
    <w:rsid w:val="539320CC"/>
    <w:rsid w:val="53955D20"/>
    <w:rsid w:val="53D02297"/>
    <w:rsid w:val="543A72A6"/>
    <w:rsid w:val="5461400E"/>
    <w:rsid w:val="5483189C"/>
    <w:rsid w:val="54A51975"/>
    <w:rsid w:val="54CB4FEA"/>
    <w:rsid w:val="54F621D1"/>
    <w:rsid w:val="55144405"/>
    <w:rsid w:val="55322C20"/>
    <w:rsid w:val="557264C3"/>
    <w:rsid w:val="557A016A"/>
    <w:rsid w:val="55A16DD0"/>
    <w:rsid w:val="56336B0D"/>
    <w:rsid w:val="566E3FE9"/>
    <w:rsid w:val="574C6D09"/>
    <w:rsid w:val="57B82C3D"/>
    <w:rsid w:val="580612FD"/>
    <w:rsid w:val="580C7279"/>
    <w:rsid w:val="5842572D"/>
    <w:rsid w:val="584641F5"/>
    <w:rsid w:val="58856DC0"/>
    <w:rsid w:val="59123351"/>
    <w:rsid w:val="597D6869"/>
    <w:rsid w:val="59852668"/>
    <w:rsid w:val="59A321FB"/>
    <w:rsid w:val="59B12B6A"/>
    <w:rsid w:val="5A692FE3"/>
    <w:rsid w:val="5B1E2376"/>
    <w:rsid w:val="5B486DCE"/>
    <w:rsid w:val="5B720443"/>
    <w:rsid w:val="5B9F6428"/>
    <w:rsid w:val="5BAD4574"/>
    <w:rsid w:val="5C25514A"/>
    <w:rsid w:val="5D1E0517"/>
    <w:rsid w:val="5D2B6F83"/>
    <w:rsid w:val="5DC61C85"/>
    <w:rsid w:val="5DD40BD5"/>
    <w:rsid w:val="5DE47A17"/>
    <w:rsid w:val="5E2E29DB"/>
    <w:rsid w:val="5E44405E"/>
    <w:rsid w:val="5E5A37D0"/>
    <w:rsid w:val="5EC0678A"/>
    <w:rsid w:val="5F406187"/>
    <w:rsid w:val="5F570658"/>
    <w:rsid w:val="5FCF130E"/>
    <w:rsid w:val="607F7387"/>
    <w:rsid w:val="60824919"/>
    <w:rsid w:val="60B70030"/>
    <w:rsid w:val="60C34F31"/>
    <w:rsid w:val="60D7253E"/>
    <w:rsid w:val="60E73C97"/>
    <w:rsid w:val="613117A8"/>
    <w:rsid w:val="6158259B"/>
    <w:rsid w:val="61967D72"/>
    <w:rsid w:val="61BD0250"/>
    <w:rsid w:val="62AB6F1C"/>
    <w:rsid w:val="62F9295D"/>
    <w:rsid w:val="62FB6C04"/>
    <w:rsid w:val="632C0DEB"/>
    <w:rsid w:val="63320290"/>
    <w:rsid w:val="63590D82"/>
    <w:rsid w:val="6359757E"/>
    <w:rsid w:val="635E47D3"/>
    <w:rsid w:val="63782623"/>
    <w:rsid w:val="63984453"/>
    <w:rsid w:val="64243F39"/>
    <w:rsid w:val="649D0321"/>
    <w:rsid w:val="64E46A5D"/>
    <w:rsid w:val="64F465C3"/>
    <w:rsid w:val="64FB013A"/>
    <w:rsid w:val="650E0E71"/>
    <w:rsid w:val="652128FB"/>
    <w:rsid w:val="652E02BD"/>
    <w:rsid w:val="65782A18"/>
    <w:rsid w:val="658B0713"/>
    <w:rsid w:val="65B94D3F"/>
    <w:rsid w:val="65C6249A"/>
    <w:rsid w:val="66491D98"/>
    <w:rsid w:val="6661108B"/>
    <w:rsid w:val="66881B8B"/>
    <w:rsid w:val="66F44096"/>
    <w:rsid w:val="66FB01B2"/>
    <w:rsid w:val="678C42CF"/>
    <w:rsid w:val="67B24B51"/>
    <w:rsid w:val="67BB756B"/>
    <w:rsid w:val="67FF4192"/>
    <w:rsid w:val="68096A47"/>
    <w:rsid w:val="6821710D"/>
    <w:rsid w:val="68EF2D67"/>
    <w:rsid w:val="69C55464"/>
    <w:rsid w:val="6A3E24DC"/>
    <w:rsid w:val="6A8B2F63"/>
    <w:rsid w:val="6B083D88"/>
    <w:rsid w:val="6B28355C"/>
    <w:rsid w:val="6BE8483F"/>
    <w:rsid w:val="6BEE35EA"/>
    <w:rsid w:val="6CA8211B"/>
    <w:rsid w:val="6CE32BE3"/>
    <w:rsid w:val="6CE75477"/>
    <w:rsid w:val="6D21195D"/>
    <w:rsid w:val="6DC4208B"/>
    <w:rsid w:val="6EE371A7"/>
    <w:rsid w:val="6F2464F4"/>
    <w:rsid w:val="6F685A55"/>
    <w:rsid w:val="6F857913"/>
    <w:rsid w:val="705D2CAC"/>
    <w:rsid w:val="70B72A00"/>
    <w:rsid w:val="71371CF1"/>
    <w:rsid w:val="71535F3B"/>
    <w:rsid w:val="71E6030B"/>
    <w:rsid w:val="72035AD5"/>
    <w:rsid w:val="72DF209E"/>
    <w:rsid w:val="730312F5"/>
    <w:rsid w:val="734168B5"/>
    <w:rsid w:val="7371350F"/>
    <w:rsid w:val="74000E6D"/>
    <w:rsid w:val="74145D78"/>
    <w:rsid w:val="743A102B"/>
    <w:rsid w:val="747D1B6F"/>
    <w:rsid w:val="7492302B"/>
    <w:rsid w:val="74D177C5"/>
    <w:rsid w:val="74F7526D"/>
    <w:rsid w:val="75631DE7"/>
    <w:rsid w:val="75730C0D"/>
    <w:rsid w:val="75756090"/>
    <w:rsid w:val="75936516"/>
    <w:rsid w:val="75A40881"/>
    <w:rsid w:val="75A41342"/>
    <w:rsid w:val="761675E5"/>
    <w:rsid w:val="764D0227"/>
    <w:rsid w:val="7658419B"/>
    <w:rsid w:val="767D5E56"/>
    <w:rsid w:val="76CA5F0D"/>
    <w:rsid w:val="76FB6D7B"/>
    <w:rsid w:val="7718792D"/>
    <w:rsid w:val="775F555C"/>
    <w:rsid w:val="777032C5"/>
    <w:rsid w:val="77A318EC"/>
    <w:rsid w:val="788944EC"/>
    <w:rsid w:val="78A12C32"/>
    <w:rsid w:val="78E57CE3"/>
    <w:rsid w:val="78F164D6"/>
    <w:rsid w:val="78F54688"/>
    <w:rsid w:val="794408D3"/>
    <w:rsid w:val="79A33E26"/>
    <w:rsid w:val="79A66F05"/>
    <w:rsid w:val="79BC3045"/>
    <w:rsid w:val="7A2134D3"/>
    <w:rsid w:val="7AC758F2"/>
    <w:rsid w:val="7BB83238"/>
    <w:rsid w:val="7BD84537"/>
    <w:rsid w:val="7BDE3001"/>
    <w:rsid w:val="7BFD3595"/>
    <w:rsid w:val="7C137E1D"/>
    <w:rsid w:val="7C39281F"/>
    <w:rsid w:val="7C472928"/>
    <w:rsid w:val="7C6453C2"/>
    <w:rsid w:val="7C970076"/>
    <w:rsid w:val="7C9B6A7C"/>
    <w:rsid w:val="7C9C4B5C"/>
    <w:rsid w:val="7CC04F10"/>
    <w:rsid w:val="7D5F5B65"/>
    <w:rsid w:val="7D9200E9"/>
    <w:rsid w:val="7DA17E11"/>
    <w:rsid w:val="7DCF4ABD"/>
    <w:rsid w:val="7DD72F1A"/>
    <w:rsid w:val="7E6B36E5"/>
    <w:rsid w:val="7E7E6B07"/>
    <w:rsid w:val="7E9975A5"/>
    <w:rsid w:val="7E9D6B6C"/>
    <w:rsid w:val="7EED169F"/>
    <w:rsid w:val="7EF944E8"/>
    <w:rsid w:val="7F1E4EDF"/>
    <w:rsid w:val="7F6A2A83"/>
    <w:rsid w:val="7FCC30A7"/>
    <w:rsid w:val="DFF7DA79"/>
    <w:rsid w:val="F73E9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仿宋_GB2312"/>
      <w:b/>
      <w:kern w:val="2"/>
      <w:sz w:val="32"/>
      <w:szCs w:val="3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60" w:after="120" w:line="560" w:lineRule="exact"/>
      <w:jc w:val="center"/>
      <w:outlineLvl w:val="0"/>
    </w:pPr>
    <w:rPr>
      <w:rFonts w:eastAsia="方正小标宋简体"/>
      <w:bCs/>
      <w:sz w:val="44"/>
    </w:rPr>
  </w:style>
  <w:style w:type="paragraph" w:styleId="5">
    <w:name w:val="caption"/>
    <w:basedOn w:val="1"/>
    <w:next w:val="1"/>
    <w:qFormat/>
    <w:uiPriority w:val="0"/>
    <w:pPr>
      <w:widowControl w:val="0"/>
      <w:jc w:val="both"/>
    </w:pPr>
    <w:rPr>
      <w:rFonts w:ascii="Cambria" w:hAnsi="Cambria" w:eastAsia="黑体" w:cs="Cambria"/>
      <w:kern w:val="2"/>
      <w:sz w:val="20"/>
      <w:szCs w:val="20"/>
      <w:lang w:val="en-US" w:eastAsia="zh-CN" w:bidi="ar-SA"/>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unhideWhenUsed/>
    <w:qFormat/>
    <w:uiPriority w:val="39"/>
    <w:pPr>
      <w:widowControl/>
      <w:spacing w:after="100" w:line="276" w:lineRule="auto"/>
      <w:ind w:left="220"/>
      <w:jc w:val="left"/>
    </w:pPr>
    <w:rPr>
      <w:rFonts w:ascii="Calibri" w:hAnsi="Calibri" w:eastAsia="宋体"/>
      <w:kern w:val="0"/>
      <w:sz w:val="22"/>
    </w:rPr>
  </w:style>
  <w:style w:type="paragraph" w:styleId="10">
    <w:name w:val="Message Header"/>
    <w:qFormat/>
    <w:uiPriority w:val="0"/>
    <w:pPr>
      <w:widowControl w:val="0"/>
      <w:pBdr>
        <w:top w:val="single" w:color="auto" w:sz="6" w:space="1"/>
        <w:left w:val="single" w:color="auto" w:sz="6" w:space="1"/>
        <w:bottom w:val="single" w:color="auto" w:sz="6" w:space="1"/>
        <w:right w:val="single" w:color="auto" w:sz="6" w:space="1"/>
      </w:pBdr>
      <w:shd w:val="pct20" w:color="auto" w:fill="auto"/>
      <w:spacing w:before="0" w:after="0"/>
      <w:ind w:left="1080" w:leftChars="500" w:right="0" w:hanging="1080" w:hangingChars="500"/>
      <w:jc w:val="both"/>
    </w:pPr>
    <w:rPr>
      <w:rFonts w:ascii="Arial" w:hAnsi="Arial" w:eastAsia="宋体" w:cs="Arial"/>
      <w:kern w:val="2"/>
      <w:sz w:val="24"/>
      <w:szCs w:val="24"/>
      <w:lang w:val="en-US" w:eastAsia="zh-CN" w:bidi="ar-SA"/>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2"/>
    <w:next w:val="1"/>
    <w:qFormat/>
    <w:uiPriority w:val="0"/>
    <w:pPr>
      <w:spacing w:before="100" w:beforeAutospacing="1" w:after="0" w:line="360" w:lineRule="auto"/>
      <w:ind w:firstLine="200" w:firstLineChars="200"/>
    </w:pPr>
    <w:rPr>
      <w:rFonts w:ascii="仿宋_GB2312" w:hAnsi="宋体" w:eastAsia="仿宋_GB2312" w:cs="宋体"/>
      <w:sz w:val="32"/>
      <w:szCs w:val="32"/>
    </w:rPr>
  </w:style>
  <w:style w:type="character" w:styleId="15">
    <w:name w:val="Strong"/>
    <w:basedOn w:val="14"/>
    <w:qFormat/>
    <w:uiPriority w:val="0"/>
    <w:rPr>
      <w:b/>
      <w:bCs/>
    </w:rPr>
  </w:style>
  <w:style w:type="character" w:styleId="16">
    <w:name w:val="page number"/>
    <w:qFormat/>
    <w:uiPriority w:val="0"/>
  </w:style>
  <w:style w:type="character" w:styleId="17">
    <w:name w:val="FollowedHyperlink"/>
    <w:basedOn w:val="14"/>
    <w:qFormat/>
    <w:uiPriority w:val="0"/>
    <w:rPr>
      <w:color w:val="007BFF"/>
      <w:u w:val="none"/>
    </w:rPr>
  </w:style>
  <w:style w:type="character" w:styleId="18">
    <w:name w:val="Hyperlink"/>
    <w:basedOn w:val="14"/>
    <w:qFormat/>
    <w:uiPriority w:val="0"/>
    <w:rPr>
      <w:color w:val="007BFF"/>
      <w:u w:val="none"/>
    </w:rPr>
  </w:style>
  <w:style w:type="character" w:styleId="19">
    <w:name w:val="HTML Code"/>
    <w:basedOn w:val="14"/>
    <w:qFormat/>
    <w:uiPriority w:val="0"/>
    <w:rPr>
      <w:rFonts w:hint="default" w:ascii="Consolas" w:hAnsi="Consolas" w:eastAsia="Consolas" w:cs="Consolas"/>
      <w:color w:val="E83E8C"/>
      <w:sz w:val="21"/>
      <w:szCs w:val="21"/>
    </w:rPr>
  </w:style>
  <w:style w:type="character" w:styleId="20">
    <w:name w:val="HTML Keyboard"/>
    <w:basedOn w:val="14"/>
    <w:qFormat/>
    <w:uiPriority w:val="0"/>
    <w:rPr>
      <w:rFonts w:ascii="Consolas" w:hAnsi="Consolas" w:eastAsia="Consolas" w:cs="Consolas"/>
      <w:color w:val="FFFFFF"/>
      <w:sz w:val="21"/>
      <w:szCs w:val="21"/>
      <w:shd w:val="clear" w:fill="212529"/>
    </w:rPr>
  </w:style>
  <w:style w:type="character" w:styleId="21">
    <w:name w:val="HTML Sample"/>
    <w:basedOn w:val="14"/>
    <w:qFormat/>
    <w:uiPriority w:val="0"/>
    <w:rPr>
      <w:rFonts w:hint="default" w:ascii="Consolas" w:hAnsi="Consolas" w:eastAsia="Consolas" w:cs="Consolas"/>
      <w:sz w:val="21"/>
      <w:szCs w:val="21"/>
    </w:rPr>
  </w:style>
  <w:style w:type="paragraph" w:customStyle="1" w:styleId="22">
    <w:name w:val="图表目录1"/>
    <w:basedOn w:val="23"/>
    <w:next w:val="1"/>
    <w:qFormat/>
    <w:uiPriority w:val="0"/>
    <w:pPr>
      <w:ind w:left="200" w:leftChars="200" w:hanging="200" w:hangingChars="200"/>
    </w:pPr>
    <w:rPr>
      <w:rFonts w:ascii="Times New Roman" w:hAnsi="Times New Roman" w:eastAsia="仿宋_GB2312" w:cs="Times New Roman"/>
      <w:sz w:val="32"/>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BodyText1I"/>
    <w:basedOn w:val="25"/>
    <w:qFormat/>
    <w:uiPriority w:val="0"/>
    <w:pPr>
      <w:spacing w:after="120"/>
      <w:ind w:firstLine="420" w:firstLineChars="100"/>
      <w:jc w:val="both"/>
      <w:textAlignment w:val="baseline"/>
    </w:pPr>
  </w:style>
  <w:style w:type="paragraph" w:customStyle="1" w:styleId="25">
    <w:name w:val="BodyText"/>
    <w:basedOn w:val="1"/>
    <w:next w:val="1"/>
    <w:qFormat/>
    <w:uiPriority w:val="0"/>
    <w:pPr>
      <w:spacing w:after="120"/>
      <w:jc w:val="both"/>
      <w:textAlignment w:val="baseline"/>
    </w:pPr>
  </w:style>
  <w:style w:type="paragraph" w:customStyle="1" w:styleId="26">
    <w:name w:val="列出段落1"/>
    <w:basedOn w:val="1"/>
    <w:qFormat/>
    <w:uiPriority w:val="34"/>
    <w:pPr>
      <w:ind w:firstLine="420" w:firstLineChars="200"/>
    </w:pPr>
  </w:style>
  <w:style w:type="character" w:customStyle="1" w:styleId="27">
    <w:name w:val="NormalCharacter"/>
    <w:link w:val="1"/>
    <w:semiHidden/>
    <w:qFormat/>
    <w:uiPriority w:val="0"/>
    <w:rPr>
      <w:rFonts w:ascii="Calibri" w:hAnsi="Calibri" w:eastAsia="宋体" w:cs="Times New Roman"/>
      <w:kern w:val="2"/>
      <w:sz w:val="21"/>
      <w:szCs w:val="24"/>
      <w:lang w:val="en-US" w:eastAsia="zh-CN" w:bidi="ar-SA"/>
    </w:rPr>
  </w:style>
  <w:style w:type="paragraph" w:customStyle="1" w:styleId="28">
    <w:name w:val="正文-公1"/>
    <w:basedOn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1970</Words>
  <Characters>2306</Characters>
  <Lines>0</Lines>
  <Paragraphs>0</Paragraphs>
  <TotalTime>22</TotalTime>
  <ScaleCrop>false</ScaleCrop>
  <LinksUpToDate>false</LinksUpToDate>
  <CharactersWithSpaces>2307</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2022-06-17T02:20:00Z</dcterms:created>
  <dc:creator>Administrator</dc:creator>
  <cp:lastModifiedBy>沉淀</cp:lastModifiedBy>
  <cp:lastPrinted>2024-10-30T02:50:00Z</cp:lastPrinted>
  <dcterms:modified xsi:type="dcterms:W3CDTF">2025-10-28T02:30:24Z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E85F5A95767A446C9C34CB6B767332D0_13</vt:lpwstr>
  </property>
  <property fmtid="{D5CDD505-2E9C-101B-9397-08002B2CF9AE}" pid="4" name="KSOTemplateDocerSaveRecord">
    <vt:lpwstr>eyJoZGlkIjoiZjU4MmQzMDdiZGY4ZDYxYTgwNDZiNTEzYjNhNDc3NGEiLCJ1c2VySWQiOiIyOTA1NDU1MTEifQ==</vt:lpwstr>
  </property>
</Properties>
</file>