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资源县2022年全年经济运行分析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资源县统计局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2023年1月29日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今年以来，资源县坚持以习近平新时代中国特色社会主义思想为指导，深入学习贯彻党的二十大精神，认真学习贯彻习近平总书记对广西“五个更大”重要要求，深入贯彻落实习近平总书记视察广西“4·27”重要讲话和对广西工作系列重要指示精神，按照“生态立县、农业稳县、产业强县、文旅富县”发展思路，围绕打造世界级旅游小镇奋斗目标，全面落实“疫情要防住、经济要稳住、发展要安全”要求，全县2022年资源县经济运行持续恢复稳定向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根据地区生产总值统一核算结果，2022年资源县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地区生产总值60.84亿元，同比增长2.4%，比前三季度提高0.2个百分点。分产业看，第一产业增加值24.14亿元，增长5.3%，增速比前三季度提升1.3个百分点;第二产业增加值8.10亿元，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2.3%，增速与前三季度持平;第三产业增加值28.60亿元，增长1.6%，增速比前三季度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下降0.9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个百分点。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总体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2022年1-12月资源县经济逐渐复苏，农业稳定发展，建筑业发展加快，服务业逐步复苏，工业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相比年初降幅明显收窄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，全县经济向好运行发展。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Style w:val="12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Style w:val="12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二、</w:t>
      </w:r>
      <w:r>
        <w:rPr>
          <w:rStyle w:val="12"/>
          <w:rFonts w:hint="eastAsia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经济运行</w:t>
      </w:r>
      <w:r>
        <w:rPr>
          <w:rStyle w:val="12"/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主要亮点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Style w:val="12"/>
          <w:rFonts w:hint="default" w:ascii="Times New Roman" w:hAnsi="Times New Roman" w:eastAsia="楷体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（一）第一产业总体稳定增长。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粮食方面，全年粮食作物种植14</w:t>
      </w:r>
      <w:r>
        <w:rPr>
          <w:rStyle w:val="12"/>
          <w:rFonts w:hint="eastAsia" w:ascii="Times New Roman" w:hAnsi="Times New Roman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.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77</w:t>
      </w:r>
      <w:r>
        <w:rPr>
          <w:rStyle w:val="12"/>
          <w:rFonts w:hint="eastAsia" w:ascii="Times New Roman" w:hAnsi="Times New Roman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万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亩，同比增长0.</w:t>
      </w:r>
      <w:r>
        <w:rPr>
          <w:rStyle w:val="12"/>
          <w:rFonts w:hint="eastAsia" w:ascii="Times New Roman" w:hAnsi="Times New Roman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3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%，产量5</w:t>
      </w:r>
      <w:r>
        <w:rPr>
          <w:rStyle w:val="12"/>
          <w:rFonts w:hint="eastAsia" w:ascii="Times New Roman" w:hAnsi="Times New Roman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.6万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吨，同比下降0.</w:t>
      </w:r>
      <w:r>
        <w:rPr>
          <w:rStyle w:val="12"/>
          <w:rFonts w:hint="eastAsia" w:ascii="Times New Roman" w:hAnsi="Times New Roman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8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%。水果方面产量达13</w:t>
      </w:r>
      <w:r>
        <w:rPr>
          <w:rStyle w:val="12"/>
          <w:rFonts w:hint="eastAsia" w:ascii="Times New Roman" w:hAnsi="Times New Roman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.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3</w:t>
      </w:r>
      <w:r>
        <w:rPr>
          <w:rStyle w:val="12"/>
          <w:rFonts w:hint="eastAsia" w:ascii="Times New Roman" w:hAnsi="Times New Roman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6万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吨，同比增长17.6%，其中葡萄4</w:t>
      </w:r>
      <w:r>
        <w:rPr>
          <w:rStyle w:val="12"/>
          <w:rFonts w:hint="eastAsia" w:ascii="Times New Roman" w:hAnsi="Times New Roman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.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81</w:t>
      </w:r>
      <w:r>
        <w:rPr>
          <w:rStyle w:val="12"/>
          <w:rFonts w:hint="eastAsia" w:ascii="Times New Roman" w:hAnsi="Times New Roman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万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吨，同比增长21.0%。蔬菜（含食用菌）播种面</w:t>
      </w:r>
      <w:r>
        <w:rPr>
          <w:rStyle w:val="12"/>
          <w:rFonts w:hint="eastAsia" w:ascii="Times New Roman" w:hAnsi="Times New Roman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积达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14</w:t>
      </w:r>
      <w:r>
        <w:rPr>
          <w:rStyle w:val="12"/>
          <w:rFonts w:hint="eastAsia" w:ascii="Times New Roman" w:hAnsi="Times New Roman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.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</w:t>
      </w:r>
      <w:r>
        <w:rPr>
          <w:rStyle w:val="12"/>
          <w:rFonts w:hint="eastAsia" w:ascii="Times New Roman" w:hAnsi="Times New Roman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2万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亩，同比增长</w:t>
      </w:r>
      <w:r>
        <w:rPr>
          <w:rStyle w:val="12"/>
          <w:rFonts w:hint="eastAsia" w:ascii="Times New Roman" w:hAnsi="Times New Roman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7.0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%，产量22</w:t>
      </w:r>
      <w:r>
        <w:rPr>
          <w:rStyle w:val="12"/>
          <w:rFonts w:hint="eastAsia" w:ascii="Times New Roman" w:hAnsi="Times New Roman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.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51</w:t>
      </w:r>
      <w:r>
        <w:rPr>
          <w:rStyle w:val="12"/>
          <w:rFonts w:hint="eastAsia" w:ascii="Times New Roman" w:hAnsi="Times New Roman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万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吨，同比增长9.8%。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2"/>
          <w:rFonts w:hint="default" w:ascii="Times New Roman" w:hAnsi="Times New Roman" w:eastAsia="楷体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shd w:val="clear" w:color="auto" w:fill="FFFFFF"/>
        </w:rPr>
        <w:t>建筑业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shd w:val="clear" w:color="auto" w:fill="FFFFFF"/>
          <w:lang w:val="en-US" w:eastAsia="zh-CN"/>
        </w:rPr>
        <w:t>增长较快。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1-12月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我县在库建筑业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全年新入库7家）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总产值达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1.96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亿元，同比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增长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55.4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%。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年我县大力培植资质建筑业企业入库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建筑业总产值再次实现大幅增长，成为我县主要经济指标中亮点。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12"/>
          <w:rFonts w:hint="default" w:ascii="Times New Roman" w:hAnsi="Times New Roman" w:eastAsia="楷体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（三）居民收入得到改善，农村居民收入增长快于城镇居民收入。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1-1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2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月，城镇居民人均可支配收入39979元，同比增长3.6%，两年平均增长5.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8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%；农村居民人均可支配收入15742元，同比增长6.9%，两年平均增长8.7%。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12"/>
          <w:rFonts w:hint="default" w:ascii="Times New Roman" w:hAnsi="Times New Roman" w:eastAsia="楷体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（四）金融运行稳健。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截止12月末存贷款余额167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.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4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7亿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元，同比增长9.9%，其中存款余额95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.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12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亿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元，同比增长8.2%，贷款余额72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.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3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5亿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元，同比增长12.</w:t>
      </w:r>
      <w:r>
        <w:rPr>
          <w:rStyle w:val="12"/>
          <w:rFonts w:hint="eastAsia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3</w:t>
      </w:r>
      <w:r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%。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经济运行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存在的问题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>（一）</w:t>
      </w:r>
      <w:r>
        <w:rPr>
          <w:rStyle w:val="12"/>
          <w:rFonts w:hint="default" w:ascii="Times New Roman" w:hAnsi="Times New Roman" w:eastAsia="楷体" w:cs="Times New Roman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工业生产增速持续下滑，下降趋势仍未扭转。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1-12月全县规模工业累计完成产值14.29亿元，同比下降1.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％。1-12月完成工业增加值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4.86亿元，同比下降6.0%，环比1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月降幅减少2.9个百分点。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>（二）房地产业行业低迷，是第三产业的短板。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1-12月我县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商品房销售面积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累计4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03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平方米，同比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下降23.9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" w:leftChars="0" w:firstLine="617" w:firstLineChars="19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（三）规模以上服务业增速出现负增长。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1-11月，资源县6家规模以上服务业企业，实现营业收入7943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元，同比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3.0%。其主要原因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受疫情断断续续爆发，导致服务业营业收入减少；二是基数过高，有些企业去年发展已到达顶峰，今年没有开展新业务，营业收入在减少，致使服务业企业增速下降严重。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" w:leftChars="0" w:firstLine="617" w:firstLineChars="193"/>
        <w:textAlignment w:val="auto"/>
        <w:rPr>
          <w:rStyle w:val="12"/>
          <w:rFonts w:hint="default"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12"/>
          <w:rFonts w:hint="default" w:ascii="Times New Roman" w:hAnsi="Times New Roman" w:eastAsia="楷体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批零住餐发展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艰难。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022年1-12月社会消费品零售总额8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元，同比下降6.1%。批发业销售额1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元，同比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。零售业销售额7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元，同比下降1.8%。住宿业营业额2967万元，同比下降2.7%。餐饮业营业额1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元，同比下降13.7%。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" w:leftChars="0" w:firstLine="617" w:firstLineChars="193"/>
        <w:textAlignment w:val="auto"/>
        <w:rPr>
          <w:rStyle w:val="12"/>
          <w:rFonts w:hint="default" w:ascii="Times New Roman" w:hAnsi="Times New Roman" w:eastAsia="黑体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12"/>
          <w:rFonts w:hint="default" w:ascii="Times New Roman" w:hAnsi="Times New Roman" w:eastAsia="黑体" w:cs="Times New Roman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四、工作建议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用好政策，稳住工业正常运行。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一是继续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加强对重点企业生产情况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监测，稳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定电力生产和供应业平稳增长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二是重点抓好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采矿企业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的正常生产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稳定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铁合金企业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生产，同时鼓励扶持各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企业开发先进技术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工艺，提高生产能力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相关激励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向增加值率高的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电力生产和供应、采矿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企业倾斜。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持续强化政策支持，稳定三产复苏增长态势。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是创造活力；结合疫情全面放开的新局面增强资源县旅游吸引力，出台减免税，降低贷款门槛等优惠政策增强经济活力，促进投资，租赁、房地产等行业发展。二是拓渠道，为培育限上企业寻找优质资源。立足本地实际，拓宽培育思路，由传统的商超、餐饮、合作社向民营加油站、药品零售、建材零售等行业摸排培育，为2023年培规打开新局面注入新血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（三）加大投资力度，夯实发展后劲。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是激发投资活力。进一步拓宽市场准入范围，激发民营投资积极性，对部分民企主导的重大项目，开通“绿色通道”促进项目尽快落地开工建设。二是强化项目要素保障，努力破解项目资金瓶颈，切实解决企业难点痛点，鼓励社会资金和民间资本更多地投向新兴产业等领域。三是继续强化招商引资力度，不断优化营商环境，强力推进“民企入资”工作，凝聚“民企入资”工作合力，形成新的有效投资。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YWNhYzc1YmQ1YTRmYjdkYzA2ODg4MjBmZDljMTYifQ=="/>
    <w:docVar w:name="KSO_WPS_MARK_KEY" w:val="1ea4f59a-5e4d-44fa-8b2d-8c0ca4888c32"/>
  </w:docVars>
  <w:rsids>
    <w:rsidRoot w:val="00000000"/>
    <w:rsid w:val="03A63FE9"/>
    <w:rsid w:val="0707179E"/>
    <w:rsid w:val="0A462E1C"/>
    <w:rsid w:val="11005262"/>
    <w:rsid w:val="15AE3E67"/>
    <w:rsid w:val="16F541AB"/>
    <w:rsid w:val="1A922039"/>
    <w:rsid w:val="1D2878B5"/>
    <w:rsid w:val="1E3F350F"/>
    <w:rsid w:val="1F754BF6"/>
    <w:rsid w:val="20001C74"/>
    <w:rsid w:val="20C22289"/>
    <w:rsid w:val="23E82E57"/>
    <w:rsid w:val="3648221E"/>
    <w:rsid w:val="4161494C"/>
    <w:rsid w:val="48686353"/>
    <w:rsid w:val="4ADE2F2D"/>
    <w:rsid w:val="4DA90D20"/>
    <w:rsid w:val="511A738C"/>
    <w:rsid w:val="57CA307E"/>
    <w:rsid w:val="611F3E31"/>
    <w:rsid w:val="62D563C3"/>
    <w:rsid w:val="64442FF4"/>
    <w:rsid w:val="6A550958"/>
    <w:rsid w:val="6D8438D6"/>
    <w:rsid w:val="6F5C3F75"/>
    <w:rsid w:val="77FB4357"/>
    <w:rsid w:val="7D13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next w:val="4"/>
    <w:qFormat/>
    <w:uiPriority w:val="0"/>
    <w:pPr>
      <w:spacing w:after="0" w:line="360" w:lineRule="auto"/>
      <w:ind w:firstLine="200" w:firstLineChars="200"/>
    </w:pPr>
    <w:rPr>
      <w:rFonts w:ascii="仿宋_GB2312" w:hAnsi="宋体" w:eastAsia="仿宋_GB2312"/>
      <w:sz w:val="32"/>
      <w:szCs w:val="32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1692</Words>
  <Characters>1920</Characters>
  <Lines>0</Lines>
  <Paragraphs>0</Paragraphs>
  <TotalTime>18</TotalTime>
  <ScaleCrop>false</ScaleCrop>
  <LinksUpToDate>false</LinksUpToDate>
  <CharactersWithSpaces>1920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2023-01-12T01:46:00Z</dcterms:created>
  <dc:creator>Administrator</dc:creator>
  <cp:lastModifiedBy>小扶同志</cp:lastModifiedBy>
  <cp:lastPrinted>2023-02-06T08:30:00Z</cp:lastPrinted>
  <dcterms:modified xsi:type="dcterms:W3CDTF">2023-02-06T08:42:00Z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92AFF3F0FC614849B557238A1EE66C92</vt:lpwstr>
  </property>
</Properties>
</file>