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86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22222"/>
          <w:spacing w:val="8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val="en-US" w:eastAsia="zh-CN"/>
        </w:rPr>
        <w:t>资源县2022年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22222"/>
          <w:spacing w:val="8"/>
          <w:sz w:val="44"/>
          <w:szCs w:val="44"/>
          <w:shd w:val="clear" w:fill="FFFFFF"/>
        </w:rPr>
        <w:t>上半年全县经济运行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86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22222"/>
          <w:spacing w:val="8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22222"/>
          <w:spacing w:val="8"/>
          <w:sz w:val="44"/>
          <w:szCs w:val="44"/>
          <w:shd w:val="clear" w:fill="FFFFFF"/>
        </w:rPr>
        <w:t>平稳增长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86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val="en-US" w:eastAsia="zh-CN"/>
        </w:rPr>
        <w:t xml:space="preserve"> 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86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今年以来，全县认真贯彻落实国家、自治区、市委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、市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政府各项决策部署，科学统筹疫情防控和经济社会发展，经济总体趋向稳中有进的态势。建筑业经济活跃度增强，服务业经济稳中趋好，工业生产下滑趋势有所改观。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86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根据地区生产总值统一核算结果，资源县上半年地区生产总值22.51亿元，同比增长2.9%，增速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排全市第六。其中，第一产业增加值2.67亿元，同比增长4.0%；第二产业增加值3.5亿元，同比下降4.4%；第三产业增加值16.34亿元，同比增长4.4%。三次产业的比重为11.9：17.1：71.0。</w:t>
      </w:r>
    </w:p>
    <w:p>
      <w:pPr>
        <w:numPr>
          <w:numId w:val="0"/>
        </w:numPr>
        <w:ind w:firstLine="643" w:firstLineChars="200"/>
        <w:rPr>
          <w:rFonts w:hint="default" w:ascii="Times New Roman" w:hAnsi="Times New Roman" w:eastAsia="黑体" w:cs="Times New Roman"/>
          <w:b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经济运行情况</w:t>
      </w:r>
    </w:p>
    <w:p>
      <w:pPr>
        <w:pStyle w:val="2"/>
        <w:keepLines w:val="0"/>
        <w:widowControl w:val="0"/>
        <w:snapToGrid/>
        <w:spacing w:before="0" w:beforeAutospacing="0" w:after="0" w:afterAutospacing="0" w:line="586" w:lineRule="exact"/>
        <w:ind w:left="0" w:leftChars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shd w:val="clear" w:fill="FFFFFF"/>
          <w:lang w:val="en-US" w:eastAsia="zh-CN"/>
        </w:rPr>
        <w:t>（一）经济总量稳中有进。</w:t>
      </w:r>
      <w:r>
        <w:rPr>
          <w:rStyle w:val="15"/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分行业看，构成GDP的十大主要行业呈现“六正四负”态势，保持增长的是农林牧渔业、建筑业、金融业、房地产业、营利性服务业和非营利性服务业，共拉动GDP增长4.3个百分点。工业、批发和零售业、交通运输、仓储和邮政业、住宿和餐饮业四个行业增加值均为负增长，下拉GDP增速1.4个百分点。</w:t>
      </w:r>
    </w:p>
    <w:p>
      <w:pPr>
        <w:pStyle w:val="2"/>
        <w:keepLines w:val="0"/>
        <w:widowControl w:val="0"/>
        <w:snapToGrid/>
        <w:spacing w:before="0" w:beforeAutospacing="0" w:after="0" w:afterAutospacing="0" w:line="586" w:lineRule="exact"/>
        <w:ind w:left="0" w:leftChars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Style w:val="15"/>
          <w:rFonts w:hint="default" w:ascii="Times New Roman" w:hAnsi="Times New Roman" w:eastAsia="楷体" w:cs="Times New Roman"/>
          <w:b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（二）规上工业生产呈现恢复性增长。</w:t>
      </w:r>
      <w:r>
        <w:rPr>
          <w:rStyle w:val="15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规上工业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当月</w:t>
      </w:r>
      <w:r>
        <w:rPr>
          <w:rFonts w:hint="default" w:ascii="Times New Roman" w:hAnsi="Times New Roman" w:cs="Times New Roman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生产增速由负转正，止跌向好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6月当月产值合计1.66亿元，环比增长2.8％。</w:t>
      </w:r>
      <w:r>
        <w:rPr>
          <w:rFonts w:hint="default" w:ascii="Times New Roman" w:hAnsi="Times New Roman" w:cs="Times New Roman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1-6月累计规模工业总产值6.79亿元，同比下降6.1%，降幅比1-5月收窄3个百分点；规模工业增加值1.77亿元，同比下降14.5%，降幅比1-5月收窄3.8个百分点。</w:t>
      </w:r>
    </w:p>
    <w:p>
      <w:pPr>
        <w:pStyle w:val="2"/>
        <w:keepLines w:val="0"/>
        <w:widowControl w:val="0"/>
        <w:snapToGrid/>
        <w:spacing w:before="0" w:beforeAutospacing="0" w:after="0" w:afterAutospacing="0" w:line="586" w:lineRule="exact"/>
        <w:ind w:left="0" w:leftChars="0" w:right="0" w:firstLine="643" w:firstLineChars="200"/>
        <w:jc w:val="both"/>
        <w:textAlignment w:val="baseline"/>
        <w:rPr>
          <w:rFonts w:hint="default" w:ascii="Times New Roman" w:hAnsi="Times New Roman" w:cs="Times New Roman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（三）建筑业经济活跃度增强</w:t>
      </w:r>
      <w:r>
        <w:rPr>
          <w:rFonts w:hint="default" w:ascii="Times New Roman" w:hAnsi="Times New Roman" w:cs="Times New Roman"/>
          <w:b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cs="Times New Roman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1-6月，我县新增建筑业入库企业5家，总产值1.53亿元，同比增长48.7%。建安工程投资完成11.99亿元，同比增长22.3%。建筑业增加值0.77亿元，同比增长22.1%。建筑业拉动GDP增长0.6个百分点。</w:t>
      </w:r>
    </w:p>
    <w:p>
      <w:pPr>
        <w:pStyle w:val="2"/>
        <w:keepLines w:val="0"/>
        <w:widowControl w:val="0"/>
        <w:snapToGrid/>
        <w:spacing w:before="0" w:beforeAutospacing="0" w:after="0" w:afterAutospacing="0" w:line="586" w:lineRule="exact"/>
        <w:ind w:left="0" w:leftChars="0" w:right="0" w:firstLine="643" w:firstLineChars="200"/>
        <w:jc w:val="both"/>
        <w:textAlignment w:val="baseline"/>
        <w:rPr>
          <w:rFonts w:hint="default" w:ascii="Times New Roman" w:hAnsi="Times New Roman" w:eastAsia="楷体" w:cs="Times New Roman"/>
          <w:b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(四）服务业经济稳中趋好。</w:t>
      </w:r>
    </w:p>
    <w:p>
      <w:pPr>
        <w:pStyle w:val="2"/>
        <w:keepLines w:val="0"/>
        <w:widowControl w:val="0"/>
        <w:snapToGrid/>
        <w:spacing w:before="0" w:beforeAutospacing="0" w:after="0" w:afterAutospacing="0" w:line="586" w:lineRule="exact"/>
        <w:ind w:left="0" w:leftChars="0" w:right="0" w:firstLine="643" w:firstLineChars="200"/>
        <w:jc w:val="both"/>
        <w:textAlignment w:val="baseline"/>
        <w:rPr>
          <w:rStyle w:val="15"/>
          <w:rFonts w:hint="default" w:ascii="Times New Roman" w:hAnsi="Times New Roman" w:eastAsia="仿宋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spacing w:val="0"/>
          <w:w w:val="100"/>
          <w:sz w:val="32"/>
          <w:lang w:val="en-US" w:eastAsia="zh-CN"/>
        </w:rPr>
        <w:t>1.其他营利性服务业总体增长较快。</w:t>
      </w:r>
      <w:r>
        <w:rPr>
          <w:rStyle w:val="15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上半年，其他营利性服务业营业收入3283万元，同比增长72.4%，主要得益于资源县生态城市建设投资有限公司214.5%</w:t>
      </w:r>
      <w:r>
        <w:rPr>
          <w:rStyle w:val="15"/>
          <w:rFonts w:hint="eastAsia" w:ascii="Times New Roman" w:hAnsi="Times New Roman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的</w:t>
      </w:r>
      <w:r>
        <w:rPr>
          <w:rStyle w:val="15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快速增长。</w:t>
      </w:r>
    </w:p>
    <w:p>
      <w:pPr>
        <w:pStyle w:val="2"/>
        <w:snapToGrid/>
        <w:spacing w:before="0" w:beforeAutospacing="0" w:after="0" w:afterAutospacing="0" w:line="360" w:lineRule="auto"/>
        <w:ind w:left="0" w:leftChars="0" w:firstLine="643" w:firstLineChars="200"/>
        <w:jc w:val="both"/>
        <w:textAlignment w:val="baseline"/>
        <w:rPr>
          <w:rStyle w:val="15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15"/>
          <w:rFonts w:hint="default" w:ascii="Times New Roman" w:hAnsi="Times New Roman" w:eastAsia="仿宋_GB2312" w:cs="Times New Roman"/>
          <w:b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2.非营利性服务业稳定增长。</w:t>
      </w:r>
      <w:r>
        <w:rPr>
          <w:rStyle w:val="15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由于补发绩效、机构改革人员增长因素影响，全县非营利性服务业工资持续增长。其中，水利、环境和公共设施管理业增长5.1%，教育工资总额增长20.7%，卫生和社会工作工资总额增长10.8%，公共管理、社会保障和社会组织增长13.8%。</w:t>
      </w:r>
    </w:p>
    <w:p>
      <w:pPr>
        <w:pStyle w:val="2"/>
        <w:snapToGrid/>
        <w:spacing w:before="0" w:beforeAutospacing="0" w:after="0" w:afterAutospacing="0" w:line="360" w:lineRule="auto"/>
        <w:ind w:left="0" w:leftChars="0" w:firstLine="643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</w:pPr>
      <w:r>
        <w:rPr>
          <w:rStyle w:val="15"/>
          <w:rFonts w:hint="default" w:ascii="Times New Roman" w:hAnsi="Times New Roman" w:eastAsia="仿宋_GB2312" w:cs="Times New Roman"/>
          <w:b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3.金融信贷平稳增长。</w:t>
      </w:r>
      <w:r>
        <w:rPr>
          <w:rStyle w:val="15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上半年，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全县</w:t>
      </w:r>
      <w:r>
        <w:rPr>
          <w:rFonts w:hint="default" w:ascii="Times New Roman" w:hAnsi="Times New Roman" w:eastAsia="仿宋" w:cs="Times New Roman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金融机构人民币存款余额</w:t>
      </w:r>
      <w:r>
        <w:rPr>
          <w:rFonts w:hint="default" w:ascii="Times New Roman" w:hAnsi="Times New Roman" w:eastAsia="仿宋" w:cs="Times New Roman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92.65</w:t>
      </w:r>
      <w:r>
        <w:rPr>
          <w:rFonts w:hint="default" w:ascii="Times New Roman" w:hAnsi="Times New Roman" w:eastAsia="仿宋" w:cs="Times New Roman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亿元，同</w:t>
      </w:r>
      <w:r>
        <w:rPr>
          <w:rFonts w:hint="default" w:ascii="Times New Roman" w:hAnsi="Times New Roman" w:eastAsia="仿宋" w:cs="Times New Roman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比</w:t>
      </w:r>
      <w:r>
        <w:rPr>
          <w:rFonts w:hint="default" w:ascii="Times New Roman" w:hAnsi="Times New Roman" w:eastAsia="仿宋" w:cs="Times New Roman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增长</w:t>
      </w:r>
      <w:r>
        <w:rPr>
          <w:rFonts w:hint="default" w:ascii="Times New Roman" w:hAnsi="Times New Roman" w:eastAsia="仿宋" w:cs="Times New Roman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 xml:space="preserve">8.7 </w:t>
      </w:r>
      <w:r>
        <w:rPr>
          <w:rFonts w:hint="default" w:ascii="Times New Roman" w:hAnsi="Times New Roman" w:eastAsia="仿宋" w:cs="Times New Roman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%，金融机构人民币贷款余额</w:t>
      </w:r>
      <w:r>
        <w:rPr>
          <w:rFonts w:hint="default" w:ascii="Times New Roman" w:hAnsi="Times New Roman" w:eastAsia="仿宋" w:cs="Times New Roman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69.39</w:t>
      </w:r>
      <w:r>
        <w:rPr>
          <w:rFonts w:hint="default" w:ascii="Times New Roman" w:hAnsi="Times New Roman" w:eastAsia="仿宋" w:cs="Times New Roman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亿元，同</w:t>
      </w:r>
      <w:r>
        <w:rPr>
          <w:rFonts w:hint="default" w:ascii="Times New Roman" w:hAnsi="Times New Roman" w:eastAsia="仿宋" w:cs="Times New Roman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比</w:t>
      </w:r>
      <w:r>
        <w:rPr>
          <w:rFonts w:hint="default" w:ascii="Times New Roman" w:hAnsi="Times New Roman" w:eastAsia="仿宋" w:cs="Times New Roman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增长</w:t>
      </w:r>
      <w:r>
        <w:rPr>
          <w:rFonts w:hint="default" w:ascii="Times New Roman" w:hAnsi="Times New Roman" w:eastAsia="仿宋" w:cs="Times New Roman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7.2</w:t>
      </w:r>
      <w:r>
        <w:rPr>
          <w:rFonts w:hint="default" w:ascii="Times New Roman" w:hAnsi="Times New Roman" w:eastAsia="仿宋" w:cs="Times New Roman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%</w:t>
      </w:r>
      <w:r>
        <w:rPr>
          <w:rFonts w:hint="default" w:ascii="Times New Roman" w:hAnsi="Times New Roman" w:eastAsia="仿宋" w:cs="Times New Roman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2"/>
        <w:snapToGrid/>
        <w:spacing w:before="0" w:beforeAutospacing="0" w:after="0" w:afterAutospacing="0" w:line="360" w:lineRule="auto"/>
        <w:ind w:left="0" w:leftChars="0" w:firstLine="643" w:firstLineChars="200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固定资产投资增速合理趋缓。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上半年，固定资产投资12.63亿元，同比增长7.2%，受去年恢复性增长后基数影响，增速较1-5月回落19个百分点。其中500-5000万元项目投资完成5.99亿元，同比增长3.8%；5000万元以上项目投资5.51亿元，同比增长18.5%；房地产投资1.12亿元，同比下降16.9%。</w:t>
      </w:r>
    </w:p>
    <w:p>
      <w:pPr>
        <w:keepLines w:val="0"/>
        <w:widowControl/>
        <w:snapToGrid/>
        <w:spacing w:before="0" w:beforeAutospacing="0" w:after="0" w:afterAutospacing="0" w:line="580" w:lineRule="exact"/>
        <w:ind w:right="0" w:firstLine="643" w:firstLineChars="200"/>
        <w:jc w:val="left"/>
        <w:textAlignment w:val="baseline"/>
        <w:rPr>
          <w:rFonts w:hint="eastAsia" w:ascii="Times New Roman" w:hAnsi="Times New Roman" w:eastAsia="黑体" w:cs="Times New Roman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shd w:val="clear" w:fill="FFFFFF"/>
          <w:lang w:val="en-US" w:eastAsia="zh-CN"/>
        </w:rPr>
        <w:t>经济运行中需要关注的问题</w:t>
      </w:r>
    </w:p>
    <w:p>
      <w:pPr>
        <w:pStyle w:val="5"/>
        <w:snapToGrid/>
        <w:spacing w:before="0" w:beforeAutospacing="0" w:after="0" w:afterAutospacing="0" w:line="240" w:lineRule="auto"/>
        <w:ind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pacing w:val="0"/>
          <w:w w:val="100"/>
          <w:sz w:val="21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shd w:val="clear" w:fill="FFFFFF"/>
          <w:lang w:val="en-US" w:eastAsia="zh-CN"/>
        </w:rPr>
        <w:t>（一）第一产业增速回落较快。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shd w:val="clear" w:fill="FFFFFF"/>
          <w:lang w:val="en-US" w:eastAsia="zh-CN"/>
        </w:rPr>
        <w:t>上半年农林牧渔业总产值4.97亿元，同比增长4.2%。环比下降3.3%。下降主要原因是二季度生猪出栏下降4.1%，家禽出栏下降1.7%，肉总产量下降3.2%，牧业在第一产业中占比大，使得第一产增加值较一季度回落2个百分点。</w:t>
      </w:r>
    </w:p>
    <w:p>
      <w:pPr>
        <w:pStyle w:val="2"/>
        <w:snapToGrid/>
        <w:spacing w:before="0" w:beforeAutospacing="0" w:after="0" w:afterAutospacing="0" w:line="360" w:lineRule="auto"/>
        <w:ind w:left="0" w:leftChars="0" w:firstLine="643" w:firstLineChars="200"/>
        <w:jc w:val="both"/>
        <w:textAlignment w:val="baseline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（二）规模以上民营工业企业发展支撑不足。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全县规模以上工业在库20家，其中1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家为民营企业，其中11家当月产值负增长。带动工业增长主要依靠国有工业企业支撑。</w:t>
      </w:r>
    </w:p>
    <w:p>
      <w:pPr>
        <w:pStyle w:val="2"/>
        <w:snapToGrid/>
        <w:spacing w:before="0" w:beforeAutospacing="0" w:after="0" w:afterAutospacing="0" w:line="360" w:lineRule="auto"/>
        <w:ind w:left="0" w:leftChars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Style w:val="15"/>
          <w:rFonts w:hint="default" w:ascii="Times New Roman" w:hAnsi="Times New Roman" w:eastAsia="楷体" w:cs="Times New Roman"/>
          <w:b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（三）贸易四行业增速回落明显。</w:t>
      </w:r>
      <w:r>
        <w:rPr>
          <w:rStyle w:val="15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上半年，批发业、零售业商品销售额分别同比增长17.6%、12.1%，增速分别比一季度回落24.2、7.2个百分点；住宿业营业额同比下降4.4%，比一季度回落23.2个百分点；餐饮业营业额下降39.1%，降幅比一季度增加1个百分点。</w:t>
      </w:r>
    </w:p>
    <w:p>
      <w:pPr>
        <w:pStyle w:val="2"/>
        <w:snapToGrid/>
        <w:spacing w:before="0" w:beforeAutospacing="0" w:after="0" w:afterAutospacing="0" w:line="360" w:lineRule="auto"/>
        <w:ind w:left="0" w:leftChars="0" w:firstLine="643" w:firstLineChars="200"/>
        <w:jc w:val="both"/>
        <w:textAlignment w:val="baseline"/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5"/>
          <w:rFonts w:hint="default" w:ascii="Times New Roman" w:hAnsi="Times New Roman" w:eastAsia="楷体" w:cs="Times New Roman"/>
          <w:b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楷体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各行业增量不足，四上企业入库入统不多。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1-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月底，资源县“四上”单位入库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家，且均为建筑业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、房地产企业，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工业、贸易、服务业均为零入库，无法有效为经济发展增加增量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snapToGrid/>
        <w:spacing w:before="0" w:beforeAutospacing="0" w:after="0" w:afterAutospacing="0" w:line="360" w:lineRule="auto"/>
        <w:ind w:left="0" w:leftChars="0" w:firstLine="643" w:firstLineChars="200"/>
        <w:jc w:val="both"/>
        <w:textAlignment w:val="baseline"/>
        <w:rPr>
          <w:rStyle w:val="15"/>
          <w:rFonts w:hint="default" w:ascii="Times New Roman" w:hAnsi="Times New Roman" w:eastAsia="黑体" w:cs="Times New Roman"/>
          <w:b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15"/>
          <w:rFonts w:hint="eastAsia" w:ascii="Times New Roman" w:hAnsi="Times New Roman" w:eastAsia="黑体" w:cs="Times New Roman"/>
          <w:b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Style w:val="15"/>
          <w:rFonts w:hint="default" w:ascii="Times New Roman" w:hAnsi="Times New Roman" w:eastAsia="黑体" w:cs="Times New Roman"/>
          <w:b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、</w:t>
      </w:r>
      <w:r>
        <w:rPr>
          <w:rStyle w:val="15"/>
          <w:rFonts w:hint="eastAsia" w:ascii="Times New Roman" w:hAnsi="Times New Roman" w:eastAsia="黑体" w:cs="Times New Roman"/>
          <w:b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意见和建议</w:t>
      </w:r>
    </w:p>
    <w:p>
      <w:pPr>
        <w:pStyle w:val="2"/>
        <w:snapToGrid/>
        <w:spacing w:before="0" w:beforeAutospacing="0" w:after="0" w:afterAutospacing="0" w:line="360" w:lineRule="auto"/>
        <w:ind w:left="0" w:leftChars="0" w:firstLine="643" w:firstLineChars="200"/>
        <w:jc w:val="both"/>
        <w:textAlignment w:val="baseline"/>
        <w:rPr>
          <w:rStyle w:val="15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15"/>
          <w:rFonts w:hint="default" w:ascii="Times New Roman" w:hAnsi="Times New Roman" w:eastAsia="楷体" w:cs="Times New Roman"/>
          <w:b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（一）推动农业平稳运行。</w:t>
      </w:r>
      <w:r>
        <w:rPr>
          <w:rStyle w:val="15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一是做好夏种作物的田间管理，强化防灾减灾综合治理，做好稳粮生产工作。二是加强生猪补栏和存栏综合管理，推动家禽和牛羊增长，促进畜牧业平稳生产。三是确保蔬菜、水果、木材等二季度有收获的重点农产品稳定生产，着力引导种植养殖户做好产、供、销对接，推动农业经济平稳发展。</w:t>
      </w:r>
    </w:p>
    <w:p>
      <w:pPr>
        <w:snapToGrid/>
        <w:spacing w:before="0" w:beforeAutospacing="0" w:after="0" w:afterAutospacing="0" w:line="240" w:lineRule="auto"/>
        <w:ind w:left="0" w:leftChars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（二）用好政策，稳住工业正常运行。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加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强对企业特别是贡献大的重点企业生产情况的监测，积极助力企业正常生产，稳工业、保运行。二是扶持企业开发先进技术、工艺，提高生产能力，相关激励政策应向生产效率高，综合效益好的采矿、电力生产和供应行业以及新入库企业倾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3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（三）立足内需，用活政策，拓展县域内有效消费市场。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一是利用好国家2022年降费减税和疫情期间各种支持小微企业发展的政策，积极培育市场主体，切实帮助限上企业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渡过难关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，转危为机。二是充分利用扶贫消费、工会福利、公务接待和聚集型群体消费促进市场活力，拓展县内市场。三是重点扶持有特色、有品牌、有就业吸纳能力的商贸企业做大做强，发展成为限额以上企业。</w:t>
      </w:r>
    </w:p>
    <w:p>
      <w:pPr>
        <w:keepLines w:val="0"/>
        <w:widowControl w:val="0"/>
        <w:snapToGrid/>
        <w:spacing w:before="0" w:beforeAutospacing="0" w:after="0" w:afterAutospacing="0" w:line="586" w:lineRule="exact"/>
        <w:ind w:left="0" w:leftChars="0" w:firstLine="643" w:firstLineChars="200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（四）强化四上企业培育，以增量促发展求新突破。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行业主管部门密切协作，用足用够现有扶持政策，加紧对达标企业的排查和鼓励入库，提高新入库企业对整体经济的拉动作用，夯实产业基础，为经济发展储备动力。</w:t>
      </w:r>
    </w:p>
    <w:p>
      <w:pPr>
        <w:keepLines w:val="0"/>
        <w:snapToGrid/>
        <w:spacing w:before="0" w:beforeAutospacing="0" w:after="0" w:afterAutospacing="0" w:line="580" w:lineRule="exact"/>
        <w:jc w:val="both"/>
        <w:textAlignment w:val="baseline"/>
        <w:rPr>
          <w:rStyle w:val="15"/>
          <w:rFonts w:hint="default" w:ascii="Times New Roman" w:hAnsi="Times New Roman" w:eastAsia="仿宋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jYzMwOGM2YjlhZjA0NmI3ZDdiMWIzNzE5OGNmOGYifQ=="/>
  </w:docVars>
  <w:rsids>
    <w:rsidRoot w:val="59061964"/>
    <w:rsid w:val="011F36F3"/>
    <w:rsid w:val="02424982"/>
    <w:rsid w:val="03B12529"/>
    <w:rsid w:val="03B35CEE"/>
    <w:rsid w:val="03E25FEF"/>
    <w:rsid w:val="053B35F3"/>
    <w:rsid w:val="063B7194"/>
    <w:rsid w:val="077E1A2E"/>
    <w:rsid w:val="07893182"/>
    <w:rsid w:val="08A27437"/>
    <w:rsid w:val="0A165860"/>
    <w:rsid w:val="0B4D3BF1"/>
    <w:rsid w:val="0BA26F84"/>
    <w:rsid w:val="0CC71CB0"/>
    <w:rsid w:val="0D986979"/>
    <w:rsid w:val="0E3771A3"/>
    <w:rsid w:val="106F3286"/>
    <w:rsid w:val="118E3E97"/>
    <w:rsid w:val="11915F69"/>
    <w:rsid w:val="14425F5E"/>
    <w:rsid w:val="155B3E8E"/>
    <w:rsid w:val="15A81E81"/>
    <w:rsid w:val="15CE592F"/>
    <w:rsid w:val="16E80C72"/>
    <w:rsid w:val="17601C30"/>
    <w:rsid w:val="17B07EE9"/>
    <w:rsid w:val="1A811D76"/>
    <w:rsid w:val="1AEC666C"/>
    <w:rsid w:val="1B237B44"/>
    <w:rsid w:val="1CB57848"/>
    <w:rsid w:val="1D5F77B4"/>
    <w:rsid w:val="1D7D2181"/>
    <w:rsid w:val="1F8A423A"/>
    <w:rsid w:val="20135758"/>
    <w:rsid w:val="214116AB"/>
    <w:rsid w:val="22202E8E"/>
    <w:rsid w:val="23702352"/>
    <w:rsid w:val="24C34B23"/>
    <w:rsid w:val="25253F63"/>
    <w:rsid w:val="25D50664"/>
    <w:rsid w:val="26CA3EF0"/>
    <w:rsid w:val="26F10525"/>
    <w:rsid w:val="272D5EEC"/>
    <w:rsid w:val="274524E5"/>
    <w:rsid w:val="28C44D7E"/>
    <w:rsid w:val="290610DB"/>
    <w:rsid w:val="294C2014"/>
    <w:rsid w:val="29E948DE"/>
    <w:rsid w:val="2B072149"/>
    <w:rsid w:val="2D945D64"/>
    <w:rsid w:val="2E1D524D"/>
    <w:rsid w:val="2E443C78"/>
    <w:rsid w:val="2EFE1627"/>
    <w:rsid w:val="2FD05535"/>
    <w:rsid w:val="32811675"/>
    <w:rsid w:val="32C26302"/>
    <w:rsid w:val="33F54A0C"/>
    <w:rsid w:val="34E139B8"/>
    <w:rsid w:val="35A37A25"/>
    <w:rsid w:val="36352576"/>
    <w:rsid w:val="36A8550C"/>
    <w:rsid w:val="36B204FD"/>
    <w:rsid w:val="36BE2077"/>
    <w:rsid w:val="36C83477"/>
    <w:rsid w:val="36FC2E21"/>
    <w:rsid w:val="398B35D1"/>
    <w:rsid w:val="3B563B4D"/>
    <w:rsid w:val="3B9D0392"/>
    <w:rsid w:val="3BFB1479"/>
    <w:rsid w:val="3C8915AE"/>
    <w:rsid w:val="3D4F6AA6"/>
    <w:rsid w:val="3DEB6C1A"/>
    <w:rsid w:val="3FE91433"/>
    <w:rsid w:val="40AB28EA"/>
    <w:rsid w:val="420325E7"/>
    <w:rsid w:val="42EC7E78"/>
    <w:rsid w:val="43707072"/>
    <w:rsid w:val="43B22865"/>
    <w:rsid w:val="44347A4A"/>
    <w:rsid w:val="44483AD1"/>
    <w:rsid w:val="459D2FF5"/>
    <w:rsid w:val="468936D7"/>
    <w:rsid w:val="48D0572F"/>
    <w:rsid w:val="49C86D57"/>
    <w:rsid w:val="4BCD1C3C"/>
    <w:rsid w:val="4C3448FA"/>
    <w:rsid w:val="4DA70050"/>
    <w:rsid w:val="4E477989"/>
    <w:rsid w:val="4E883090"/>
    <w:rsid w:val="4F1E31CA"/>
    <w:rsid w:val="4F4B18E8"/>
    <w:rsid w:val="4FE93D3D"/>
    <w:rsid w:val="509C04CA"/>
    <w:rsid w:val="50C52879"/>
    <w:rsid w:val="50D01E7E"/>
    <w:rsid w:val="511E5103"/>
    <w:rsid w:val="52462715"/>
    <w:rsid w:val="545729B8"/>
    <w:rsid w:val="54732011"/>
    <w:rsid w:val="57400228"/>
    <w:rsid w:val="59061964"/>
    <w:rsid w:val="5A7D4A4E"/>
    <w:rsid w:val="5B355BCF"/>
    <w:rsid w:val="5B6D0D13"/>
    <w:rsid w:val="5B9947F4"/>
    <w:rsid w:val="5D3C6BEF"/>
    <w:rsid w:val="5E346C10"/>
    <w:rsid w:val="5F122944"/>
    <w:rsid w:val="60106CC6"/>
    <w:rsid w:val="6043736E"/>
    <w:rsid w:val="605C4EB2"/>
    <w:rsid w:val="609F196E"/>
    <w:rsid w:val="62310601"/>
    <w:rsid w:val="62AC26A6"/>
    <w:rsid w:val="62F92E8C"/>
    <w:rsid w:val="637B66AA"/>
    <w:rsid w:val="63D3192F"/>
    <w:rsid w:val="63E22A44"/>
    <w:rsid w:val="640376E0"/>
    <w:rsid w:val="64993C62"/>
    <w:rsid w:val="65B66A8E"/>
    <w:rsid w:val="66D270F0"/>
    <w:rsid w:val="684A6664"/>
    <w:rsid w:val="68CF0402"/>
    <w:rsid w:val="69335C12"/>
    <w:rsid w:val="69F951A3"/>
    <w:rsid w:val="6AB46016"/>
    <w:rsid w:val="6AC97D2A"/>
    <w:rsid w:val="6B080EB1"/>
    <w:rsid w:val="6B431148"/>
    <w:rsid w:val="6CA305B1"/>
    <w:rsid w:val="6D60458E"/>
    <w:rsid w:val="6E7C4716"/>
    <w:rsid w:val="6EB67A1C"/>
    <w:rsid w:val="6FA81EC2"/>
    <w:rsid w:val="71EA5223"/>
    <w:rsid w:val="744F0F1D"/>
    <w:rsid w:val="75736ACE"/>
    <w:rsid w:val="765E2344"/>
    <w:rsid w:val="76FA74A7"/>
    <w:rsid w:val="77FD03CD"/>
    <w:rsid w:val="78E61B15"/>
    <w:rsid w:val="78EF7268"/>
    <w:rsid w:val="7AA74737"/>
    <w:rsid w:val="7AC06311"/>
    <w:rsid w:val="7AF20AD6"/>
    <w:rsid w:val="7B523F80"/>
    <w:rsid w:val="7B6A0E2D"/>
    <w:rsid w:val="7B6B623C"/>
    <w:rsid w:val="7BCB1412"/>
    <w:rsid w:val="7C04501C"/>
    <w:rsid w:val="7CED58A0"/>
    <w:rsid w:val="7E16644D"/>
    <w:rsid w:val="7E90249F"/>
    <w:rsid w:val="7ED60BA1"/>
    <w:rsid w:val="7F03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7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spacing w:before="100" w:beforeAutospacing="1" w:after="0" w:line="360" w:lineRule="auto"/>
      <w:ind w:firstLine="200" w:firstLineChars="200"/>
    </w:pPr>
    <w:rPr>
      <w:rFonts w:ascii="仿宋_GB2312" w:hAnsi="宋体" w:eastAsia="仿宋_GB2312" w:cs="宋体"/>
      <w:sz w:val="32"/>
      <w:szCs w:val="3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spacing w:before="60" w:after="120" w:line="560" w:lineRule="exact"/>
      <w:jc w:val="center"/>
      <w:outlineLvl w:val="0"/>
    </w:pPr>
    <w:rPr>
      <w:rFonts w:eastAsia="方正小标宋简体"/>
      <w:bCs/>
      <w:sz w:val="44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qFormat/>
    <w:uiPriority w:val="0"/>
  </w:style>
  <w:style w:type="character" w:customStyle="1" w:styleId="1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p0"/>
    <w:qFormat/>
    <w:uiPriority w:val="0"/>
    <w:pPr>
      <w:widowControl/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1883</Words>
  <Characters>2116</Characters>
  <Lines>0</Lines>
  <Paragraphs>0</Paragraphs>
  <TotalTime>21</TotalTime>
  <ScaleCrop>false</ScaleCrop>
  <LinksUpToDate>false</LinksUpToDate>
  <CharactersWithSpaces>2117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2021-04-25T03:12:00Z</dcterms:created>
  <dc:creator>Administrator</dc:creator>
  <cp:lastModifiedBy>✨瑜</cp:lastModifiedBy>
  <cp:lastPrinted>2022-07-29T03:28:00Z</cp:lastPrinted>
  <dcterms:modified xsi:type="dcterms:W3CDTF">2023-09-11T08:39:19Z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F189A3F747E94D5ABAE39BEAB1C27EE8</vt:lpwstr>
  </property>
</Properties>
</file>