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hint="eastAsia" w:ascii="方正小标宋_GBK" w:hAnsi="方正小标宋_GBK" w:eastAsia="方正小标宋_GBK" w:cs="方正小标宋_GBK"/>
          <w:sz w:val="44"/>
          <w:szCs w:val="44"/>
        </w:rPr>
      </w:pPr>
      <w:r>
        <w:rPr>
          <w:rFonts w:hint="eastAsia" w:ascii="黑体" w:hAnsi="黑体" w:eastAsia="黑体"/>
          <w:sz w:val="32"/>
          <w:szCs w:val="32"/>
        </w:rPr>
        <w:t>附件1</w:t>
      </w:r>
      <w:r>
        <w:rPr>
          <w:rFonts w:hint="eastAsia" w:ascii="黑体" w:hAnsi="黑体" w:eastAsia="黑体"/>
          <w:sz w:val="32"/>
          <w:szCs w:val="32"/>
          <w:lang w:val="en-US" w:eastAsia="zh-CN"/>
        </w:rPr>
        <w:t>-6</w:t>
      </w:r>
    </w:p>
    <w:p>
      <w:pPr>
        <w:adjustRightInd w:val="0"/>
        <w:snapToGrid w:val="0"/>
        <w:spacing w:line="57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资源县发展和改革局（资源县粮食和物资储备局）权责清单</w:t>
      </w:r>
    </w:p>
    <w:p>
      <w:pPr>
        <w:adjustRightInd w:val="0"/>
        <w:snapToGrid w:val="0"/>
        <w:spacing w:line="570" w:lineRule="exact"/>
        <w:jc w:val="center"/>
        <w:rPr>
          <w:rFonts w:hint="eastAsia" w:eastAsia="方正仿宋_GBK"/>
          <w:sz w:val="32"/>
          <w:szCs w:val="32"/>
          <w:lang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04"/>
        <w:gridCol w:w="546"/>
        <w:gridCol w:w="966"/>
        <w:gridCol w:w="738"/>
        <w:gridCol w:w="3285"/>
        <w:gridCol w:w="2361"/>
        <w:gridCol w:w="4842"/>
        <w:gridCol w:w="2237"/>
        <w:gridCol w:w="4440"/>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06"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08"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6039" w:type="dxa"/>
            <w:gridSpan w:val="5"/>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4412" w:type="dxa"/>
            <w:gridSpan w:val="5"/>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81"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0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p>
        </w:tc>
        <w:tc>
          <w:tcPr>
            <w:tcW w:w="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p>
        </w:tc>
        <w:tc>
          <w:tcPr>
            <w:tcW w:w="504" w:type="dxa"/>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46" w:type="dxa"/>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966" w:type="dxa"/>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实施主体</w:t>
            </w:r>
          </w:p>
        </w:tc>
        <w:tc>
          <w:tcPr>
            <w:tcW w:w="738" w:type="dxa"/>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3285" w:type="dxa"/>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36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84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2237" w:type="dxa"/>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追责情形（明确内部追责主体）</w:t>
            </w:r>
          </w:p>
        </w:tc>
        <w:tc>
          <w:tcPr>
            <w:tcW w:w="4440" w:type="dxa"/>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532" w:type="dxa"/>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8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976"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1</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行政许可</w:t>
            </w:r>
          </w:p>
        </w:tc>
        <w:tc>
          <w:tcPr>
            <w:tcW w:w="504"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企业、事业单位、社会团体等投资建设的固定资产投资项目核准</w:t>
            </w: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18"/>
                <w:szCs w:val="18"/>
              </w:rPr>
            </w:pP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行政审批办、各相关业务股室</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1.【行政法规】《企业投资项目核准和备案管理条例》（2016年国务院令第673号）第三条：对关系国家安全、涉及全国重大生产力布局、战略性资源开发和重大公共利益等项目，实行核准管理，具体项目范围以及核准机关、核准权限依照政府核准的投资项目目录执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企业投资项目核准和备案管理办法》（2017年国家发展改革委令第2号）第三条：县级以上人民政府投资主管部门对投资项目履行综合管理职责。县级以上人民政府其他部门依照法律、法规规定，按照本级政府规定职责分工，对投资项目履行相应管理职责。第四条：根据项目不同情况，分别实行核准管理或备案管理。对关系国家安全、涉及全国重大生产力布局、战略性资源开发和重大公共利益等项目，实行核准管理。其他项目实行备案管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3.【规范性文件】《国务院关于投资体制改革的决定》（国发〔2004〕20号）二、转变政府管理职能，确立企业的投资主体地位 （一） ……对于企业不使用政府投资建设的项目，一律不再实行审批制，区别不同情况实行核准制和备案制。其中，政府仅对重大项目和限制类项目从维护社会公共利益角度进行核准。（二）……对于外商投资项目，政府还要从市场准入、资本项目管理等方面进行核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规范性文件】《广西壮族自治区人民政府关于印发广西壮族自治区企业投资项目核准和备案管理办法的通知》（桂政发〔2018〕35号）第五条：依据自治区和设区市、县（市、区）人民政府确定的职责分工，具有项目核准权限的行政机关包括：发展改革、工业和信息化或者行政审批部门。实行核准管理的具体项目范围、核准权限，由自治区人民政府发布的《政府核准的投资项目目录（广西壮族自治区2017年本）》确定。法律、行政法规和国务院对项目核准的范围、权限有专门规定的，从其规定。”</w:t>
            </w:r>
          </w:p>
        </w:tc>
        <w:tc>
          <w:tcPr>
            <w:tcW w:w="2361"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1.受理责任（行政审批办）：公布依法应当提交的材料；一次性告知补正材料；依法受理或不予受理（不予受理应告知理由）。</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审查责任（各相关业务股室）：对材料从是否符合国家法律法规和宏观调控政策，是否符合发展规划、产业政策、技术政策和准入标准，是否合理开发并有效利用了资源，是否不影响我国国家安全、经济安全和生态安全，是否对公众利益特别是项目建设地的公众利益不产生重大不利影响五个方面进行审核，并提出审查意见。</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3.决定责任（各相关业务股室）：作出决定（不予行政许可的应当告知理由），按时办结并向社会公开。</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4.送达责任（行政审批办）：制发送达项目核准批复文件，信息公开。</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5.监管责任（各相关业务股室）：会同行业管理、城乡规划（建设）、国土资源、环境保护等部门，加强对企业投资项目的监管；对于未按规定取得规划选址、用地预审等的项目不予核准。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6.法律法规规章文件规定的其他应履行的责任（有关股室）。</w:t>
            </w:r>
          </w:p>
        </w:tc>
        <w:tc>
          <w:tcPr>
            <w:tcW w:w="484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企业投资项目核准和备案管理办法》（2017年国家发展改革委令第2号）第二十五条：申报材料不齐全或者不符合法定形式的，项目核准机关应当在收到申报材料之日起5个工作日内一次告知项目单位补充相关文件。或对相关内容进行调整。逾期不告知的，自收到项目申报材料之日起即为受理。项目核准机关受理或者不予受理申报材料，都应当出具加盖本机关专用印章并注明日期的书面凭证。对于受理的申报材料，书面凭证应注明项目代码，项目单位可以根据项目代码在线查询、监督核准过程和结果。</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部门规章】《企业投资项目核准和备案管理办法》（2017年国家发展改革委令第2号）第三十五条：项目核准机关应当从以下方面对项目进行审查：（一）是否危害经济安全、社会安全、生态安全等国家安全；（二）是否符合相关发展建设规划、产业政策和技术标准；（三）是否合理开发并有效利用资源；（四）是否对重大公共利益产生不利影响；</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4.【部门规章】《企业投资项目核准和备案管理办法》（2017年国家发展改革委令第2号）第三十一条：项目核准机关应当在正式受理申报材料后20 个工作日内作出是否予以核准的决定，或向上级项目核准机关提出审核意见。项目情况复杂或者需要征求有关单位意见的，经本行政机关主要负责人批准，可延长核准时限，但延长的时限不得超过40个工作日，并应当将延长期限的理由告知项目单位。第三十二条项目符合核准条件的，项目核准机关应当对项目予以核准并向项目单位出具项目核准文件。项目不符合核准条件的，项目核准机关应当出具不予核准的书面通知，并说明不予核准的理由。属于国务院核准权限的项目，由国务院投资主管部门根据国务院的决定向项目单位出具项目核准文件或者不予核准的书面通知。项目核准机关出具项目核准文件或者不予核准的书面通知应当抄送同级行业管理、城乡规划、国土资源、水行政管理、环境保护、节能审查等相关部门和下级机关。</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部门规章】《企业投资项目核准和备案管理办法》（2017年国家发展改革委令第2号）第四十六条：项目核准和备案机关、行业管理、城乡规划（建设）、国家安全、国土（海洋）资源、环境保护、节能审查、金融监管、安全生产监管、审计等部门，应当按照谁审批谁监管、谁主管谁监管的原则，采取在线监测、现场核查等方式，依法加强对项目的事中事后监管。第四十八条：对不符合法定条件的项目予以核准，或者超越法定职权予以核准的，应依法予以撤销。</w:t>
            </w:r>
          </w:p>
        </w:tc>
        <w:tc>
          <w:tcPr>
            <w:tcW w:w="2237"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1.对符合条件的申请不予办理或不在法定期限内办理（县纪委监委派驻县发改局纪检监察组）；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2.对不符合许可条件的予以许可的（县纪委监委派驻县发改局纪检监察组）；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3.未严格审查申报材料或弄虚作假审批、有失职行为，造成项目损失的（县纪委监委派驻县发改局纪检监察组）；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4.不按照法定条件或者违反法定程序审核、审批，以及乱收费用，情节严重的（县纪委监委派驻县发改局纪检监察组）；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5.在审批过程中徇私舞弊、滥用职权、玩忽职守的（县纪委监委派驻县发改局纪检监察组）；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6.利用职务上的便利，索取他人财物，为他人谋取利益的（县纪委监委派驻县发改局纪检监察组）；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7.除以上追责情形外，其他违反法律法规规章的行为依法追究相应责任（县纪委监委派驻县发改局纪检监察组）。 </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2.【规章】《企业投资项目核准和备案管理办法》（2017年国家发改委第2号令公布）第五十二条“项目核准、备案机关有下列情形之一的，由其上级行政机关责令改正；情节严重的，对负有责任的领导人员和直接责任人员由有关单位和部门依纪依法给予处分：（一）超越法定职权予以核准或备案的；（二）对不符合法定条件的项目予以核准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3.【规章】《企业投资项目核准和备案管理办法》（2017年国家发改委第2号令公布）第五十二条“项目核准、备案机关有下列情形之一的，由其上级行政机关责令改正；情节严重的，对负有责任的领导人员和直接责任人员由有关单位和部门依纪依法给予处分：（四）擅自增减核准审查条件的，或者以备案名义变相审批、核准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4.【规章】《企业投资项目核准和备案管理办法》（2017年国家发改委第2号令公布）第五十二条“项目核准、备案机关有下列情形之一的，由其上级行政机关责令改正；情节严重的，对负有责任的领导人员和直接责任人员由有关单位和部门依纪依法给予处分：（五）不在法定期限内作出核准决定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5.【规章】《企业投资项目核准和备案管理办法》（2017年国家发改委第2号令公布）第五十二条“项目核准、备案机关有下列情形之一的，由其上级行政机关责令改正；情节严重的，对负有责任的领导人员和直接责任人员由有关单位和部门依纪依法给予处分：（六）不依法履行监管职责或者监督不力，造成严重后果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6-1.【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6-2.【规章】企业投资项目核准和备案管理办法》（2017年国家发改委第2号令公布）第五十三条“项目核准、备案机关工作人员，以及其他相关部门及其工作人员，在项目核准、备案以及相关审批手续办理过程中玩忽职守、滥用职权、徇私舞弊、索贿受贿的，对负有责任的领导人员和直接责任人员依法给予处分；构成犯罪的，依法追究刑事责任。” </w:t>
            </w:r>
          </w:p>
        </w:tc>
        <w:tc>
          <w:tcPr>
            <w:tcW w:w="53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125"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2</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行政许可</w:t>
            </w:r>
          </w:p>
        </w:tc>
        <w:tc>
          <w:tcPr>
            <w:tcW w:w="504"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固定资产投资项目节能评估和审查</w:t>
            </w: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18"/>
                <w:szCs w:val="18"/>
              </w:rPr>
            </w:pP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行政审批办、工交能源股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1.【法律】《中华人民共和国节约能源法》第十五条：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固定资产投资项目节能审查办法》（2016年国家发展和改革委员会令第44号）第三条：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第八条： 节能审查机关受理固定资产投资项目节能报告后，应委托有关机构进行评审，形成评审意见，作为节能审查的重要依据。</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规范性文件】《广西壮族自治区固定资产投资项目节能审查办法》（桂发改环资〔2017〕635号）第五条：年综合能源消费量在1000吨标准煤（含1000吨标准煤；改扩建项目按照建成投产后年综合能源消费增量计算，电力折算系数按当量值，下同）以上，或年电力消费量500万千瓦时以上（含500万千瓦时）的固定资产投资项目，需要进行节能审查。国务院投资主管部门核报国务院审批、核准以及国务院投资主管部门审批、核准的固定资产投资项目，高耗能高排放（简称“两高”）项目，年综合能源消费量5000吨标准煤以上（含5000吨标准煤），或年电力消费量在2500万千瓦时以上（含2500万千瓦时）的固定资产投资项目，其节能审查由自治区节能审查机关负责。年综合能源消费量1000吨至5000吨标准煤，或年电力消费量500万千瓦时至2500万千瓦时的固定资产投资项目，其节能审查按照项目管理权限实行分级管理，即自治区、设区市、县（市、区）投资主管部门核报本级人民政府审批或核准的项目，以及自治区、设区市、县（市、区）投资主管部门审批、核准或备案的项目，其节能审查由本级节能审查机关负责。</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第六条： 年综合能源消费量不满1000吨标准煤且年电力消费量不满500万千瓦时，以及用能工艺简单、节能潜力小的行业（根据国家发展改革委公布的具体行业目录执行）的固定资产投资项目，应按相关行业节能标准、规范建设，不再单独进行节能审查。</w:t>
            </w:r>
          </w:p>
        </w:tc>
        <w:tc>
          <w:tcPr>
            <w:tcW w:w="2361"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1．受理责任（行政审批办）：公示依法应当提交的材料；一次性告知补正材料；依法受理或不予受理（不予受理应当告知理由）。</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2．审查责任（工交能源股）：委托有关机构对项目建设单位提交的项目节能评估报告进行评审，根据评审机构形成的评审意见，依法对项目节能评估报告进行审查。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3．决定责任（工交能源股）：作出决定（不予行政许可的应当告知理由）；按时办结。</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4．送达责任（行政审批办）：制发送达项目节能评估报告审查意见；信息公开。</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5．监管责任（工交能源股）：在固定资产投资项目设计、施工及投入使用过程中，加强对节能评估报告及其节能审查意见的落实情况进行监督检查。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6．法律法规规章文件规定的其他应履行的责任（有关股室）。</w:t>
            </w:r>
          </w:p>
        </w:tc>
        <w:tc>
          <w:tcPr>
            <w:tcW w:w="484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固定资产投资项目节能审查办法》（2016年国家发展和改革委员会令第44号）第五条：固定资产投资项目节能审查由地方节能审查机关负责。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部门规章】《固定资产投资项目节能审查办法》（2016年国家发展和改革委员会令第44号）第八条：节能审查机关受理节能报告后，应委托有关机构进行评审，形成评审意见。作为节能审查的重要依据。节能审查应依据项目是否符合节能有关法律、标准规范、政策；项目用能分析是否客观准确，方法是否科学，结论是否正确；节能措施是否合理可行；项目的能源消费量和能效水平是否满足本地区能源消耗总量和强度“双控”管理要求等对项目节能报告进行审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4.【部门规章】《固定资产投资项目节能审查办法》（2016年国家发展和改革委员会令第44号）第九条：节能审查机关应在法律规定的时限内出具节能审查意见。节能审查意见自印发之日起2年内有效。</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5.【部门规章】《固定资产投资项目节能审查办法》（2016年国家发展和改革委员会令第44号）第十条：固定资产投资项目投入生产、使用前，应对其节能审查意见落实情况进行验收。</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部门规章】《固定资产投资项目节能审查办法》（2016年国家发展和改革委员会令第44号）第十二条：节能审查机关应加强节能审查信息的统计分析，强化事中事后监管，对节能审查落实情况进行监督检查。省级节能审查机关应按季度向国家发展改革委报送本地区节能审查实施情况。</w:t>
            </w:r>
          </w:p>
        </w:tc>
        <w:tc>
          <w:tcPr>
            <w:tcW w:w="2237"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1.对符合条件的申请不予办理或不在法定期限内办理（县纪委监委派驻县发改局纪检监察组）；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2.对不符合许可条件的予以许可的（县纪委监委派驻县发改局纪检监察组）；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3.未严格审查申报材料或弄虚作假审批、有失职行为，造成项目损失的（县纪委监委派驻县发改局纪检监察组）；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4.不按照法定条件或者违反法定程序审核、审批，以及乱收费用，情节严重的（县纪委监委派驻县发改局纪检监察组）；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5.在审批过程中徇私舞弊、滥用职权、玩忽职守的（县纪委监委派驻县发改局纪检监察组）；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6.利用职务上的便利，索取他人财物，为他人谋取利益的（县纪委监委派驻县发改局纪检监察组）；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7.除以上追责情形外，其他违反法律法规规章的行为依法追究相应责任（县纪委监委派驻县发改局纪检监察组）。 </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  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3.【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3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18"/>
                <w:szCs w:val="18"/>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486"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3</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行政处罚</w:t>
            </w:r>
          </w:p>
        </w:tc>
        <w:tc>
          <w:tcPr>
            <w:tcW w:w="504"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企业、事业单位、社会团体等未按法律、法规进行项目核准的处罚</w:t>
            </w: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固定资产投资和社会发展股、农村经济发展股、工交能源股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行政法规】《企业投资项目核准和备案管理条例》（2016年国务院令第673号）第十八条：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以欺骗、贿赂等不正当手段取得项目核准文件，尚未开工建设的，由核准机关撤销核准文件，处项目总投资额1‰以上5‰以下的罚款；已经开工建设的，依照前款规定予以处罚；构成犯罪的，依法追究刑事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企业投资项目核准和备案管理办法》（2017年国家发展和改革委员会令第2号）第五十五条：企业以分拆项目、隐瞒有关情况或者提供虚假申报材料等不正当手段申请核准、备案的，项目核准机关不予受理或者不予核准、备案，并给予警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第五十六条：实行核准管理的项目，企业未依法办理核准手续开工建设或者未按照核准的建设地点、建设规模、建设内容等进行建设的，由核准机关责令停止建设或者责令停产，对企业处项目总投资额 1‰以上 5‰以下的罚款；对直接负责的主管人员和其他直接责任人员处2万元以上5万元以下的罚款，属于国家工作人员的，依法给予处分。项目应视情况予以拆除或者补办相关手续。以欺骗、贿赂等不正当手段取得项目核准文件，尚未开工建设的，由核准机关撤销核准文件，处项目总投资额 1‰以上5‰以下的罚款；已经开工建设的，依照前款规定予以处罚；构成犯罪的，依法追究刑事责任。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第五十九条：项目单位在项目建设过程中不遵守国土（海洋）资源、城乡规划、环境保护、节能、安全监管、建设等方面法律法规和有关审批文件要求的，相关部门应依法予以处理。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六十条：承担项目申请报告编写、评估任务的工程咨询评估机构及其人员、参与专家评议的专家，在编制项目申请报告、受项目核准机关委托开展评估或者参与专家评议过程中，违反从业规定，造成重大损失和恶劣影响的，依法降低或撤销工程咨询单位资格，取消主要责任人员的相关职业资格。</w:t>
            </w:r>
          </w:p>
        </w:tc>
        <w:tc>
          <w:tcPr>
            <w:tcW w:w="2361"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1.立案责任（各相关业务股室）：项目核准、备案机关对初步调查或检查发现的涉嫌违法行为应当立案。</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2.调查取证责任（各相关业务股室）：对立案的案件，项目核准、备案机关必须全面、客观、公正地调查或检查，收集有关证据。</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审理审查责任（各相关业务股室）：对案件管辖权、当事人基本情况、违法事实及证据、定性、法律适用、法定程序、处罚种类和幅度、当事人陈述理由等方面进行审理审查，提出处理意见，对情节复杂或者重大违法行为给予较重的行政处罚，应当集体讨论决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4.告知责任（各相关业务股室）：告知当事人拟作出行政处罚的事实、理由和依据，并依法享有的陈述申辩或者要求听证的权利等。</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5.决定责任（各相关业务股室）：依法作出行政处罚的，应制作行政处罚决定书，载明违法事实和证据、处罚种类和依据、履行方式和期限、救济途径和期限等。</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6.送达责任（各相关业务股室）：行政处罚决定书应在7日内送达当事人。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7.执行责任（各相关业务股室）：当事人在法定期限内不申请行政复议或者提起行政诉讼，又不履行行政处罚决定的，可依法申请人民法院强制执行。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8.监管责任（各相关业务股室）：项目核准、备案机关应当根据法律法规和发展规划、产业政策、总量控制目标、技术政策、准入标准及相关环保要求等，对项目进行监管。</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9.法律法规规章文件规定的其他应履行的责任（有关股室）。</w:t>
            </w:r>
          </w:p>
        </w:tc>
        <w:tc>
          <w:tcPr>
            <w:tcW w:w="484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2.【地方政府规章】《广西壮族自治区行政执法程序规定》（1997年广西壮族自治区人民政府令第13号）第二十八条：行政执法机关对违法事项经过审查，认为有违法事实，依法需要给予行政处罚的，应当登记立案。</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1.【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2.【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4.【法律】《中华人民共和国行政处罚法》第三十一条：行政机关在作出行政处罚决定之前，应当告知当事人作出行政处罚决定的事实、理由及依据，并告知当事人依法享有的权利。</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第三十二条：当事人有权进行陈述和申辩。行政机关必须充分听取当事人的意见，对当事人提出的事实、理由和证据，应当进行复核；当事人提出的事实、理由或者证据成立的，行政机关应当采纳。</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6.【法律】《中华人民共和国行政处罚法》第四十条：行政处罚决定书应当在宣告后当场交付当事人；当事人不在场的，行政机关应当在七日内依照民事诉讼法的有关规定，将行政处罚决定书送达当事人。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7.【法律】《中华人民共和国行政处罚法》第四十四条：行政处罚决定依法作出后，当事人应当在行政处罚决定的期限内，予以履行。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行政法规】《企业投资项目核准和备案管理条例》（2016年国务院令第673号）第十六条：核准机关、备案机关以及依法对项目负有监督管理职责的其他有关部门应当加强事中事后监管，按照谁审批谁监管、谁主管谁监管的原则，落实监管责任，采取在线监测、现场核查等方式，加强对项目实施的监督检查。</w:t>
            </w:r>
          </w:p>
        </w:tc>
        <w:tc>
          <w:tcPr>
            <w:tcW w:w="2237"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因不履行或不正确履行职责，有下列情形的行政机关及相关工作人员应承担相应的责任：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1.不具备行政处罚主体资格（县纪委监委派驻县发改局纪检监察组）；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2.没有事实和法律依据（县纪委监委派驻县发改局纪检监察组）；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3.擅自改变处罚种类、幅度（县纪委监委派驻县发改局纪检监察组）；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4.违反法定程序（县纪委监委派驻县发改局纪检监察组）；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5.违法处理罚没财物（县纪委监委派驻县发改局纪检监察组）；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6.涉嫌犯罪，不移交司法机关（县纪委监委派驻县发改局纪检监察组）；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7.对违法行为应当处罚不处罚或者乱处罚（县纪委监委派驻县发改局纪检监察组）；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8.除以上追责情形外，其他违反法律法规规章的行为依法追究相应责任（县纪委监委派驻县发改局纪检监察组）。</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【法律】《中华人民共和国行政处罚法》第七十六条　行政机关实施行政处罚，有下列情形之一，由上级行政机关或者有关机关责令改正，对直接负责的主管人员和其他直接责任人员依法给予处分：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（一）没有法定的行政处罚依据的；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（二）擅自改变行政处罚种类、幅度的；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（三）违反法定的行政处罚程序的；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（四）违反本法第二十条关于委托处罚的规定的；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（五）执法人员未取得执法证件的。</w:t>
            </w:r>
          </w:p>
        </w:tc>
        <w:tc>
          <w:tcPr>
            <w:tcW w:w="53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376"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4</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行政处罚</w:t>
            </w:r>
          </w:p>
        </w:tc>
        <w:tc>
          <w:tcPr>
            <w:tcW w:w="504"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企业、事业单位、社会团体等未按法律、法规进行项目备案的处罚</w:t>
            </w: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固定资产投资和社会发展股、农村经济发展股、工交能源股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行政法规】《企业投资项目核准和备案管理条例》（2016年国务院令第673号）第十九条：实行备案管理的项目，企业未依照本条例规定将项目信息或者已备案项目的信息变更情况告知备案机关，由备案机关责令限期改正；逾期不改正的，处2万元以上5万元以下的罚款。</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企业投资项目核准和备案管理办法》（2017年国家发展和改革委员会令第2号）第五十五条：企业以分拆项目、隐瞒有关情况或者提供虚假申报材料等不正当手段申请核准、备案的，项目核准机关不予受理或者不予核准、备案，并给予警告。第五十七条：实行备案管理的项目，企业未依法将项目信息或者已备案项目信息变更情况告知备案机关，或者向备案机关提供虚假信息的，由备案机关责令限期改正；逾期不改正的，处 2 万元以上 5 万元以下的罚款。第五十九条：项目单位在项目建设过程中不遵守国土（海洋）资源、城乡规划、环境保护、节能、安全监管、建设等方面法律法规和有关审批文件要求的，相关部门应依法予以处理。第六十条：承担项目申请报告编写、评估任务的工程咨询评估机构及其人员、参与专家评议的专家，在编制项目申请报告、受项目核准机关委托开展评估或者参与专家评议过程中，违反从业规定，造成重大损失和恶劣影响的，依法降低或撤销工程咨询单位资格，取消主要责任人员的相关职业资格。</w:t>
            </w:r>
          </w:p>
        </w:tc>
        <w:tc>
          <w:tcPr>
            <w:tcW w:w="2361"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1.立案责任（各相关业务股室）：项目核准、备案机关对初步调查或检查发现的涉嫌违法行为应当立案。</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2.调查取证责任（各相关业务股室）：对立案的案件，项目核准、备案机关必须全面、客观、公正地调查或检查，收集有关证据。</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审理审查责任（各相关业务股室）：对案件管辖权、当事人基本情况、违法事实及证据、定性、法律适用、法定程序、处罚种类和幅度、当事人陈述理由等方面进行审理审查，提出处理意见，对情节复杂或者重大违法行为给予较重的行政处罚，应当集体讨论决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4.告知责任（各相关业务股室）：告知当事人拟作出行政处罚的事实、理由和依据，并依法享有的陈述申辩或者要求听证的权利等。</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5.决定责任（各相关业务股室）：依法作出行政处罚的，应制作行政处罚决定书，载明违法事实和证据、处罚种类和依据、履行方式和期限、救济途径和期限等。</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6.送达责任（各相关业务股室）：行政处罚决定书应在7日内送达当事人。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7.执行责任（各相关业务股室）：当事人在法定期限内不申请行政复议或者提起行政诉讼，又不履行行政处罚决定的，可依法申请人民法院强制执行。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8.监管责任（各相关业务股室）：项目核准、备案机关应当根据法律法规和发展规划、产业政策、总量控制目标、技术政策、准入标准及相关环保要求等，对项目进行监管。</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9.法律法规规章文件规定的其他应履行的责任（有关股室）。</w:t>
            </w:r>
          </w:p>
        </w:tc>
        <w:tc>
          <w:tcPr>
            <w:tcW w:w="484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1－2. 【地方政府规章】《广西壮族自治区行政执法程序规定》（1997年广西壮族自治区人民政府令第13号）第二十八条：行政执法机关对违法事项经过审查，认为有违法事实，依法需要给予行政处罚的，应当登记立案。</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1.【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2.【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4.【法律】《中华人民共和国行政处罚法》第三十一条：行政机关在作出行政处罚决定之前，应当告知当事人作出行政处罚决定的事实、理由及依据，并告知当事人依法享有的权利。</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第三十二条：当事人有权进行陈述和申辩。行政机关必须充分听取当事人的意见，对当事人提出的事实、理由和证据，应当进行复核；当事人提出的事实、理由或者证据成立的，行政机关应当采纳。</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6.【法律】《中华人民共和国行政处罚法》第四十条：行政处罚决定书应当在宣告后当场交付当事人；当事人不在场的，行政机关应当在七日内依照民事诉讼法的有关规定，将行政处罚决定书送达当事人。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7.【法律】《中华人民共和国行政处罚法》第四十四条：行政处罚决定依法作出后，当事人应当在行政处罚决定的期限内，予以履行。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行政法规】《企业投资项目核准和备案管理条例》（2016年国务院令第673号）第十六条：核准机关、备案机关以及依法对项目负有监督管理职责的其他有关部门应当加强事中事后监管，按照谁审批谁监管、谁主管谁监管的原则，落实监管责任，采取在线监测、现场核查等方式，加强对项目实施的监督检查。</w:t>
            </w:r>
          </w:p>
        </w:tc>
        <w:tc>
          <w:tcPr>
            <w:tcW w:w="2237"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spacing w:val="-6"/>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因不履行或不正确履行职责，有下列情形的行政机关及相关工作人员应承担相应的责任：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1.不具备行政处罚主体资格（县纪委监委派驻县发改局纪检监察组）；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2.没有事实和法律依据（县纪委监委派驻县发改局纪检监察组）；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3.擅自改变处罚种类、幅度（县纪委监委派驻县发改局纪检监察组）；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4.违反法定程序（县纪委监委派驻县发改局纪检监察组）；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5.违法处理罚没财物（县纪委监委派驻县发改局纪检监察组）；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6.涉嫌犯罪，不移交司法机关（县纪委监委派驻县发改局纪检监察组）；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7.对违法行为应当处罚不处罚或者乱处罚（县纪委监委派驻县发改局纪检监察组）；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8.除以上追责情形外，其他违反法律法规规章的行为依法追究相应责任（县纪委监委派驻县发改局纪检监察组）。</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【法律】《中华人民共和国行政处罚法》第七十六条　行政机关实施行政处罚，有下列情形之一，由上级行政机关或者有关机关责令改正，对直接负责的主管人员和其他直接责任人员依法给予处分：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（一）没有法定的行政处罚依据的；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（二）擅自改变行政处罚种类、幅度的；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（三）违反法定的行政处罚程序的；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（四）违反本法第二十条关于委托处罚的规定的；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（五）执法人员未取得执法证件的。</w:t>
            </w:r>
          </w:p>
        </w:tc>
        <w:tc>
          <w:tcPr>
            <w:tcW w:w="53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850"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5</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行政处罚</w:t>
            </w:r>
          </w:p>
        </w:tc>
        <w:tc>
          <w:tcPr>
            <w:tcW w:w="504"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对投资建设产业政策禁止投资建设项目的企业处罚</w:t>
            </w: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固定资产投资和社会发展股、农村经济发展股、工交能源股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行政法规】《企业投资项目核准和备案管理条例》（2016年国务院令第673号）第二十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企业投资项目核准和备案管理办法》（2017年国家发展和改革委员会令第2号）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tc>
        <w:tc>
          <w:tcPr>
            <w:tcW w:w="2361"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1.立案责任（各相关业务股室）：投资主管部门在检查中发现或接到举报或者交办、上报、移送的此类案件，应予以审查，决定是否立案。</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2.调查责任（各相关业务股室）：对立案的案件，指定专人负责，与当事人有直接利害关系的应当回避。执法人员不得少于两人，调查时应出示执法证件，允许当事人辩解陈述，执法人员应保守有关秘密。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审查责任（各相关业务股室）：对案件违法事实、证据、调查取证程序、法律适用、处罚种类和幅度、当事人陈述和申辩理由等方面进行审理审查，提出处理意见，对情节复杂或者重大违法行为给予较重的行政处罚，应当集体讨论决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4.告知责任（各相关业务股室）：在做出行政处罚决定前，应当填写行政处罚事先告知书，告知当事人违法事实、处罚的理由和依据，以及当事人依法享有的陈述、申辩、要求听证等权利。</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5.决定责任（各相关业务股室）：根据审查情况决定是否予以行政处罚。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6.送达责任（各相关业务股室）：制发文书并送达被处罚人、利害关系人（举报人）或有关单位。</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7.执行责任（各相关业务股室）：监督当事人在决定的期限内，履行生效的行政处罚决定。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8.监督责任（各相关业务股室）：根据法律法规对项目进行监管</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9.法律法规规章文件规定的其他应履行的责任（有关股室）。</w:t>
            </w:r>
          </w:p>
        </w:tc>
        <w:tc>
          <w:tcPr>
            <w:tcW w:w="484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1—1.【法律】《中华人民共和国行政处罚法》第二十条：行政处罚由违法行为发生地的县级以上地方人民政府具有行政处罚权的行政机关管辖。法律、行政法规另有规定的除外。</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2.【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4.【法律】《中华人民共和国行政处罚法》第三十一条：行政机关在作出行政处罚决定之前，应当告知当事人作出行政处罚决定的事实、理由及依据，并告知当事人依法享有的权利。</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6.【法律】《中华人民共和国行政处罚法》第四十条：行政处罚决定书应当在宣告后当场交付当事人；当事人不在场的，行政机关应当在七日内依照民事诉讼法的有关规定，将行政处罚决定书送达当事人。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法律】《中华人民共和国行政处罚法》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部门规章】《企业投资项目核准和备案管理办法》（2017年国家发展和改革委员会令第2号）第四十六条：项目核准和备案机关、行业管理、城乡规划（建设）、国家安全、国土（海洋）资源、环境保护、节能审查、金融监管、安全生产监管、审计等部门，应当按照谁审批谁监管、谁主管谁监管的原则，采取在线监测、现场核查等方式，依法加强对项目的事中事后监管。项目核准、备案机关应当根据法律法规和发展规划、产业政策、总量控制目标、技术政策、准入标准及相关环保要求等，对项目进行监管。</w:t>
            </w:r>
          </w:p>
        </w:tc>
        <w:tc>
          <w:tcPr>
            <w:tcW w:w="2237"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因不履行或不正确履行职责，有下列情形的行政机关及相关工作人员应承担相应的责任：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1.不具备行政处罚主体资格（县纪委监委派驻县发改局纪检监察组）；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2.没有事实和法律依据（县纪委监委派驻县发改局纪检监察组）；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3.擅自改变处罚种类、幅度（县纪委监委派驻县发改局纪检监察组）；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4.违反法定程序（县纪委监委派驻县发改局纪检监察组）；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5.违法处理罚没财物（县纪委监委派驻县发改局纪检监察组）；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6.涉嫌犯罪，不移交司法机关（县纪委监委派驻县发改局纪检监察组）；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7.对违法行为应当处罚不处罚或者乱处罚（县纪委监委派驻县发改局纪检监察组）；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8.除以上追责情形外，其他违反法律法规规章的行为依法追究相应责任（县纪委监委派驻县发改局纪检监察组）。</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【法律】《中华人民共和国行政处罚法》第七十六条　行政机关实施行政处罚，有下列情形之一，由上级行政机关或者有关机关责令改正，对直接负责的主管人员和其他直接责任人员依法给予处分：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（一）没有法定的行政处罚依据的；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（二）擅自改变行政处罚种类、幅度的；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（三）违反法定的行政处罚程序的；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（四）违反本法第二十条关于委托处罚的规定的；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（五）执法人员未取得执法证件的。</w:t>
            </w:r>
          </w:p>
        </w:tc>
        <w:tc>
          <w:tcPr>
            <w:tcW w:w="53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370"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6</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行政处罚</w:t>
            </w:r>
          </w:p>
        </w:tc>
        <w:tc>
          <w:tcPr>
            <w:tcW w:w="504"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对提供虚假信息的节能咨询、设计、评估、检测、审计、认证等服务的机构处罚</w:t>
            </w: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工交能源股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中华人民共和国节约能源法》第七十六条：从事节能咨询、设计、评估、检测、审计、认证等服务的机构提供虚假信息的，由管理节能工作的部门责令改正，没收违法所得，并处五万元以上十万元以下罚款。</w:t>
            </w:r>
          </w:p>
        </w:tc>
        <w:tc>
          <w:tcPr>
            <w:tcW w:w="2361"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1.立案责任（工交能源股）：节能工作管理部门在检查中发现或者接到举报或者交办、上报、移送的此类案件，应予以审查，决定是否立案。</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2.调查责任（工交能源股）：对立案的案件，指定专人负责，与当事人有直接利害关系的应当回避。执法人员不得少于两人，调查时应出示执法证件，允许当事人辩解陈述，执法人员应保守有关秘密。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审查责任（工交能源股）：对案件违法事实、证据、调查取证程序、法律适用、处罚种类和幅度、当事人陈述和申辩理由等方面进行审理审查，提出处理意见，对情节复杂或者重大违法行为给予较重的行政处罚，应当集体讨论决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4.告知责任（工交能源股）：在做出行政处罚决定前，应当填写行政处罚事先告知书，告知当事人违法事实、处罚的理由和依据，以及当事人依法享有的陈述、申辩、要求听证等权利。</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5.决定责任（工交能源股）：根据审查情况决定是否予以行政处罚。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6.送达责任（工交能源股）：制发文书并送达被处罚人、利害关系人（举报人）或有关单位。</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7.执行责任（工交能源股）：监督当事人在决定的期限内，履行生效的行政处罚决定。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8.监督责任（工交能源股）：根据法律法规对节能咨询、设计、评估、检测、审计、认证等服务的机构进行监管</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9.法律法规规章文件规定的其他应履行的责任（有关股室）。</w:t>
            </w:r>
          </w:p>
        </w:tc>
        <w:tc>
          <w:tcPr>
            <w:tcW w:w="484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1.【法律】《中华人民共和国行政处罚法》第二十条：行政处罚由违法行为发生地的县级以上地方人民政府具有行政处罚权的行政机关管辖。法律、行政法规另有规定的除外。</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4.【法律】《中华人民共和国行政处罚法》第三十一条：行政机关在作出行政处罚决定之前，应当告知当事人作出行政处罚决定的事实、理由及依据，并告知当事人依法享有的权利。</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6.【法律】《中华人民共和国行政处罚法》第四十条：行政处罚决定书应当在宣告后当场交付当事人；当事人不在场的，行政机关应当在七日内依照民事诉讼法的有关规定，将行政处罚决定书送达当事人。”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法律】《中华人民共和国行政处罚法》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部门规章】《固定资产投资项目节能审查办法》（2016年国家发展和改革委员会令第44号）第十四条：节能审查机关对建设单位、中介机构等的违法违规信息进行记录，将违法违规信息纳入全国信用信息共享平台和投资项目审批监管平台，在“信用中国”网站向社会公开。</w:t>
            </w:r>
          </w:p>
        </w:tc>
        <w:tc>
          <w:tcPr>
            <w:tcW w:w="2237"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因不履行或不正确履行职责，有下列情形的行政机关及相关工作人员应承担相应的责任：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1.不具备行政处罚主体资格（县纪委监委派驻县发改局纪检监察组）；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2.没有事实和法律依据（县纪委监委派驻县发改局纪检监察组）；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3.擅自改变处罚种类、幅度（县纪委监委派驻县发改局纪检监察组）；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4.违反法定程序（县纪委监委派驻县发改局纪检监察组）；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5.违法处理罚没财物（县纪委监委派驻县发改局纪检监察组）；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6.涉嫌犯罪，不移交司法机关（县纪委监委派驻县发改局纪检监察组）；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7.对违法行为应当处罚不处罚或者乱处罚（县纪委监委派驻县发改局纪检监察组）；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8.除以上追责情形外，其他违反法律法规规章的行为依法追究相应责任（县纪委监委派驻县发改局纪检监察组）。</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【法律】《中华人民共和国行政处罚法》第七十六条　行政机关实施行政处罚，有下列情形之一，由上级行政机关或者有关机关责令改正，对直接负责的主管人员和其他直接责任人员依法给予处分：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（一）没有法定的行政处罚依据的；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（二）擅自改变行政处罚种类、幅度的；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（三）违反法定的行政处罚程序的；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（四）违反本法第二十条关于委托处罚的规定的；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（五）执法人员未取得执法证件的。</w:t>
            </w:r>
          </w:p>
        </w:tc>
        <w:tc>
          <w:tcPr>
            <w:tcW w:w="53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0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7</w:t>
            </w:r>
          </w:p>
        </w:tc>
        <w:tc>
          <w:tcPr>
            <w:tcW w:w="308"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行政检查</w:t>
            </w:r>
          </w:p>
        </w:tc>
        <w:tc>
          <w:tcPr>
            <w:tcW w:w="504"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各级财政资金计划下达、项目实施和投资政策执行情况监督检查</w:t>
            </w:r>
          </w:p>
        </w:tc>
        <w:tc>
          <w:tcPr>
            <w:tcW w:w="546" w:type="dxa"/>
            <w:vMerge w:val="restart"/>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固定资产投资和社会发展股、农村经济发展股、工交能源股</w:t>
            </w:r>
          </w:p>
        </w:tc>
        <w:tc>
          <w:tcPr>
            <w:tcW w:w="3285"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1.【部门规章】《中央预算内直接投资项目管理办法》（2014年国家发展和改革委员会令第7号）第三十三条：发展改革、财政、审计、监察和其它有关部门，依据职能分工，对直接投资项目进行监督检查。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中央预算内投资补助和贴息项目管理办法》（2016年国家发展和改革委令第45号）第二十三条：各级发展改革部门应当会同有关部门，依据职责分工，利用在线平台，对使用投资补助和贴息资金的项目加强监管，防止转移、侵占或者挪用投资补助和贴息资金，保证政府投资资金的合理使用和项目顺利建设实施。</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3.【规范性文件】《中央预算内投资监督管理暂行办法》（发改投资〔2015〕525号）第十二条： 落实中央预算内投资监管分级负责的要求。安排下达中央预算内投资年度计划时，应当明确有关省级发展改革部门、中央部门、计划单列企业集团、中央管理企业的监管主体责任，提出监管重点、监管方式、奖惩措施等内容，督促其切实履行好监管职责。</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规范性文件】《广西壮族自治区人民政府办公厅关于进一步加强中央预算内投资管理的若干意见》（桂政办发（2017）35号）：强化项目稽察和督查。……全区各级督查、发展改革、财政和行业主管部门要单独或联合对中央预算内投资项目开展督查。……</w:t>
            </w:r>
          </w:p>
        </w:tc>
        <w:tc>
          <w:tcPr>
            <w:tcW w:w="2361"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1.告知责任（各相关业务股室）：印发检查通知，制定检查方案，内容包括检查范围、内容、方式、时间及迎接稽察材料准备要求等。</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检查责任（各相关业务股室）：根据检查方案，组成检查组，依据国家、自治区、市级相关标准规范及要求，通过听取汇报、查阅项目材料、实地考察项目现场等方式，对项目建设及资金计划执行情况进行检查，形成检查情况报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处理责任（各相关业务股室）：对检查中发现的问题，及时提出整改要求；情节较轻的，责令其限期整改、暂停项目建设或者暂停投资安排；情节严重的，则根据《中央预算内直接投资项目管理办法》、《中央预算内投资补助和贴息项目管理办法》等相关法律法规，提请或者移交有关机关依法追究有关责任人的行政或者法律责任。被检查单位对检查结果有异议的，可向承检单位提出书面意见，否则视为承认检查结果。承检单位收到被检查单位和个人的书面意见后，应当作出书面答复，并依申请对整改项目进行复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4.监管责任（各相关业务股室）：依法加强对市级各类财政资金投资项目计划编制、实施情况和投资政策执行情况监督检查的监管。</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5.法律法规规章文件规定的其他应履行的责任（有关股室）。</w:t>
            </w:r>
          </w:p>
        </w:tc>
        <w:tc>
          <w:tcPr>
            <w:tcW w:w="4842"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2.【部门规章】《中央预算内直接投资项目管理办法》（2014年国家发展和改革委员会令第7号）第三十三条：发展改革、财政、审计、监察和其它有关部门，依据职能分工，对直接投资项目进行监督检查。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部门规章】《中央预算内投资补助和贴息项目管理办法》（2016年国家发展和改革委令第45号）第二十三条：各级发展改革部门应当会同有关部门，依据职责分工，利用在线平台，对使用投资补助和贴息资金的项目加强监管，防止转移、侵占或者挪用投资补助和贴息资金，保证政府投资资金的合理使用和项目顺利建设实施。</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4.【规范性文件】《中央预算内投资监督管理暂行办法》（发改投资〔2015〕525号）第十二条： 落实中央预算内投资监管分级负责的要求。安排下达中央预算内投资年度计划时，应当明确有关省级发展改革部门、中央部门、计划单列企业集团、中央管理企业的监管主体责任，提出监管重点、监管方式、奖惩措施等内容，督促其切实履行好监管职责。</w:t>
            </w:r>
          </w:p>
        </w:tc>
        <w:tc>
          <w:tcPr>
            <w:tcW w:w="2237"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1.不履行或不正确履行职责，对各级财政资金计划下达、项目实施和投资政策执行情况不符合要求的行为不予制止和有效处理的（县纪委监委派驻县发改局纪检监察组）；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2.在监督检查中玩忽职守、徇私舞弊的（县纪委监委派驻县发改局纪检监察组）；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3.在监督检查中滥用职权，谋取不正当利益和发生腐败行为的（县纪委监委派驻县发改局纪检监察组）；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4.除以上追责情形外，其他违反法律法规规章的行为依法追究相应责任（县纪委监委派驻县发改局纪检监察组）。</w:t>
            </w:r>
          </w:p>
        </w:tc>
        <w:tc>
          <w:tcPr>
            <w:tcW w:w="4440"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规】《行政机关公务员处分条例》（国务院令第495号）第二十条：“有下列行为之一的，给予记过、记大过处分；情节较重的，给予降级或者撤职处分；情节严重的，给予开除处分：（四）其他玩忽职守、贻误工作的行为。”。 第二十五条：“有下列行为之一的，给予记过或者记大过处分；情节较重的，给予降级或者撤职处分；情节严重的，给予开除处分：（五）其他滥用职权，侵害公民、法人或者其他组织合法权益的行为。”</w:t>
            </w:r>
          </w:p>
        </w:tc>
        <w:tc>
          <w:tcPr>
            <w:tcW w:w="532"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vMerge w:val="restart"/>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883" w:hRule="atLeast"/>
          <w:jc w:val="center"/>
        </w:trPr>
        <w:tc>
          <w:tcPr>
            <w:tcW w:w="40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50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54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96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73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2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236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484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223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444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53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8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0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8</w:t>
            </w:r>
          </w:p>
        </w:tc>
        <w:tc>
          <w:tcPr>
            <w:tcW w:w="308"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行政检查</w:t>
            </w:r>
          </w:p>
        </w:tc>
        <w:tc>
          <w:tcPr>
            <w:tcW w:w="504"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节能执法检查</w:t>
            </w:r>
          </w:p>
        </w:tc>
        <w:tc>
          <w:tcPr>
            <w:tcW w:w="546" w:type="dxa"/>
            <w:vMerge w:val="restart"/>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工交能源股</w:t>
            </w:r>
          </w:p>
        </w:tc>
        <w:tc>
          <w:tcPr>
            <w:tcW w:w="3285"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中华人民共和国节约能源法》第十一条：国务院和县级以上地方各级人民政府应当加强对节能工作的领导，部署、协调、监督、检查、推动节能工作。第十二条：县级以上人民政府管理节能工作的部门和有关部门应当在各自的职责范围内，加强对节能法律、法规和节能标准执行情况的监督检查，依法查处违法用能行为。</w:t>
            </w:r>
          </w:p>
        </w:tc>
        <w:tc>
          <w:tcPr>
            <w:tcW w:w="2361"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1.告知责任（工交能源股）：制定检查计划，将检查人员及检查依据、内容、时间、要求等告知被检查单位。</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2.检查责任（工交能源股）：监督检查被监察单位执行节能法律、法规、规章和强制性节能标准的情况，督促被监察单位依法用能、合理用能，依法处理违法违规行为；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3.处理责任（工交能源股）：受理对违法违规用能行为的举报和投诉，办理其他行政执法单位依法移送或者政府有关部门交办的违法违规用能案件；</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4.监管责任（工交能源股）：协助政府管理节能工作的部门和有关部门开展其他节能监督管理工作；</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5.法律法规规章文件规定的其他应履行的责任（有关股室）。</w:t>
            </w:r>
          </w:p>
        </w:tc>
        <w:tc>
          <w:tcPr>
            <w:tcW w:w="4842"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法律】《中华人民共和国节约能源法》第十二条：县级以上人民政府管理节能工作的部门和有关部门应当在各自的职责范围内，加强对节能法律、法规和节能标准执行情况的监督检查，依法查处违法用能行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法律】《中华人民共和国节约能源法》第六十八条：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3.【部门规章】《节能监察办法》（2016年国家发展和改革委员会第33号令）第十三条：节能监察分为书面监察和现场监察。实施书面监察，应当将实施监察的依据、内容、时间和要求书面通知被监察单位。实施现场监察，应当于实施监察的五日前将监察的依据、内容、时间和要求书面通知被监察单位。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第十六条：现场监察应当有两名以上节能监察人员在场。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4.【部门规章】《节能监察办法》（2016年国家发展和改革委员会第33号令）第六条：节能监察机构应当开展下列工作：（三）协助政府管理节能工作的部门和有关部门开展其他节能监督管理工作。</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5.【部门规章】《节能监察办法》（2016年国家发展和改革委员会第33号令）第六条：节能监察机构应当开展下列工作：（四）节能法律、法规、规章和规范性文件规定的其他工作。</w:t>
            </w:r>
          </w:p>
        </w:tc>
        <w:tc>
          <w:tcPr>
            <w:tcW w:w="2237"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1.不履行或不正确履行职责，对节能执法不符合要求的行为不予制止和有效处理的（县纪委监委派驻县发改局纪检监察组）；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2.在监督检查中玩忽职守、徇私舞弊的（县纪委监委派驻县发改局纪检监察组）；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3.在监督检查中滥用职权，谋取不正当利益和发生腐败行为的（县纪委监委派驻县发改局纪检监察组）；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4.除以上追责情形外，其他违反法律法规规章的行为依法追究相应责任（县纪委监委派驻县发改局纪检监察组）。</w:t>
            </w:r>
          </w:p>
        </w:tc>
        <w:tc>
          <w:tcPr>
            <w:tcW w:w="4440"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规】《行政机关公务员处分条例》（国务院令第495号）第二十条：“有下列行为之一的，给予记过、记大过处分；情节较重的，给予降级或者撤职处分；情节严重的，给予开除处分：（四）其他玩忽职守、贻误工作的行为。”。 第二十五条：“有下列行为之一的，给予记过或者记大过处分；情节较重的，给予降级或者撤职处分；情节严重的，给予开除处分：（五）其他滥用职权，侵害公民、法人或者其他组织合法权益的行为。”</w:t>
            </w:r>
          </w:p>
        </w:tc>
        <w:tc>
          <w:tcPr>
            <w:tcW w:w="532"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vMerge w:val="restart"/>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248" w:hRule="atLeast"/>
          <w:jc w:val="center"/>
        </w:trPr>
        <w:tc>
          <w:tcPr>
            <w:tcW w:w="40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50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54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96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73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2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236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484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223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444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53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8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250"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9</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行政确认</w:t>
            </w:r>
          </w:p>
        </w:tc>
        <w:tc>
          <w:tcPr>
            <w:tcW w:w="504"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涉纪检监察、司法、行政工作价格认定、价格认定复核</w:t>
            </w:r>
          </w:p>
        </w:tc>
        <w:tc>
          <w:tcPr>
            <w:tcW w:w="54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涉纪检监察、司法、行政工作价格认定</w:t>
            </w: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价格综合股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地方性法规】《广西壮族自治区赃物估价管理条例》（1994年6月1日广西壮族自治区人大常委会第九次会议通过）第三条：行政执法机关、司法机关办理案件中价格难以确定或者对价格有争议的赃物，以及需要变卖的赃物，应当由物价主管部门进行估价。第十一条：物价主管部门对赃物的估价结论和复核估价结论是行政执法机关、司法机关办理案件的依据。</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2.【规范性文件】《国家发展改革委关于印发〈价格认定规定〉的通知》（发改价格〔2015〕2251号）第二条： 本规定所称价格认定，是指经有关国家机关提出，价格认定机构对纪检监察、司法、行政工作中所涉及的，价格不明或者价格有争议的，实行市场调节价的有形产品、无形资产和各类有偿服务进行价格确认的行为。　第九条： 地市级人民政府价格主管部门的价格认定机构办理本级纪律检查委员会、中级人民法院或者直辖市辖区人民法院，本级或者直辖市辖区人民检察院，本级人民政府各部门以及国务院垂直管理部门所属机构提出的价格认定事项和本行政区域内的价格认定复核事项。第十条： 县级人民政府价格主管部门的价格认定机构办理本级纪律检查委员会、基层人民法院、人民检察院、人民政府各部门以及国务院垂直管理部门所属机构提出的价格认定事项。</w:t>
            </w:r>
          </w:p>
        </w:tc>
        <w:tc>
          <w:tcPr>
            <w:tcW w:w="2361"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1.受理责任（价格综合股）：提出机关出具价格认定协助书及补充材料，依法受理或不予受理（不予受理应当告知理由）。</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2.认定责任（价格综合股）：承办人依法开展查（勘）验、听取意见、市场调查、审查测算、作出结论。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3.决定责任（价格综合股）：审议及审核出具价格认定结论书。</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4.监管责任（价格综合股）：按照价格认定工作制度、规则、程序和方法进行价格认定监管。</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5.法律法规规章文件规定的其他应履行的责任（有关股室）。</w:t>
            </w:r>
          </w:p>
        </w:tc>
        <w:tc>
          <w:tcPr>
            <w:tcW w:w="484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1.【地方性法规】《广西壮族自治区赃物估价管理条例》（1994年6月1日广西壮族自治区人大常委会第九次会议通过）第六条：行政执法机关、司法机关委托物价主管部门对赃物进行估价时，应当出具估价委托书。估价委托书应当载明赃物的品名、规格、数量、来源、违法犯罪获取赃物的时间等有关情况和资料。</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1－2.【规范性文件】《国家发展改革委关于印发〈价格认定规定〉的通知》（发改价格〔2015〕2251号）第十二条：价格认定机构办理价格认定事项，应当具有价格认定提出机关出具的价格认定协助书。</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3.【规范性文件】《国家发展和改革委员会价格认证中心关于印发〈价格认定行为规范〉的通知》（发改价证办〔2016〕84号）第十一条：价格认定机构应当根据提出机关提供的价格认定协助书和相关材料，决定受理或者不予受理价格认定，不予受理的，价格认定机构应当出具价格认定不予受理通知书。</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十三条：有下列情形之一的，价格认定机构应当书面告知提出机关补充相关材料：（一）价格认定协助书内容不符合要求的；（二）相关材料不齐全的；（三）应当提供有效的真伪、质量、技术等检测、鉴定报告而未提供的；（四）提出价格认定时，价格认定标的已灭失或者其状态与价格认定基准日相比发生较大变化，提出机关未确定其在价格认定基准日状态的。提出机关补足相关材料后，符合价格认定受理条件的，价格认定机构应当及时受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规范性文件】《国家发展改革委关于印发〈价格认定规定〉的通知》（发改价格〔2015〕2251号）第十四条：价格认定人员应当根据价格认定对象和目的，按照价格认定工作制度、规则、程序、方法进行价格认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第十五条： 价格认定人员应当全面、客观、公正地收集资料作为价格认定依据，并对其真实性、合法性和关联性进行审查。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3.【规范性文件】《国家发展改革委关于印发〈价格认定规定〉的通知》（发改价格〔2015〕2251号）第十六条：价格认定机构应当对价格认定结论进行内部审核，对重大、疑难的价格认定事项应当进行集体审议。</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4－1.【地方性法规】《广西壮族自治区赃物估价管理条例》（ 1994年6月1日广西壮族自治区人大常委会第九次会议通过）第十六条：物价主管部门工作人员，应当客观公正地估定赃物价格。对于徇私枉法，弄虚作假的，视其情节轻重，由主管部门给予行政处分；构成犯罪的，由司法机关依法追究刑事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第十七条：行政执法机关、司法机关工作人员擅自变卖赃物的，按照价格管理法规予以处罚，并由其主管部门或者监察部门对直接责任人给予行政处分；构成犯罪的，由司法机关追究刑事责任。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第十八条：有关单位和个人在罚没、估价、拍卖赃物中，应当做好赃物的保管、交接和监督工作，如发生估价物品遗失、被盗的，负有责任的单位和个人应当赔偿损失。</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2.【规范性文件】《国家发展改革委关于印发〈价格认定规定〉的通知》（发改价格〔2015〕2251号）第十七条：价格认定机构应当在接受价格认定提出机关提出价格认定事项之日起7个工作日内作出价格认定结论；另有约定的，在约定期限内作出。</w:t>
            </w:r>
          </w:p>
        </w:tc>
        <w:tc>
          <w:tcPr>
            <w:tcW w:w="2237"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1.对符合法定条件的申请不予受理的（县纪委监委派驻县发改局纪检监察组）；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2.在受理、审查、决定行政许可过程中，未作出行政决定或违法做做行政决定的（县纪委监委派驻县发改局纪检监察组）；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3.在评审过程中徇私舞弊、滥用职权或者玩忽职守的（县纪委监委派驻县发改局纪检监察组）；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4.除以上追责情形外，其他违反法律法规规章的行为依法追究相应责任（县纪委监委派驻县发改局纪检监察组）。</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国家发展改革委关于印发《价格认定规定》的通知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发改价格〔2015〕2251号</w:t>
            </w:r>
          </w:p>
        </w:tc>
        <w:tc>
          <w:tcPr>
            <w:tcW w:w="53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181"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10</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其他行政权力</w:t>
            </w:r>
          </w:p>
        </w:tc>
        <w:tc>
          <w:tcPr>
            <w:tcW w:w="504"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制定或调整权限内实行政府指导价、政府定价的商品和服务价格</w:t>
            </w: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价格综合股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法律】《中华人民共和国价格法》第二十条：省、自治区、直辖市人民政府价格主管部门和其他有关部门，应当按照地方定价目录规定的定价权限和具体适用范围制定在本地区执行的政府指导价、政府定价。市、县人民政府可以根据省、自治区、直辖市人民政府的授权，按照地方定价目录规定的权限和具体适用范围制定在本地区执行的政府指导价、政府定价。</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政府制定价格行为规则》（2017年国家发展改革委令第7号）第三条：国家实行并完善主要由市场决定价格的机制。政府制定价格的范围主要为重要公用事业、公益性服务和自然垄断经营的商品和服务等，具体以中央定价目录和地方定价目录为准。经省、自治区、直辖市人民政府授权的市、县人民政府制定价格，具体工作由其所属价格主管部门或者有关部门负责。定价机关应当按照法定的权限制定价格，不得越权定价。</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3.【规范性文件】桂发改收费〔2022〕154 号</w:t>
            </w:r>
          </w:p>
        </w:tc>
        <w:tc>
          <w:tcPr>
            <w:tcW w:w="2361"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1.受理责任（价格综合股）：公布依法应当提交的材料；当场一次性告知补正材料；依法受理或不予受理（不予受理应当告知理由）；</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2.审理责任（价格综合股）：承办人深入调研、充分论证，履行规定程序后提出意见；</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3.决定责任（价格综合股）：依据有关规定作出决定（不予制定或调整价格的应当告知理由），按时办结；</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4.送达责任（价格综合股）：通知申请人到政务服务大厅领取审批结果或按申请人要求邮寄送达、信息公开；并按规定向社会公开，接受社会监督。</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5.法律法规规章文件规定的其他应履行的责任（有关股室）。</w:t>
            </w:r>
          </w:p>
        </w:tc>
        <w:tc>
          <w:tcPr>
            <w:tcW w:w="484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1.【法律】《中华人民共和国价格法》第二十四条：政府指导价、政府定价制定后，由制定价格的部门向消费者、经营者公布。</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法律】《中华人民共和国价格法》第二十五条：政府指导价、政府定价的具体适用范围、价格水平，应当根据经济运行情况，按照规定的定价权限和程序适时调整。消费者、经营者可以对政府指导价、政府定价提出调整建议。</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部门规章】《政府制定价格行为规则》（2017年国家发展改革委令第7号）第九条：定价机关制定价格，应当履行价格调查、成本监审或者成本调查、听取社会意见、合法性审查、集体审议、作出制定价格的决定等程序。</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部门规章】《政府制定价格行为规则》（2017年国家发展改革委令第7号）第二十五条：经营者、消费者、政府相关部门及有关方面（以下简称建议人）可以向定价机关提出制定价格的建议。建议内容主要包括建议制定价格的具体商品或者服务名称、建议价格、依据和理由等。</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5.【部门规章】《政府制定价格行为规则》（2017年国家发展改革委令第7号）第二十六条：制定价格有建议人的，定价机关应当以适当的方式将建议办理情况告知建议人。</w:t>
            </w:r>
          </w:p>
        </w:tc>
        <w:tc>
          <w:tcPr>
            <w:tcW w:w="2237"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1.符合法定条件的未受理、未办理的，不符合法定条件受理办理的（县纪委监委派驻县发改局纪检监察组）。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2.不履行或不正确履行权力，造成不良后果的（县纪委监委派驻县发改局纪检监察组）。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3.在审查中失职、渎职的（县纪委监委派驻县发改局纪检监察组）。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4.有接受宴请、钱物等腐败行为的（县纪委监委派驻县发改局纪检监察组）。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5.除以上追责情形外，其他违反法律法规规章的行为依法追究相应责任（有关股室）。</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行政法规】《行政机关公务员处分条例》（2007年国务院令第495号）第二十二条：弄虚作假，误导、欺骗领导和公众，造成不良后果的，给予警告、记过或者记大过处分；情节较重的，给予降级或者撤职处分；情节严重的，给予开除处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行政法规】《行政机关公务员处分条例》（2007年国务院令第495号）第二十条：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行政法规】《行政机关公务员处分条例》（2007年国务院令第495号）第二十条：有下列行为之一的，给予记过、记大过处分；情节较重的，给予降级或者撤职处分；情节严重的，给予开除处分：（四）其他玩忽职守、贻误工作的行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行政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3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050"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11</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其他行政权力</w:t>
            </w:r>
          </w:p>
        </w:tc>
        <w:tc>
          <w:tcPr>
            <w:tcW w:w="504"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对企业实施强制性清洁生产审核的情况进行监督</w:t>
            </w: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工交能源股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法律】《中华人民共和国清洁生产促进法》第三条：在中华人民共和国领域内，从事生产和服务活动的单位以及从事相关管理活动的部门依照本法规定，组织、实施清洁生产。第五条：.....县级以上地方人民政府确定的清洁生产综合协调部门负责组织、协调本行政区域内的清洁生产促进工作。</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2.【部门规章】《清洁生产审核暂行办法》（2016年国家</w:t>
            </w:r>
            <w:bookmarkStart w:id="0" w:name="_GoBack"/>
            <w:bookmarkEnd w:id="0"/>
            <w:r>
              <w:rPr>
                <w:rFonts w:hint="eastAsia" w:ascii="方正书宋_GBK" w:hAnsi="方正书宋_GBK" w:eastAsia="方正书宋_GBK" w:cs="方正书宋_GBK"/>
                <w:i w:val="0"/>
                <w:iCs w:val="0"/>
                <w:color w:val="000000"/>
                <w:kern w:val="0"/>
                <w:sz w:val="20"/>
                <w:szCs w:val="20"/>
                <w:u w:val="none"/>
                <w:lang w:val="en-US" w:eastAsia="zh-CN" w:bidi="ar"/>
              </w:rPr>
              <w:t>发展和改革委员会、环境保护部令第38号）第十八条：县级以上清洁生产综合协调部门应当会同环境保护部门、节能主管部门，对企业实施强制性清洁生产审核的情况进行监督，督促企业按进度开展清洁生产审核。</w:t>
            </w:r>
          </w:p>
        </w:tc>
        <w:tc>
          <w:tcPr>
            <w:tcW w:w="2361"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1.督促责任（工交能源股）：督促企业开展清洁生产；</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2.监管责任（工交能源股）：对企业实施强制性清洁生产审核的情况进行监督。</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3.法律法规规章文件规定的其他应履行的责任（有关股室）</w:t>
            </w:r>
          </w:p>
        </w:tc>
        <w:tc>
          <w:tcPr>
            <w:tcW w:w="484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法律】《中华人民共和国清洁生产促进法》第五条：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2—1.【法律】《中华人民共和国清洁生产促进法》第二十七条： ......县级以上地方人民政府有关部门应当对企业实施强制性清洁生产审核的情况进行监督，必要时可以组织对企业实施清洁生产的效果进行评估验收........</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2.【部门规章】《清洁生产审核暂行办法》（2016年国家发展和改革委员会、环境保护部令第38号）第十八条：县级以上清洁生产综合协调部门应当会同环境保护部门、节能主管部门，对企业实施强制性清洁生产审核的情况进行监督，督促企业按进度开展清洁生产审核。</w:t>
            </w:r>
          </w:p>
        </w:tc>
        <w:tc>
          <w:tcPr>
            <w:tcW w:w="2237"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1.符合法定条件的未受理、未办理的，不符合法定条件受理办理的（县纪委监委派驻县发改局纪检监察组）。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2.不履行或不正确履行权力，造成不良后果的（县纪委监委派驻县发改局纪检监察组）。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3.在审查中失职、渎职的（县纪委监委派驻县发改局纪检监察组）。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4.有接受宴请、钱物等腐败行为的（县纪委监委派驻县发改局纪检监察组）。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5.除以上追责情形外，其他违反法律法规规章的行为依法追究相应责任（有关股室）。</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【法律】《中华人民共和国清洁生产促进法 》第三十五条 清洁生产综合协调部门或者其他有关部门未依照本法规定履行职责的，对直接负责的主管人员和其他直接责任人员依法给予处分。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违反《中华人民共和国清洁生产促进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构成犯罪的，依法追究刑事责任。</w:t>
            </w:r>
          </w:p>
        </w:tc>
        <w:tc>
          <w:tcPr>
            <w:tcW w:w="53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7" w:hRule="atLeast"/>
          <w:jc w:val="center"/>
        </w:trPr>
        <w:tc>
          <w:tcPr>
            <w:tcW w:w="40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default"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12</w:t>
            </w:r>
          </w:p>
        </w:tc>
        <w:tc>
          <w:tcPr>
            <w:tcW w:w="308"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行政处罚</w:t>
            </w:r>
          </w:p>
        </w:tc>
        <w:tc>
          <w:tcPr>
            <w:tcW w:w="504"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对违反《粮食流通管理条例》行为的行政处罚</w:t>
            </w: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r>
              <w:rPr>
                <w:rFonts w:hint="eastAsia" w:ascii="方正书宋_GBK" w:hAnsi="宋体" w:eastAsia="方正书宋_GBK" w:cs="宋体"/>
                <w:kern w:val="0"/>
                <w:sz w:val="20"/>
                <w:szCs w:val="20"/>
                <w:lang w:val="en-US" w:eastAsia="zh-CN"/>
              </w:rPr>
              <w:t>1.</w:t>
            </w:r>
            <w:r>
              <w:rPr>
                <w:rFonts w:hint="eastAsia" w:ascii="方正书宋_GBK" w:hAnsi="宋体" w:eastAsia="方正书宋_GBK" w:cs="宋体"/>
                <w:kern w:val="0"/>
                <w:sz w:val="20"/>
                <w:szCs w:val="20"/>
              </w:rPr>
              <w:t>对粮食收购企业未按照规定备案或者提供虚假备案信息的处罚</w:t>
            </w: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《粮食流通管理条例》（2021年1月4日国务院第121次常务会议修订通过，自2021年4月15日起施行）第四十三条　粮食收购企业未按照规定备案或者提供虚假备案信息的，由粮食和储备行政管理部门责令改正，给予警告；拒不改正的，处2万元以上5万元以下罚款。</w:t>
            </w:r>
          </w:p>
        </w:tc>
        <w:tc>
          <w:tcPr>
            <w:tcW w:w="2361"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立案责任（粮食和物资储备股）：通过日常监督检查或举报投诉，发现“粮食经营者及饲料、工业用粮企业不按规定建立经营台账、粮食质量档案或不按规定报送有关情况、政策性粮食经营者违反国家法规和政府规章”的行为，进行审查，决定是否立案处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调查取证责任（粮食和物资储备股）：（1）向被检查人送达监督检查通知书；（2）实施监督检查时，检查人员不得少于两人，并向被检查人出示粮食监督检查证件；（3）制作《调查笔录》，经核对无误后，监督检查人员和被检查对象在笔录上签字或盖章；（4）制作监督检查报告书，报告书应当载明：被监督检查对象名称、检查日期，监督检查的原因、项目，发现的主要问题，处理意见。（5）监督检查报告作出后，在十五日内将检查结果、处理意见或建议通知被检查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3.告知责任（粮食和物资储备股）：作出行政处罚决定前，制作《行政处罚事先告知书》送达当事人，告知作出行政处罚决定的事实、理由及依据，并告知当事人享有陈述权、申辩权。</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4.决定责任（粮食和物资储备股）：作出处罚决定，制作行政处罚决定书。</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送达责任（粮食和物资储备股）：（1）对检查对象作出处罚的，将《行政处罚决定书》送达被检查对象；告当事人享有行政复议权、行政诉讼权。（2）对投诉事项作出处罚的，以书面形式通知投诉人、被投诉人及其他与投诉处理结果有利害关系的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执行责任（粮食和物资储备股）：当事人应自觉履行生效的行政处罚决定，逾期不履行的，粮食行政管理部门可以采取下列措施（粮食和物资储备股）：（1）每日按罚款数额的百分之三加处罚款；（2）申请人民法院强制执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监督责任（粮食和物资储备股）：对“从事粮食收购、销售、储存、加工的粮食经营者及饲料、工业用粮企业不按规定建立经营台账、粮食质量档案或不按规定报送有关情况、政策性粮食经营者违反国家法规和政府规章情况”的处罚决定执行情况进行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8.法律法规规章文件规定的其他应履行的责任（有关股室）。</w:t>
            </w:r>
          </w:p>
        </w:tc>
        <w:tc>
          <w:tcPr>
            <w:tcW w:w="4842"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1-1.【法律】《中华人民共和国行政处罚法》（1996年主席令第六十三号公布，2009年主席令第十八号修改）第三十六条“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-2.【规范性文件】《粮食监督检查工作规程（试行）〉》（国粮检〔2005〕31号）第七条粮食行政管理部门对下列情况应当及时进行监督检查：（一）按有关规定要求开展对辖区粮食流通情况以定期监督检查、专项监督检查、抽查和专案等方式监督检查的；（二）公民、法人及其组织举报的；（三）上级粮食行政管理部门交办的，下级粮食行政管理部门报请的，其他上级机关交办的，有关部门移送的；（四）其他方式途径披露并属于本部门管辖的。第八条 粮食行政管理部门受理违反《粮食流通管理条例》的举报事项，须指定专人负责。对公民、法人或者其他组织举报的事项符合下列条件的，应当在十日内作出受理决定，并及时组织进行调查：（一）有明确违法、违规行为人和危害后果的；（二）有具体事实依据的；（三）属于粮食行政管理部门监督检查范围并属本部门管辖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-1.【法律】《中华人民共和国行政处罚法》（1996年主席令第六十三号公布，2009年主席令第十八号修改）第三十七条：“行政机关在调查或者进行检查时，执法人员不得少于两人，并应当向当事人或者有关人员出示证件。执法人员与当事人有直接利害关系的，应当回避。”</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2-2.【规范性文件】《粮食监督检查工作规程（试行）〉》（国粮检〔2005〕31号）第十三条 粮食行政管理部门在进行监督检查时，监督检查人员不得少于两人，并应当向当事人或者有关人员出示粮食监督检查证件。监督检查人员应告知当事人或者有关人员监督检查的依据和事项，以及拒绝、阻挠、干涉监督检查应负的法律责任。涉及国家秘密、商业秘密和个人隐私的，监督检查人员应当保守秘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3-1.【法律】《中华人民共和国行政处罚法》（1996年中华人民共和国主席令第63号公布，1996年10月1日起施行）第三十一条 行政机关在作出行政处罚决定之前，应当告知当事人作出行政处罚决定的事实、理由及依据，并告知当事人依法享有的权利。</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3-2.【规范性文件】《粮食监督检查工作规程（试行）〉》（国粮检〔2005〕31号）第十九条 监督检查终结后，粮食行政管理部门应根据监督检查的事实、性质、情节，制作监督检查报告书。监督检查报告书应当载明以下内容：（一）被监督检查对象名称、检查日期；（二）监督检查的原因、项目；（三）发现的主要问题；（四）处理意见。第二十一条 监督检查报告作出后，应在十五是内将检查结果、处理意见或建议通知当事人。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4.【法律】《中华人民共和国行政处罚法》(1996年主席令第六十三号公布，2009年主席令第十八号修改)第三十八条 调查终结，行政机关负责人应当对调查结果进行审查，根据不同情况，分别作出如下决定：(一)确有应受行政处罚的违法行为的，根据情节轻重及具体情况，作出行政处罚决定；(二)违法行为轻微的依法可以不予行政处罚的，不予行政处罚；(三)违法事实不能成立的，不得给予行政处罚；(四)违法行为已构成犯罪的，移送司法机关。对情节复杂或者重大违法行为给予的行政处罚，行政机关的负责人应当集体讨论决定。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5-1.【法律】《中华人民共和国行政处罚法》（1996年中华人民共和国主席令第63号公布，1996年10月1日起施行）第四十条 行政处罚决定书应当在宣告后当场交付当事人；当事人不在场的，行政机关应当在七日内依照民事诉讼法的有关规定，将行政处罚决定书送达当事人。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5-2.【规范性文件】《粮食监督检查行政处罚程序（（试行）〉》（国粮检〔2005〕31号）第二十五条 行政处罚决定书应当在宣告后当场交付当事人，当事人不在场的，粮食行政管理部门应当在七日内依照民事诉讼法法的有关规定，将行政处罚决定书送达当事人。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6-1【法律】《中华人民共和国行政处罚法》（1996年中华人民共和国主席令第63号公布，1996年10月1日起施行）第四十四条 行政处罚决定依法作出后，当事人应当在行政处罚决定的期限内，予以履行。第五十一条 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6-2.【规范性文件】《粮食监督检查行政处罚程序（（试行）〉》（国粮检〔2005〕31号）第三十三条 粮食行政管理部门行政处罚决定依法作出后，当事人应当在行政处罚决定的期限内予以履行。第三十七条 当事人在规定期间内不申请行政复议或者不提起行政诉讼又不履行行政处罚决定的，作出行政处罚的粮食行政管理部门可以采取下列措施：（一）到期不缴纳罚款的，每日按罚款数额的百分之三加罚款；（二）申请人民法院强制执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7-1.【行政法规】《粮食流通管理条例》(2004年5月26日国务院令第407号公布实施，2016年2月6日国务院令第666号《国务院关于修改部分行政法规的决定》第二次修正。)第三十四条 粮食行政管理部门依照本条例对粮食经营者从事粮食收购、储存、运输活动和政策性用粮的购销活动，以及执行国家粮食流通统计制度的情况进行监督检查。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7-2.【规范性文件】《粮食监督检查工作规程（试行）〉》（国粮检〔2005〕31号）第二十五条 粮食行政管理部门应追踪督办监督检查处理意见、建议、处罚决定的执行情况。</w:t>
            </w:r>
          </w:p>
        </w:tc>
        <w:tc>
          <w:tcPr>
            <w:tcW w:w="2237"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因不履行或不正确履行职责，有下列情形的行政机关及相关工作人员应承担相应的责任：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1.不具备行政处罚主体资格（县纪委监委派驻县发改局纪检监察组）；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2.没有事实和法律依据（县纪委监委派驻县发改局纪检监察组）；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3.擅自改变处罚种类、幅度（县纪委监委派驻县发改局纪检监察组）；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4.违反法定程序（县纪委监委派驻县发改局纪检监察组）；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5.违法处理罚没财物（县纪委监委派驻县发改局纪检监察组）；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6.涉嫌犯罪，不移交司法机关（县纪委监委派驻县发改局纪检监察组）；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7.对违法行为应当处罚不处罚或者乱处罚（县纪委监委派驻县发改局纪检监察组）；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8.除以上追责情形外，其他违反法律法规规章的行为依法追究相应责任（县纪委监委派驻县发改局纪检监察组）。</w:t>
            </w:r>
          </w:p>
        </w:tc>
        <w:tc>
          <w:tcPr>
            <w:tcW w:w="4440"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1.【规范性文件】《粮食监督检查工作规程（试行）〉》（国粮检〔2005〕31号）第二十八条“有下列行为之一的，由粮食行政管理部门责令直接负责的主管人员和其他直接责任人员改正：（二）没有正当理由擅自对被检查对象进行检查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 .【法律】《中华人民共和国行政处罚法》第七十六条　行政机关实施行政处罚，有下列情形之一，由上级行政机关或者有关机关责令改正，对直接负责的主管人员和其他直接责任人员依法给予处分：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（一）没有法定的行政处罚依据的；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（二）擅自改变行政处罚种类、幅度的；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（三）违反法定的行政处罚程序的；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（四）违反本法第二十条关于委托处罚的规定的；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（五）执法人员未取得执法证件的。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规范性文件】《粮食监督检查行政处罚程序（（试行）〉》（国粮检〔2005〕31号）第二十九条“粮食行政管理部门的监督检查人员有下列行为之一的，依法给予警告直至开除的行政处分，构成犯罪的，依法追究刑事责任：（五）有其他违法、违规行为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-1.【行政法规】《粮食流通管理条例》(2004年5月26日国务院令第407号公布实施，2016年2月第二次修订)第五十条“监督检查人员违反本条例规定，非法干预粮食经营者正常经营活动的，依法给予行政处分;构成犯罪的，依法追究刑事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-2.【规范性文件】《粮食监督检查工作规程（试行）〉》（国粮检〔2005〕31号）第三十条“粮食行政管理部门的监督检查人员违反《粮食流通管理条例》和《粮食流通监督检查暂行办法》规定，非法干预粮食经营者正常经营活动的，依法给予行政处分，构成犯罪的，依法追究刑事责任。”</w:t>
            </w:r>
          </w:p>
        </w:tc>
        <w:tc>
          <w:tcPr>
            <w:tcW w:w="532"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lang w:val="en-US" w:eastAsia="zh-CN" w:bidi="ar-SA"/>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01" w:hRule="atLeast"/>
          <w:jc w:val="center"/>
        </w:trPr>
        <w:tc>
          <w:tcPr>
            <w:tcW w:w="406"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08"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04"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default"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2.对违反《粮食流通管理条例》行为的行政处罚</w:t>
            </w: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《粮食流通管理条例》（2021年1月4日国务院第121次常务会议修订通过，自2021年4月15日起施行）第四十五条　有下列情形之一的，由粮食和储备行政管理部门责令改正，给予警告，可以并处20万元以下罚款；情节严重的，并处20万元以上50万元以下罚款：</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（一）粮食收购者未执行国家粮食质量标准；</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（二）粮食收购者未及时向售粮者支付售粮款；</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（三）粮食收购者违反本条例规定代扣、代缴税、费和其他款项；</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（四）粮食收购者收购粮食，未按照国家有关规定进行质量安全检验，或者对不符合食品安全标准的粮食未作为非食用用途单独储存；</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（五）从事粮食收购、销售、储存、加工的粮食经营者以及饲料、工业用粮企业未建立粮食经营台账，或者未按照规定报送粮食基本数据和有关情况；</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（六）粮食储存企业未按照规定进行粮食销售出库质量安全检验。</w:t>
            </w:r>
          </w:p>
        </w:tc>
        <w:tc>
          <w:tcPr>
            <w:tcW w:w="2361"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842"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237"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440"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32"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51" w:hRule="atLeast"/>
          <w:jc w:val="center"/>
        </w:trPr>
        <w:tc>
          <w:tcPr>
            <w:tcW w:w="406"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08"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04"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r>
              <w:rPr>
                <w:rFonts w:hint="eastAsia" w:ascii="方正书宋_GBK" w:hAnsi="宋体" w:eastAsia="方正书宋_GBK" w:cs="宋体"/>
                <w:kern w:val="0"/>
                <w:sz w:val="20"/>
                <w:szCs w:val="20"/>
                <w:lang w:val="en-US" w:eastAsia="zh-CN"/>
              </w:rPr>
              <w:t>3.</w:t>
            </w:r>
            <w:r>
              <w:rPr>
                <w:rFonts w:hint="eastAsia" w:ascii="方正书宋_GBK" w:hAnsi="宋体" w:eastAsia="方正书宋_GBK" w:cs="宋体"/>
                <w:kern w:val="0"/>
                <w:sz w:val="20"/>
                <w:szCs w:val="20"/>
              </w:rPr>
              <w:t>对粮食收购者、粮食储存企业未按照本条例规定使用仓储设施、运输工具的处罚</w:t>
            </w: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《粮食流通管理条例》（2021年1月4日国务院第121次常务会议修订通过，自2021年4月15日起施行）第四十六条　粮食收购者、粮食储存企业未按照本条例规定使用仓储设施、运输工具的，由粮食和储备行政管理等部门按照职责责令改正，给予警告；被污染的粮食不得非法销售、加工。</w:t>
            </w:r>
          </w:p>
        </w:tc>
        <w:tc>
          <w:tcPr>
            <w:tcW w:w="2361"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842"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237"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440"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32"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76" w:hRule="atLeast"/>
          <w:jc w:val="center"/>
        </w:trPr>
        <w:tc>
          <w:tcPr>
            <w:tcW w:w="406"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08"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04"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r>
              <w:rPr>
                <w:rFonts w:hint="eastAsia" w:ascii="方正书宋_GBK" w:hAnsi="宋体" w:eastAsia="方正书宋_GBK" w:cs="宋体"/>
                <w:kern w:val="0"/>
                <w:sz w:val="20"/>
                <w:szCs w:val="20"/>
                <w:lang w:val="en-US" w:eastAsia="zh-CN"/>
              </w:rPr>
              <w:t>4.</w:t>
            </w:r>
            <w:r>
              <w:rPr>
                <w:rFonts w:hint="eastAsia" w:ascii="方正书宋_GBK" w:hAnsi="宋体" w:eastAsia="方正书宋_GBK" w:cs="宋体"/>
                <w:kern w:val="0"/>
                <w:sz w:val="20"/>
                <w:szCs w:val="20"/>
              </w:rPr>
              <w:t>对粮食收购者、粮食储存企业将质量不合格粮食作为食用用途销售出库的处罚</w:t>
            </w: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《粮食流通管理条例》（2021年1月4日国务院第121次常务会议修订通过，自2021年4月15日起施行）第四十七条　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（一）真菌毒素、农药残留、重金属等污染物质以及其他危害人体健康的物质含量超过食品安全标准限量的；</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（二）霉变或者色泽、气味异常的；</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（三）储存期间使用储粮药剂未满安全间隔期的；</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（四）被包装材料、容器、运输工具等污染的；</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（五）其他法律、法规或者国家有关规定明确不得作为食用用途销售的。</w:t>
            </w:r>
          </w:p>
        </w:tc>
        <w:tc>
          <w:tcPr>
            <w:tcW w:w="2361"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842"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237"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440"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32"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111" w:hRule="atLeast"/>
          <w:jc w:val="center"/>
        </w:trPr>
        <w:tc>
          <w:tcPr>
            <w:tcW w:w="406"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08"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04"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default"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5.对从事政策性粮食经营活动企业违反国家政策性粮食经营管理规定的处罚</w:t>
            </w: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《粮食流通管理条例》（2021年1月4日国务院第121次常务会议修订通过，自2021年4月15日起施行）第四十九条　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（一）虚报粮食收储数量；</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（二）通过以陈顶新、以次充好、低收高转、虚假购销、虚假轮换、违规倒卖等方式，套取粮食价差和财政补贴，骗取信贷资金；</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（三）挤占、挪用、克扣财政补贴、信贷资金；</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（四）以政策性粮食为债务作担保或者清偿债务；</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（五）利用政策性粮食进行除政府委托的政策性任务以外的其他商业经营；</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（六）在政策性粮食出库时掺杂使假、以次充好、调换标的物，拒不执行出库指令或者阻挠出库；</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（七）购买国家限定用途的政策性粮食，违规倒卖或者不按照规定用途处置；</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（八）擅自动用政策性粮食；</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（九）其他违反国家政策性粮食经营管理规定的行为。</w:t>
            </w:r>
          </w:p>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粮食应急预案启动后，不按照国家要求承担应急任务，不服从国家的统一安排和调度的，依照前款规定予以处罚。</w:t>
            </w:r>
          </w:p>
        </w:tc>
        <w:tc>
          <w:tcPr>
            <w:tcW w:w="2361"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842"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237"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440"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32"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57" w:hRule="atLeast"/>
          <w:jc w:val="center"/>
        </w:trPr>
        <w:tc>
          <w:tcPr>
            <w:tcW w:w="406"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08"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04"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default"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6.对从事粮食经营活动的企业有违反《粮食流通管理条例》规定的违法情形且情节严重的处罚</w:t>
            </w: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r>
              <w:rPr>
                <w:rFonts w:hint="eastAsia" w:ascii="方正书宋_GBK" w:hAnsi="方正书宋_GBK" w:eastAsia="方正书宋_GBK" w:cs="方正书宋_GBK"/>
                <w:i w:val="0"/>
                <w:iCs w:val="0"/>
                <w:color w:val="000000"/>
                <w:kern w:val="0"/>
                <w:sz w:val="20"/>
                <w:szCs w:val="20"/>
                <w:u w:val="none"/>
                <w:lang w:val="en-US" w:eastAsia="zh-CN" w:bidi="ar"/>
              </w:rPr>
              <w:t>《粮食流通管理条例》（2021年1月4日国务院第121次常务会议修订通过，自2021年4月15日起施行）第五十一条　从事粮食经营活动的企业有违反本条例规定的违法情形且情节严重的，对其法定代表人、主要负责人、直接负责的主管人员和其他直接责任人员处以其上一年度从本企业取得收入的1倍以上10倍以下罚款。</w:t>
            </w:r>
          </w:p>
        </w:tc>
        <w:tc>
          <w:tcPr>
            <w:tcW w:w="2361"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842"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2237"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4440"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532" w:type="dxa"/>
            <w:vMerge w:val="continue"/>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方正书宋_GBK" w:eastAsia="方正书宋_GBK" w:cs="方正书宋_GBK"/>
                <w:i w:val="0"/>
                <w:iCs w:val="0"/>
                <w:color w:val="000000"/>
                <w:kern w:val="0"/>
                <w:sz w:val="20"/>
                <w:szCs w:val="20"/>
                <w:u w:val="none"/>
                <w:lang w:val="en-US" w:eastAsia="zh-CN" w:bidi="ar"/>
              </w:rPr>
            </w:pP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167"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13</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行政检查</w:t>
            </w:r>
          </w:p>
        </w:tc>
        <w:tc>
          <w:tcPr>
            <w:tcW w:w="504"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对粮食收购资格核查</w:t>
            </w:r>
          </w:p>
        </w:tc>
        <w:tc>
          <w:tcPr>
            <w:tcW w:w="546" w:type="dxa"/>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行政法规】《粮食流通管理条例》（2021年2月15日国务院令第740号第三次修订第三十八条：粮食和储备行政管理部门依照本条例对粮食经营者从事粮食收购、储存、运输活动和政策性粮食的购销活动，以及执行国家粮食流通统计制度的情况进行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粮食库存检查暂行办法》（国粮检〔2006〕139号）第二条第三款：国家有关部门和单位按照各自职责组织的与粮食经营企业粮食库存有关的专项检查，地方粮食行政管理等部门和单位按照省长负责制的要求在本辖区内组织的对地方粮食库存的检查，参照本办法执行。</w:t>
            </w:r>
          </w:p>
        </w:tc>
        <w:tc>
          <w:tcPr>
            <w:tcW w:w="2361"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1.告知责任（粮食和物资储备股）：制定检查方案，确定目标、对象和方式，公告或通知被检查对象。</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检查责任（粮食和物资储备股）：检查时，执行人员不少于2人，应当持《检查通知书》或相关证件进行检查。对粮食经营者从事粮食收购、储存、运输活动和政策性用粮的购销活动，以及执行国家粮食流通统计制度的情况进行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3.处理责任（粮食和物资储备股）：行政机关对县级储备粮储存检查情况制作检查报告，提出处理意见。</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4.事后监管责任（粮食和物资储备股）：加强对县级储备粮储存管理情况的监督检查。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5.法律法规规章文件规定的其他应履行的责任（有关股室）</w:t>
            </w:r>
          </w:p>
        </w:tc>
        <w:tc>
          <w:tcPr>
            <w:tcW w:w="484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 xml:space="preserve">1.【法律】《国家粮食流通统计制度》第十条：各级粮食行政管理部门统计负责人、统计机构和统计人员的主要职责是：（一） 组织、协调本部门各职能机构的粮食统计工作，完成国家统计调查、行业统计调查和地方统计调查任务，制定和实施本部门的粮食统计调查计划，搜集、整理、分析、提供统计资料；（二） 贯彻实施《统计法》和《国家粮食流通统计制度》，对管辖区域内粮食经营企业和转化用粮企业实行统计监督；（三）管理本部门的粮食统计调查表和基本统计资料，根据形势需要不断完善粮食统计制度；（四） 组织指导本部门统计人员的业务培训，加强统计队伍建设。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法律】《国家粮食流通统计制度》第十二条：统计机构和统计人员的主要职权：（一）有权要求有关单位和人员，按照国家粮食流通统计制度规定，如实提供统计资料。（二）有权检查有关单位各业务环节的统计原始记录和统计数字的质量，并要求改正不真实的统计资料。（三）有权揭发和检举统计调查中的违法行为。对任何违反《统计法》和《粮食流通管理条例》、损害国家利益的行为，有权制止、纠正或移交有关执法部门处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3—1.【法律】《中华人民共和国统计法》第二十一条：统计资料的审核、签署人员应当对其审核、签署的统计资料的真实性、准确性和完整性负责。</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2.【法律】《国家粮食流通统计制度》第二十四条：各级粮食行政管理部门在统计工作中必须保守国家秘密，自觉遵守保密制度。统计机构和统计人员对统计调查中知悉的统计调查对象的商业秘密和属于企业、私人、家庭的单项调查资料，负有保密义务。涉及国家秘密的统计报表要按规定方式报送。对外提供与公布统计数字，要执行《统计法》和国家有关保密规定。各级粮食行政管理部门公布粮食统计资料必须经本部门统计负责人核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3.【法律】《中华人民共和国统计法》第三十九条：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tc>
        <w:tc>
          <w:tcPr>
            <w:tcW w:w="2237"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1.监督检查人员进行监督检查时没有出示监督检查证件的（县纪委监委派驻县发改局纪检监察组）；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2.没有正当理由擅自对被检查对象进行检查的（县纪委监委派驻县发改局纪检监察组）；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3.下级粮食行政管理部门违反在上级粮食行政管理部门检查后规定的期限内对同一事项再次进行监督检查的（县纪委监委派驻县发改局纪检监察组）；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4.监督检查人员违规向被检查对象收取费用的（县纪委监委派驻县发改局纪检监察组）；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5.工作中滥用职权.徇私舞弊、玩忽职守造成不良后果的（县纪委监委派驻县发改局纪检监察组）；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6.工作中发生贪污腐败行为的（县纪委监委派驻县发改局纪检监察组）；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7.其他违反法律法规文件规定的行为（县纪委监委派驻县发改局纪检监察组）。</w:t>
            </w:r>
          </w:p>
        </w:tc>
        <w:tc>
          <w:tcPr>
            <w:tcW w:w="4440"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规范性文件】《粮食监督检查工作规程（试行）〉》（国粮检〔2005〕31号）第二十八条“有下列行为之一的，由粮食行政管理部门责令直接负责的主管人员和其他直接责任人员改正：：（一）监督检查人员进行监督检查时没有出示监督检查证件的；（二）没有正当理由擅自对被检查对象进行检查的；（三）下级粮食行政管理部门违反第十一条在上级粮食行政管理部门检查后规定的期限内对同一事项再次进行监督检查的；（四）监督检查人员违规向被检查对象收取费用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行政法规】《行政机关公务员处分条例》（国务院令第495号）第二十条有下列行为之一的，给予记过、记大过处分；情节较重的，给予降级或者撤职处分；情节严重的，给予开除处分：（四）其他玩忽职守、贻误工作的行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-1.【行政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-2.【规范性文件】《粮食监督检查工作规程（（试行）》（国粮检〔2005〕31号）第二十九条“粮食行政管理部门的监督检查人员有下列行为之一的，依法给予警告直至开除的行政处分，构成犯罪的，依法追究刑事责任：（一）接受被检查对象的馈赠、报酬的；（二）在被检查对象报销费用的；（三）参加被检查对象提供的宴请、娱乐、旅游等活动的；（四）通过监督检查工作为本人、亲友或者他人谋取利益的；”</w:t>
            </w:r>
          </w:p>
        </w:tc>
        <w:tc>
          <w:tcPr>
            <w:tcW w:w="532"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0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14</w:t>
            </w:r>
          </w:p>
        </w:tc>
        <w:tc>
          <w:tcPr>
            <w:tcW w:w="308"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行政检查</w:t>
            </w:r>
          </w:p>
        </w:tc>
        <w:tc>
          <w:tcPr>
            <w:tcW w:w="504"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粮食库存检查</w:t>
            </w:r>
          </w:p>
        </w:tc>
        <w:tc>
          <w:tcPr>
            <w:tcW w:w="546" w:type="dxa"/>
            <w:vMerge w:val="restart"/>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【行政法规】《粮食流通管理条例》（2021年1月4日国务院第121次常务会议修订通过，自2021年4月15日起施行）第三十八条　粮食和储备行政管理部门依照本条例对粮食经营者从事粮食收购、储存、运输活动和政策性粮食的购销活动，以及执行国家粮食流通统计制度的情况进行监督检查。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2361"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1.受理责任（粮食和物资储备股）：粮油仓储单位备案申请，并告知申请人办理竣工验收备案的相关事项。</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2.审查责任（粮食和物资储备股）：审查备案资料，材料不齐全的一次性告知，不符合法定条件的退回.</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3.决定责任（粮食和物资储备股）：拿出是否同意备案的意见，并报领导审核并签署意见形成备案决定。</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4.送达责任（粮食和物资储备股）：作出同意备案的，送达粮油仓储单位备案表；作出不同意备案的，说明原因并要求整改备案。</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5.法律法规规章文件规定的其他应履行的责任（有关股室）。</w:t>
            </w:r>
          </w:p>
        </w:tc>
        <w:tc>
          <w:tcPr>
            <w:tcW w:w="4842"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-1.【规章】《粮油仓储管理办法》（2009年12月国家发改委令第5号）第六条：粮油仓储单位应当自设立或者开始从事粮油仓储活动之日起31个工作日内，向所在地粮食行政管理部门备案。备案应当包括单位名称、地址、法人代表、主要仓储业务类型、仓（罐）容规模等内容。</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1-2.【规章】《粮油仓储管理办法》（2009年12月国家发改委令第5号）第二十八条 粮油仓储单位违反本办法第六条规定，未在规定时间向粮食行政管理部门备案，或者备案内容弄虚作假的，由负责备案管理的粮食行政管理部门责令改正，给予警告；拒不改正的，处1万元以下罚款。</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2.同1.</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3.同1.</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4.同1.</w:t>
            </w:r>
          </w:p>
        </w:tc>
        <w:tc>
          <w:tcPr>
            <w:tcW w:w="2237"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1.监督检查人员进行监督检查时没有出示监督检查证件的（县纪委监委派驻县发改局纪检监察组）；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2.没有正当理由擅自对被检查对象进行检查的（县纪委监委派驻县发改局纪检监察组）；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3.下级粮食行政管理部门违反在上级粮食行政管理部门检查后规定的期限内对同一事项再次进行监督检查的（县纪委监委派驻县发改局纪检监察组）；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4.监督检查人员违规向被检查对象收取费用的（县纪委监委派驻县发改局纪检监察组）；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5.工作中滥用职权.徇私舞弊、玩忽职守造成不良后果的（县纪委监委派驻县发改局纪检监察组）；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6.工作中发生贪污腐败行为的（县纪委监委派驻县发改局纪检监察组）；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7.其他违反法律法规文件规定的行为（县纪委监委派驻县发改局纪检监察组）。</w:t>
            </w:r>
          </w:p>
        </w:tc>
        <w:tc>
          <w:tcPr>
            <w:tcW w:w="4440"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规范性文件】《粮食监督检查工作规程（试行）〉》（国粮检〔2005〕31号）第二十八条“有下列行为之一的，由粮食行政管理部门责令直接负责的主管人员和其他直接责任人员改正：：（一）监督检查人员进行监督检查时没有出示监督检查证件的；（二）没有正当理由擅自对被检查对象进行检查的；（三）下级粮食行政管理部门违反第十一条在上级粮食行政管理部门检查后规定的期限内对同一事项再次进行监督检查的；（四）监督检查人员违规向被检查对象收取费用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行政法规】《行政机关公务员处分条例》（国务院令第495号）第二十条有下列行为之一的，给予记过、记大过处分；情节较重的，给予降级或者撤职处分；情节严重的，给予开除处分：（四）其他玩忽职守、贻误工作的行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-1.【行政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-2.【规范性文件】《粮食监督检查工作规程（（试行）》（国粮检〔2005〕31号）第二十九条“粮食行政管理部门的监督检查人员有下列行为之一的，依法给予警告直至开除的行政处分，构成犯罪的，依法追究刑事责任：（一）接受被检查对象的馈赠、报酬的；（二）在被检查对象报销费用的；（三）参加被检查对象提供的宴请、娱乐、旅游等活动的；（四）通过监督检查工作为本人、亲友或者他人谋取利益的；”</w:t>
            </w:r>
          </w:p>
        </w:tc>
        <w:tc>
          <w:tcPr>
            <w:tcW w:w="532"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vMerge w:val="restart"/>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0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50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54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96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73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2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236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484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223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444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53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8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0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15</w:t>
            </w:r>
          </w:p>
        </w:tc>
        <w:tc>
          <w:tcPr>
            <w:tcW w:w="308"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行政检查</w:t>
            </w:r>
          </w:p>
        </w:tc>
        <w:tc>
          <w:tcPr>
            <w:tcW w:w="504"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对粮食经营活动的监督检查</w:t>
            </w:r>
          </w:p>
        </w:tc>
        <w:tc>
          <w:tcPr>
            <w:tcW w:w="546" w:type="dxa"/>
            <w:vMerge w:val="restart"/>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规范性文件】《国家发展和改革委员会、国家粮食局、财政部、卫生部、国家工商行政管理总局、国家质量监督检验检疫总局关于印发〈粮食流通监督检查暂行办法〉的通知》（国粮检〔2004〕230号）第七条：粮食行政管理部门依照法律、行政法规规定的职责，对粮食经营活动进行监督检查。内容包括：（一）粮食收购者是否具备粮食收购资格，在其从事的粮食收购活动中是否执行了国家有关法律、法规、规章及粮食收购政策。（二）粮食经营者使用的粮食仓储设施、设备是否符合有关标准和技术规范。（三）粮食经营者在粮食收购、储存活动中，是否按规定执行了国家粮食质量标准和国家有关粮食仓储的技术标准和规范，其收购、储存的原粮是否符合国家有关标准和规定。（四）粮食经营者是否执行了国家粮食运输的技术标准和规范。（五）粮食储存企业是否建立并执行了粮食销售出库质量检验制度。（六）从事粮食收购、加工、销售的经营者是否执行了省级人民政府制定的最低和最高库存量的规定。（七）粮食经营者是否执行了国家陈化粮销售处理有关规定。（八）地方储备粮经营管理机构及地方储备粮承储企业是否执行地方储备粮管理有关政策和规定；地方储备粮的数量、质量、储存安全以及轮换计划执行情况，各项规章制度、标准与规范执行情况，以及地方储备粮承储企业的承储资格情况。（九）从事军粮供应、退耕还林粮食供应、水库移民粮食供应、救灾粮供应等政策性用粮经营活动的粮食经营者是否执行了有关法律、法规、规章和政策。（十）粮食经营者是否建立了粮食经营台账，是否执行了国家粮食流通统计制度。（十一）粮食经营者是否依照粮食应急预案规定，承担了相应义务，执行了相关规定。（十二）法律、法规、规章和政策规定需要进行监督检查的其他内容。</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粮油仓储管理办法》（2009年国家发展和改革委员会令第5号）第三条：粮油仓储单位必须遵守国家法律、法规和相关管理规定，执行国家和地方粮食流通政策和粮食应急预案，贯彻国家和地方制定的仓储管理制度和标准，接受粮食行政管理部门的业务指导，配合粮食行政管理部门依法开展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第五条：国家粮食行政管理部门负责全国粮油仓储监督管理工作，制定管理制度和标准，组织储粮安全检查工作。县级以上地方人民政府粮食行政管理部门负责本行政区域的粮油仓储监督管理工作。</w:t>
            </w:r>
          </w:p>
        </w:tc>
        <w:tc>
          <w:tcPr>
            <w:tcW w:w="2361"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1.告知责任（粮食和物资储备股）：制定检查方案，确定目标、对象和方式，公告或通知被检查对象。</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检查责任（粮食和物资储备股）：检查时，执行人员不少于2人，应当持《检查通知书》或相关证件进行检查。对粮食经营者从事粮食收购、储存、运输活动和政策性用粮的购销活动，以及执行国家粮食流通统计制度的情况进行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3.处理责任（粮食和物资储备股）：行政机关对县级储备粮储存检查情况制作检查报告，提出处理意见。</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4.事后监管责任（粮食和物资储备股）：加强对县级储备粮储存管理情况的监督检查。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5.法律法规规章文件规定的其他应履行的责任（有关股室）。</w:t>
            </w:r>
          </w:p>
        </w:tc>
        <w:tc>
          <w:tcPr>
            <w:tcW w:w="4842"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规范性文件】《国家发展和改革委员会、国家粮食局、财政部、卫生部、国家工商行政管理总局、国家质量监督检验检疫总局关于印发〈粮食流通监督检查暂行办法〉的通知》（国粮检〔2004〕230号）第七条：粮食行政管理部门依照法律、行政法规规定的职责，对粮食经营活动进行监督检查。内容包括：（一）粮食收购者是否具备粮食收购资格，在其从事的粮食收购活动中是否执行了国家有关法律、法规、规章及粮食收购政策。（二）粮食经营者使用的粮食仓储设施、设备是否符合有关标准和技术规范。（三）粮食经营者在粮食收购、储存活动中，是否按规定执行了国家粮食质量标准和国家有关粮食仓储的技术标准和规范，其收购、储存的原粮是否符合国家有关标准和规定。（四）粮食经营者是否执行了国家粮食运输的技术标准和规范。（五）粮食储存企业是否建立并执行了粮食销售出库质量检验制度。（六）从事粮食收购、加工、销售的经营者是否执行了省级人民政府制定的最低和最高库存量的规定。（七）粮食经营者是否执行了国家陈化粮销售处理有关规定。（八）地方储备粮经营管理机构及地方储备粮承储企业是否执行地方储备粮管理有关政策和规定；地方储备粮的数量、质量、储存安全以及轮换计划执行情况，各项规章制度、标准与规范执行情况，以及地方储备粮承储企业的承储资格情况。（九）从事军粮供应、退耕还林粮食供应、水库移民粮食供应、救灾粮供应等政策性用粮经营活动的粮食经营者是否执行了有关法律、法规、规章和政策。（十）粮食经营者是否建立了粮食经营台账，是否执行了国家粮食流通统计制度。（十一）粮食经营者是否依照粮食应急预案规定，承担了相应义务，执行了相关规定。（十二）法律、法规、规章和政策规定需要进行监督检查的其他内容。</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部门规章】《粮油仓储管理办法》（2009年国家发展和改革委员会令第5号）第三条：粮油仓储单位必须遵守国家法律、法规和相关管理规定，执行国家和地方粮食流通政策和粮食应急预案，贯彻国家和地方制定的仓储管理制度和标准，接受粮食行政管理部门的业务指导，配合粮食行政管理部门依法开展监督检查。　</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第五条：国家粮食行政管理部门负责全国粮油仓储监督管理工作，制定管理制度和标准，组织储粮安全检查工作。县级以上地方人民政府粮食行政管理部门负责本行政区域的粮油仓储监督管理工作。</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法律】《中华人民共和国行政许可法》第三十四条：行政机关应当对申请人提交的申请材料进行审查。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4.【法律】《中华人民共和国行政处罚法》第四十条：行政处罚决定书应当在宣告后当场交付当事人；当事人不在场的，行政机关应当在七日内依照民事诉讼法的有关规定，将行政处罚决定书送达当事人。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5.同1。</w:t>
            </w:r>
          </w:p>
        </w:tc>
        <w:tc>
          <w:tcPr>
            <w:tcW w:w="2237"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1.监督检查人员进行监督检查时没有出示监督检查证件的（县纪委监委派驻县发改局纪检监察组）；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2.没有正当理由擅自对被检查对象进行检查的（县纪委监委派驻县发改局纪检监察组）；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3.下级粮食行政管理部门违反在上级粮食行政管理部门检查后规定的期限内对同一事项再次进行监督检查的（县纪委监委派驻县发改局纪检监察组）；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4.监督检查人员违规向被检查对象收取费用的（县纪委监委派驻县发改局纪检监察组）；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5.工作中滥用职权.徇私舞弊、玩忽职守造成不良后果的（县纪委监委派驻县发改局纪检监察组）；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6.工作中发生贪污腐败行为的（县纪委监委派驻县发改局纪检监察组）；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7.其他违反法律法规文件规定的行为（县纪委监委派驻县发改局纪检监察组）。</w:t>
            </w:r>
          </w:p>
        </w:tc>
        <w:tc>
          <w:tcPr>
            <w:tcW w:w="4440"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规范性文件】《粮食监督检查工作规程（试行）〉》（国粮检〔2005〕31号）第二十八条“有下列行为之一的，由粮食行政管理部门责令直接负责的主管人员和其他直接责任人员改正：：（一）监督检查人员进行监督检查时没有出示监督检查证件的；（二）没有正当理由擅自对被检查对象进行检查的；（三）下级粮食行政管理部门违反第十一条在上级粮食行政管理部门检查后规定的期限内对同一事项再次进行监督检查的；（四）监督检查人员违规向被检查对象收取费用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行政法规】《行政机关公务员处分条例》（国务院令第495号）第二十条有下列行为之一的，给予记过、记大过处分；情节较重的，给予降级或者撤职处分；情节严重的，给予开除处分：（四）其他玩忽职守、贻误工作的行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-1.【行政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-2.【规范性文件】《粮食监督检查工作规程（（试行）》（国粮检〔2005〕31号）第二十九条“粮食行政管理部门的监督检查人员有下列行为之一的，依法给予警告直至开除的行政处分，构成犯罪的，依法追究刑事责任：（一）接受被检查对象的馈赠、报酬的；（二）在被检查对象报销费用的；（三）参加被检查对象提供的宴请、娱乐、旅游等活动的；（四）通过监督检查工作为本人、亲友或者他人谋取利益的；”</w:t>
            </w:r>
          </w:p>
        </w:tc>
        <w:tc>
          <w:tcPr>
            <w:tcW w:w="532" w:type="dxa"/>
            <w:vMerge w:val="restart"/>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vMerge w:val="restart"/>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2" w:hRule="atLeast"/>
          <w:jc w:val="center"/>
        </w:trPr>
        <w:tc>
          <w:tcPr>
            <w:tcW w:w="40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0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50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54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966"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738"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285"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236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484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223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4440"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rPr>
                <w:rFonts w:hint="eastAsia" w:ascii="方正书宋_GBK" w:hAnsi="宋体" w:eastAsia="方正书宋_GBK" w:cs="宋体"/>
                <w:kern w:val="0"/>
                <w:sz w:val="20"/>
                <w:szCs w:val="20"/>
              </w:rPr>
            </w:pPr>
          </w:p>
        </w:tc>
        <w:tc>
          <w:tcPr>
            <w:tcW w:w="532"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c>
          <w:tcPr>
            <w:tcW w:w="381"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41" w:hRule="atLeast"/>
          <w:jc w:val="center"/>
        </w:trPr>
        <w:tc>
          <w:tcPr>
            <w:tcW w:w="406"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16</w:t>
            </w:r>
          </w:p>
        </w:tc>
        <w:tc>
          <w:tcPr>
            <w:tcW w:w="308"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行政检查</w:t>
            </w:r>
          </w:p>
        </w:tc>
        <w:tc>
          <w:tcPr>
            <w:tcW w:w="504"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储备粮管理监督检查</w:t>
            </w:r>
          </w:p>
        </w:tc>
        <w:tc>
          <w:tcPr>
            <w:tcW w:w="546"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地方政府规章】《广西壮族自治区储备粮管理办法》（2005年广西壮族自治区人民政府令第13号公布，2018年广西壮族自治区人民政府令第128号修正）第三十六条：自治区粮食行政管理部门、财政部门应当按照各自职责，依法对自治区储备粮管理机构、承储企业执行有关粮食法规及本办法的情况进行监督检查，并行使下职权：（一）进入承储企业检查自治区储备粮的数量、质量和储存安全情况；（二）向有关单位和人员了解自治区储备粮收购、销售、轮换计划及运用指令和命令的执行情况；（三）调阅自治区储备粮经营管理的有关资料、凭证；（四）对违法行为，依法予以处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第四十五条：市、县级储备粮管理参照本办法执行。</w:t>
            </w:r>
          </w:p>
        </w:tc>
        <w:tc>
          <w:tcPr>
            <w:tcW w:w="236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1.告知责任（粮食和物资储备股）：制定检查方案，确定目标、对象和方式，公告或通知被检查对象。</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检查责任（粮食和物资储备股）：检查时，执行人员不少于2人，应当持《检查通知书》或相关证件进行检查。对粮食经营者从事粮食收购、储存、运输活动和政策性用粮的购销活动，以及执行国家粮食流通统计制度的情况进行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3.处理责任（粮食和物资储备股）：行政机关对县级储备粮储存检查情况制作检查报告，提出处理意见。</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4.事后监管责任（粮食和物资储备股）：加强对县级储备粮储存管理情况的监督检查。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5.法律法规规章文件规定的其他应履行的责任（有关股室）</w:t>
            </w:r>
          </w:p>
        </w:tc>
        <w:tc>
          <w:tcPr>
            <w:tcW w:w="484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地方政府规章】《广西壮族自治区储备粮管理办法》（2005年广西壮族自治区人民政府令第13号公布，2018年广西壮族自治区人民政府令第128号修正）第七条：自治区粮食行政管理部门负责管理自治区储备粮，对自治区储备粮的数量、质量和储存实施监督检查。其所属的储备粮管理机构负责自治区储备粮的经营管理工作，并负责自治区储备粮的数量、质量和储存安全。 第三十六条：自治区粮食行政管理部门、财政部门应当按照各自职责，依法对自治区储备粮管理机构、承储企业执行有关粮食法规及本办法的情况进行监督检查，并行使下职权：（一）进入承储企业检查自治区储备粮的数量、质量和储存安全情况；（二）向有关单位和人员了解自治区储备粮收购、销售、轮换计划及运用指令和命令的执行情况；（三）调阅自治区储备粮经营管理的有关资料、凭证；（四）对违法行为，依法予以处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第四十五条：市、县级储备粮管理 本办法执行。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3.【法律】《中华人民共和国行政处罚法》第四十条：行政处罚决定书应当在宣告后当场交付当事人；当事人不在场的，行政机关应当在七日内依照民事诉讼法的有关规定，将行政处罚决定书送达当事人。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4.同2。</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5.同2。</w:t>
            </w:r>
          </w:p>
        </w:tc>
        <w:tc>
          <w:tcPr>
            <w:tcW w:w="2237"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1.监督检查人员进行监督检查时没有出示监督检查证件的（县纪委监委派驻县发改局纪检监察组）；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2.没有正当理由擅自对被检查对象进行检查的（县纪委监委派驻县发改局纪检监察组）；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3.下级粮食行政管理部门违反在上级粮食行政管理部门检查后规定的期限内对同一事项再次进行监督检查的（县纪委监委派驻县发改局纪检监察组）；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4.监督检查人员违规向被检查对象收取费用的（县纪委监委派驻县发改局纪检监察组）；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5.工作中滥用职权.徇私舞弊、玩忽职守造成不良后果的（县纪委监委派驻县发改局纪检监察组）；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6.工作中发生贪污腐败行为的（县纪委监委派驻县发改局纪检监察组）；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7.其他违反法律法规文件规定的行为（县纪委监委派驻县发改局纪检监察组）。</w:t>
            </w:r>
          </w:p>
        </w:tc>
        <w:tc>
          <w:tcPr>
            <w:tcW w:w="4440"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规范性文件】《粮食监督检查工作规程（试行）〉》（国粮检〔2005〕31号）第二十八条“有下列行为之一的，由粮食行政管理部门责令直接负责的主管人员和其他直接责任人员改正：：（一）监督检查人员进行监督检查时没有出示监督检查证件的；（二）没有正当理由擅自对被检查对象进行检查的；（三）下级粮食行政管理部门违反第十一条在上级粮食行政管理部门检查后规定的期限内对同一事项再次进行监督检查的；（四）监督检查人员违规向被检查对象收取费用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4.同上。</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行政法规】《行政机关公务员处分条例》（国务院令第495号）第二十条有下列行为之一的，给予记过、记大过处分；情节较重的，给予降级或者撤职处分；情节严重的，给予开除处分：（四）其他玩忽职守、贻误工作的行为。</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-1.【行政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-2.【规范性文件】《粮食监督检查工作规程（（试行）》（国粮检〔2005〕31号）第二十九条“粮食行政管理部门的监督检查人员有下列行为之一的，依法给予警告直至开除的行政处分，构成犯罪的，依法追究刑事责任：（一）接受被检查对象的馈赠、报酬的；（二）在被检查对象报销费用的；（三）参加被检查对象提供的宴请、娱乐、旅游等活动的；（四）通过监督检查工作为本人、亲友或者他人谋取利益的；”</w:t>
            </w:r>
          </w:p>
        </w:tc>
        <w:tc>
          <w:tcPr>
            <w:tcW w:w="53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41" w:hRule="atLeast"/>
          <w:jc w:val="center"/>
        </w:trPr>
        <w:tc>
          <w:tcPr>
            <w:tcW w:w="406"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17</w:t>
            </w:r>
          </w:p>
        </w:tc>
        <w:tc>
          <w:tcPr>
            <w:tcW w:w="308" w:type="dxa"/>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其他行政权力</w:t>
            </w:r>
          </w:p>
        </w:tc>
        <w:tc>
          <w:tcPr>
            <w:tcW w:w="504"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储备粮收储及轮换管理</w:t>
            </w:r>
          </w:p>
        </w:tc>
        <w:tc>
          <w:tcPr>
            <w:tcW w:w="546"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240" w:lineRule="exact"/>
              <w:jc w:val="center"/>
              <w:rPr>
                <w:rFonts w:hint="eastAsia" w:ascii="方正书宋_GBK" w:hAnsi="宋体" w:eastAsia="方正书宋_GBK" w:cs="宋体"/>
                <w:kern w:val="0"/>
                <w:sz w:val="20"/>
                <w:szCs w:val="20"/>
              </w:rPr>
            </w:pPr>
          </w:p>
        </w:tc>
        <w:tc>
          <w:tcPr>
            <w:tcW w:w="966"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资源县发展和改革局</w:t>
            </w:r>
          </w:p>
        </w:tc>
        <w:tc>
          <w:tcPr>
            <w:tcW w:w="738"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粮食和物资储备股</w:t>
            </w:r>
          </w:p>
        </w:tc>
        <w:tc>
          <w:tcPr>
            <w:tcW w:w="3285"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地方政府规章】《广西壮族自治区储备粮管理办法》（2005年广西壮族自治区人民政府令第13号公布，2018年广西壮族自治区人民政府令第128号修正）第十三条：自治区储备粮实行均衡轮换制度，每年轮换的数量一般为自治区储备粮储存总量的30%。具体轮换计划由自治区储备粮管理机构提出，报自治区粮食行政管理、财政部门和中国农业发展银行广西区分行批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第四十五条：市、县级储备粮管理参照本办法执行。</w:t>
            </w:r>
          </w:p>
        </w:tc>
        <w:tc>
          <w:tcPr>
            <w:tcW w:w="236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1.计划制定阶段责任（粮食和物资储备股）：根据法律、行政法规规定的职责，结合本地实际情况，由自治区储备粮管理机构提出，报自治区粮食行政管理、财政部门和中国农业发展银行广西区分行批准。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 xml:space="preserve"> 2.下达文件阶段责任（粮食和物资储备股）：由自治区粮食行政管理部门会同自治区发展改革、财政部 门和中国农业发展银行广西区分行共同下达，由自治区储备粮管 理机构组织实施。</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3.事后监督责任（粮食和物资储备股）：对由自治区粮食行政管理部门会同自治区发展改革、财政部 门和中国农业发展银行广西区分行共同下达，由自治区储备粮管 理机构组织实施情况进行检查。</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4.法律法规规章文件规定的其他应履行的责任（有关股室）。</w:t>
            </w:r>
          </w:p>
        </w:tc>
        <w:tc>
          <w:tcPr>
            <w:tcW w:w="484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1—1.【地方政府规章】《广西壮族自治区储备粮管理办法》（广西壮族自治区人民政府令第13号）第十二条：自治区储备粮的储存品种、布局以及收购、销售计划，由自治区粮食行政管理部门会同自治区发展改革、财政部门和中国农业发展银行广西区分行共同下达，由自治区储备粮管理机构组织实施。</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第十三条：自治区储备粮实行均衡轮换制度，每年轮换的数量一般为自治区储备粮储存总量的30%。具体轮换计划由自治区储备粮管理机构提出，报自治区粮食行政管理、财政部门和中国 农业发展银行广西区分行批准。</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第四十五条：市、县级储备粮管理 本办法执行。</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2.同1。</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3.同1。</w:t>
            </w:r>
          </w:p>
        </w:tc>
        <w:tc>
          <w:tcPr>
            <w:tcW w:w="2237"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因不履行或不正确履行行政职责，有下列情形的，行政机关及相关工作人员应承担相应责任：</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1.监督检查人员进行监督检查时没有出示监督检查证件的（县纪委监委派驻县发改局纪检监察组）；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2.没有正当理由擅自对被检查对象进行检查的（县纪委监委派驻县发改局纪检监察组）；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3.下级粮食行政管理部门违反在上级粮食行政管理部门检查后规定的期限内对同一事项再次进行监督检查的（县纪委监委派驻县发改局纪检监察组）；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4.监督检查人员违规向被检查对象收取费用的（县纪委监委派驻县发改局纪检监察组）；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5.工作中滥用职权.徇私舞弊、玩忽职守造成不良后果的（县纪委监委派驻县发改局纪检监察组）；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6.工作中发生贪污腐败行为的（县纪委监委派驻县发改局纪检监察组）；</w:t>
            </w:r>
            <w:r>
              <w:rPr>
                <w:rFonts w:hint="eastAsia" w:ascii="方正书宋_GBK" w:hAnsi="方正书宋_GBK" w:eastAsia="方正书宋_GBK" w:cs="方正书宋_GBK"/>
                <w:i w:val="0"/>
                <w:iCs w:val="0"/>
                <w:color w:val="000000"/>
                <w:kern w:val="0"/>
                <w:sz w:val="20"/>
                <w:szCs w:val="20"/>
                <w:u w:val="none"/>
                <w:lang w:val="en-US" w:eastAsia="zh-CN" w:bidi="ar"/>
              </w:rPr>
              <w:br w:type="textWrapping"/>
            </w:r>
            <w:r>
              <w:rPr>
                <w:rFonts w:hint="eastAsia" w:ascii="方正书宋_GBK" w:hAnsi="方正书宋_GBK" w:eastAsia="方正书宋_GBK" w:cs="方正书宋_GBK"/>
                <w:i w:val="0"/>
                <w:iCs w:val="0"/>
                <w:color w:val="000000"/>
                <w:kern w:val="0"/>
                <w:sz w:val="20"/>
                <w:szCs w:val="20"/>
                <w:u w:val="none"/>
                <w:lang w:val="en-US" w:eastAsia="zh-CN" w:bidi="ar"/>
              </w:rPr>
              <w:t>7.其他违反法律法规文件规定的行为（县纪委监委派驻县发改局纪检监察组）。</w:t>
            </w:r>
          </w:p>
        </w:tc>
        <w:tc>
          <w:tcPr>
            <w:tcW w:w="4440"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【地方政府规章】《广西壮族自治区储备粮管理办法》（2005年广西壮族自治区人民政府令第13号公布，2018年广西壮族自治区人民政府令第128号修正）第四十四条 行政机关和农业发展银行的工作人员违反本办法规定，滥用职权、徇私舞弊或者玩忽职守，依法给予行政处分；构成犯罪的，依法追究刑事责任。</w:t>
            </w:r>
          </w:p>
        </w:tc>
        <w:tc>
          <w:tcPr>
            <w:tcW w:w="53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center"/>
              <w:rPr>
                <w:rFonts w:hint="eastAsia" w:ascii="方正书宋_GBK" w:hAnsi="宋体" w:eastAsia="方正书宋_GBK" w:cs="宋体"/>
                <w:kern w:val="0"/>
                <w:sz w:val="20"/>
                <w:szCs w:val="20"/>
              </w:rPr>
            </w:pPr>
            <w:r>
              <w:rPr>
                <w:rFonts w:hint="eastAsia" w:ascii="方正书宋_GBK" w:hAnsi="方正书宋_GBK" w:eastAsia="方正书宋_GBK" w:cs="方正书宋_GBK"/>
                <w:i w:val="0"/>
                <w:iCs w:val="0"/>
                <w:color w:val="000000"/>
                <w:kern w:val="0"/>
                <w:sz w:val="20"/>
                <w:szCs w:val="20"/>
                <w:u w:val="none"/>
                <w:lang w:val="en-US" w:eastAsia="zh-CN" w:bidi="ar"/>
              </w:rPr>
              <w:t>法律法规规定的免责情形及资源县委、资源县人民政府有关文件中明确的免责情形。</w:t>
            </w:r>
          </w:p>
        </w:tc>
        <w:tc>
          <w:tcPr>
            <w:tcW w:w="381"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240" w:lineRule="exact"/>
              <w:rPr>
                <w:rFonts w:hint="eastAsia" w:ascii="方正书宋_GBK" w:hAnsi="宋体" w:eastAsia="方正书宋_GBK" w:cs="宋体"/>
                <w:kern w:val="0"/>
                <w:sz w:val="20"/>
                <w:szCs w:val="20"/>
              </w:rPr>
            </w:pPr>
          </w:p>
        </w:tc>
      </w:tr>
    </w:tbl>
    <w:p>
      <w:pPr>
        <w:adjustRightInd w:val="0"/>
        <w:snapToGrid w:val="0"/>
        <w:spacing w:line="20" w:lineRule="exact"/>
        <w:rPr>
          <w:rFonts w:ascii="方正小标宋_GBK" w:eastAsia="方正小标宋_GBK"/>
          <w:sz w:val="44"/>
          <w:szCs w:val="44"/>
        </w:rPr>
      </w:pPr>
    </w:p>
    <w:sectPr>
      <w:footerReference r:id="rId3" w:type="default"/>
      <w:footerReference r:id="rId4" w:type="even"/>
      <w:pgSz w:w="23814" w:h="16840" w:orient="landscape"/>
      <w:pgMar w:top="1134" w:right="1134" w:bottom="1134" w:left="1134" w:header="851" w:footer="85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WJkNDBkNmRlYmUxMTdlZDg5MWJjNTQ1YTI2M2EifQ=="/>
  </w:docVars>
  <w:rsids>
    <w:rsidRoot w:val="0055328B"/>
    <w:rsid w:val="000741AB"/>
    <w:rsid w:val="000D0D81"/>
    <w:rsid w:val="00132A46"/>
    <w:rsid w:val="0015478D"/>
    <w:rsid w:val="00161415"/>
    <w:rsid w:val="00246E96"/>
    <w:rsid w:val="00275AC9"/>
    <w:rsid w:val="00333BBF"/>
    <w:rsid w:val="003D5E5B"/>
    <w:rsid w:val="00426A2F"/>
    <w:rsid w:val="004B1546"/>
    <w:rsid w:val="004C2E41"/>
    <w:rsid w:val="004D6F63"/>
    <w:rsid w:val="00552BAB"/>
    <w:rsid w:val="0055328B"/>
    <w:rsid w:val="005C601B"/>
    <w:rsid w:val="005F64FF"/>
    <w:rsid w:val="006E49F2"/>
    <w:rsid w:val="00824507"/>
    <w:rsid w:val="0086610E"/>
    <w:rsid w:val="00886AA1"/>
    <w:rsid w:val="00942267"/>
    <w:rsid w:val="00982754"/>
    <w:rsid w:val="009F1662"/>
    <w:rsid w:val="00A45C5A"/>
    <w:rsid w:val="00A94804"/>
    <w:rsid w:val="00B63B80"/>
    <w:rsid w:val="00B77217"/>
    <w:rsid w:val="00BD476C"/>
    <w:rsid w:val="00C41BB5"/>
    <w:rsid w:val="00C45D84"/>
    <w:rsid w:val="00CF4516"/>
    <w:rsid w:val="00DC7525"/>
    <w:rsid w:val="00E0131C"/>
    <w:rsid w:val="00E1008C"/>
    <w:rsid w:val="00E26299"/>
    <w:rsid w:val="00F37938"/>
    <w:rsid w:val="046D5BE8"/>
    <w:rsid w:val="049C1D84"/>
    <w:rsid w:val="16D76D94"/>
    <w:rsid w:val="1B0F0EC3"/>
    <w:rsid w:val="1E72406E"/>
    <w:rsid w:val="2B691E60"/>
    <w:rsid w:val="2E4A0F1D"/>
    <w:rsid w:val="2F7C6A5E"/>
    <w:rsid w:val="3A483589"/>
    <w:rsid w:val="4149771E"/>
    <w:rsid w:val="43252179"/>
    <w:rsid w:val="46B43ACD"/>
    <w:rsid w:val="4C4A4987"/>
    <w:rsid w:val="57865FB4"/>
    <w:rsid w:val="5CE0204A"/>
    <w:rsid w:val="620A5557"/>
    <w:rsid w:val="66C04989"/>
    <w:rsid w:val="67E36E55"/>
    <w:rsid w:val="6BDE356F"/>
    <w:rsid w:val="780D6A31"/>
    <w:rsid w:val="789F1248"/>
    <w:rsid w:val="7EA804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25</Pages>
  <Words>47229</Words>
  <Characters>48344</Characters>
  <Lines>368</Lines>
  <Paragraphs>103</Paragraphs>
  <TotalTime>2</TotalTime>
  <ScaleCrop>false</ScaleCrop>
  <LinksUpToDate>false</LinksUpToDate>
  <CharactersWithSpaces>48477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2019-12-28T06:15:00Z</dcterms:created>
  <dc:creator>杨佳晓</dc:creator>
  <cp:lastModifiedBy>呱太</cp:lastModifiedBy>
  <dcterms:modified xsi:type="dcterms:W3CDTF">2022-11-28T02:00:46Z</dcterms:modified>
  <dc:title>附件1-1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2DDA3B3587D24552859C847EC1932073</vt:lpwstr>
  </property>
</Properties>
</file>