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资源县2017年“三公”经费预算安排情况说明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left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 xml:space="preserve"> 资源县2017年“三公”经费预算安排968.69万元，同比下降22.2%，其中：1、公务用车购置及运行维护费594.67万元，同比下降17.83%；2、公务接待费374.02万元，同比下降28.27%。</w:t>
      </w:r>
    </w:p>
    <w:p>
      <w:pPr>
        <w:jc w:val="left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我县严格按照党政机关厉行节约和国务院“约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法三章”的要求，各部门将在预算规模内，按照相关管理制度规定从严控制“三公”经费支出，财政部门将会同全县各部门，继续完善“三公”经费预算编制，加强预算执行管理，严格控制“三公”经费预算规模，确保本级年度“三公”经费预算总规模比上年只减不增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BA0DA3"/>
    <w:rsid w:val="117C3DDB"/>
    <w:rsid w:val="12962968"/>
    <w:rsid w:val="19DD77DD"/>
    <w:rsid w:val="31066F63"/>
    <w:rsid w:val="411A07C0"/>
    <w:rsid w:val="42B73D28"/>
    <w:rsid w:val="58441D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2017-10-29T07:31:18Z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