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44"/>
          <w:szCs w:val="44"/>
        </w:rPr>
      </w:pPr>
      <w:r>
        <w:rPr>
          <w:rFonts w:hint="eastAsia" w:ascii="黑体" w:hAnsi="黑体" w:eastAsia="黑体" w:cs="黑体"/>
          <w:sz w:val="44"/>
          <w:szCs w:val="44"/>
          <w:lang w:val="en-US" w:eastAsia="zh-CN"/>
        </w:rPr>
        <w:t>资源</w:t>
      </w:r>
      <w:r>
        <w:rPr>
          <w:rFonts w:hint="eastAsia" w:ascii="黑体" w:hAnsi="黑体" w:eastAsia="黑体" w:cs="黑体"/>
          <w:sz w:val="44"/>
          <w:szCs w:val="44"/>
        </w:rPr>
        <w:t>县202</w:t>
      </w:r>
      <w:r>
        <w:rPr>
          <w:rFonts w:hint="eastAsia" w:ascii="黑体" w:hAnsi="黑体" w:eastAsia="黑体" w:cs="黑体"/>
          <w:sz w:val="44"/>
          <w:szCs w:val="44"/>
          <w:lang w:val="en-US" w:eastAsia="zh-CN"/>
        </w:rPr>
        <w:t>2</w:t>
      </w:r>
      <w:r>
        <w:rPr>
          <w:rFonts w:hint="eastAsia" w:ascii="黑体" w:hAnsi="黑体" w:eastAsia="黑体" w:cs="黑体"/>
          <w:sz w:val="44"/>
          <w:szCs w:val="44"/>
        </w:rPr>
        <w:t>年财政总决算分析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财政部门以习近平新时代中国特色社会主义思想为指导，认真贯彻落实县委、县政府决策部署，全面落实“疫情要防住、经济要稳住、发展要安全”要求，不断增强政治意识、大局意识，顶住经济下行压力,坚持稳中求进工作总基调，按照“生态立县、农业稳县、产业强县、文旅富县”发展思路，围绕打造世界级旅游小镇</w:t>
      </w:r>
      <w:r>
        <w:rPr>
          <w:rFonts w:hint="eastAsia" w:ascii="仿宋" w:hAnsi="仿宋" w:eastAsia="仿宋" w:cs="仿宋"/>
          <w:sz w:val="32"/>
          <w:szCs w:val="32"/>
          <w:lang w:val="en-US" w:eastAsia="zh-CN"/>
        </w:rPr>
        <w:t>为</w:t>
      </w:r>
      <w:r>
        <w:rPr>
          <w:rFonts w:hint="eastAsia" w:ascii="仿宋" w:hAnsi="仿宋" w:eastAsia="仿宋" w:cs="仿宋"/>
          <w:sz w:val="32"/>
          <w:szCs w:val="32"/>
        </w:rPr>
        <w:t>目标，加强财政资源统筹，加大优化支出结构力度，坚持艰苦奋斗、勤俭节约、精打细算，牢固树立过“紧日子、苦日子”的思想，平衡好保运转、促发展和防风险的关系，集中财力做好“六稳”工作、落实“六保”任务，不折不扣保“三保”，在做强做实财政收入、加强基本民生保障、加快推动乡村振兴等方面重点发力，经济恢复好于预期，社会大局保持稳定，全县财政平稳运行。</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 w:hAnsi="仿宋" w:eastAsia="仿宋" w:cs="仿宋"/>
          <w:b/>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44"/>
          <w:szCs w:val="44"/>
          <w:lang w:val="en-US"/>
        </w:rPr>
      </w:pPr>
      <w:r>
        <w:rPr>
          <w:rFonts w:hint="eastAsia" w:ascii="宋体" w:hAnsi="宋体" w:eastAsia="宋体" w:cs="宋体"/>
          <w:b/>
          <w:bCs/>
          <w:sz w:val="44"/>
          <w:szCs w:val="44"/>
          <w:lang w:val="en-US" w:eastAsia="zh-CN"/>
        </w:rPr>
        <w:t>第一部分  资源县基本简介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资源县位于广西壮族自治区东北部越城岭山脉腹地，是广西的北大门，属桂林市管辖，距桂林市区98公里，界于东经110°13′——110°54′、北纬25°48′—26°16′之间。东面、南面、西南面分别与全州县、兴安县、龙胜县毗邻，西面、北面分别与湖南省城步苗族自治县、新宁县交界。境内有华南第一高峰猫儿山，是长江水系和珠江水系的发源地之一</w:t>
      </w:r>
      <w:r>
        <w:rPr>
          <w:rFonts w:hint="eastAsia" w:ascii="仿宋" w:hAnsi="仿宋" w:eastAsia="仿宋" w:cs="仿宋"/>
          <w:sz w:val="32"/>
          <w:szCs w:val="32"/>
          <w:lang w:eastAsia="zh-CN"/>
        </w:rPr>
        <w:t>，</w:t>
      </w:r>
      <w:r>
        <w:rPr>
          <w:rFonts w:hint="eastAsia" w:ascii="仿宋" w:hAnsi="仿宋" w:eastAsia="仿宋" w:cs="仿宋"/>
          <w:sz w:val="32"/>
          <w:szCs w:val="32"/>
        </w:rPr>
        <w:t>总面积1941.01平方公里，是一个少数民族聚居县。全县辖资源镇、中峰镇、梅溪镇、瓜里乡、车田苗族乡、两水苗族乡、河口瑶族乡等三镇四乡，共74个村（街）委。2022年底全县总人口18.4万人，是广西区级贫困县之一,经济基础薄弱，工业发展滞后，造血功能弱，</w:t>
      </w:r>
      <w:r>
        <w:rPr>
          <w:rFonts w:hint="eastAsia" w:ascii="仿宋" w:hAnsi="仿宋" w:eastAsia="仿宋" w:cs="仿宋"/>
          <w:sz w:val="32"/>
          <w:szCs w:val="32"/>
          <w:lang w:val="en-US" w:eastAsia="zh-CN"/>
        </w:rPr>
        <w:t>财</w:t>
      </w:r>
      <w:r>
        <w:rPr>
          <w:rFonts w:hint="eastAsia" w:ascii="仿宋" w:hAnsi="仿宋" w:eastAsia="仿宋" w:cs="仿宋"/>
          <w:sz w:val="32"/>
          <w:szCs w:val="32"/>
        </w:rPr>
        <w:t>政自给能力不足,属于典型的“吃饭财政</w:t>
      </w:r>
      <w:r>
        <w:rPr>
          <w:rFonts w:hint="eastAsia" w:ascii="仿宋" w:hAnsi="仿宋" w:eastAsia="仿宋" w:cs="仿宋"/>
          <w:sz w:val="32"/>
          <w:szCs w:val="32"/>
          <w:lang w:eastAsia="zh-CN"/>
        </w:rPr>
        <w:t>”。</w:t>
      </w:r>
      <w:r>
        <w:rPr>
          <w:rFonts w:hint="eastAsia" w:ascii="仿宋" w:hAnsi="仿宋" w:eastAsia="仿宋" w:cs="仿宋"/>
          <w:sz w:val="32"/>
          <w:szCs w:val="32"/>
        </w:rPr>
        <w:t>近年来，上级财政通过转移支付补助我县</w:t>
      </w:r>
      <w:r>
        <w:rPr>
          <w:rFonts w:hint="eastAsia" w:ascii="仿宋" w:hAnsi="仿宋" w:eastAsia="仿宋" w:cs="仿宋"/>
          <w:sz w:val="32"/>
          <w:szCs w:val="32"/>
          <w:lang w:eastAsia="zh-CN"/>
        </w:rPr>
        <w:t>，让新时代中国特色社会主义发展成果更多更公平地惠及全县人民，不断提高</w:t>
      </w:r>
      <w:r>
        <w:rPr>
          <w:rFonts w:hint="eastAsia" w:ascii="仿宋" w:hAnsi="仿宋" w:eastAsia="仿宋" w:cs="仿宋"/>
          <w:sz w:val="32"/>
          <w:szCs w:val="32"/>
          <w:lang w:val="en-US" w:eastAsia="zh-CN"/>
        </w:rPr>
        <w:t>我县</w:t>
      </w:r>
      <w:r>
        <w:rPr>
          <w:rFonts w:hint="eastAsia" w:ascii="仿宋" w:hAnsi="仿宋" w:eastAsia="仿宋" w:cs="仿宋"/>
          <w:sz w:val="32"/>
          <w:szCs w:val="32"/>
          <w:lang w:eastAsia="zh-CN"/>
        </w:rPr>
        <w:t>广大人民群众的生活幸福感，</w:t>
      </w:r>
      <w:r>
        <w:rPr>
          <w:rFonts w:hint="eastAsia" w:ascii="仿宋" w:hAnsi="仿宋" w:eastAsia="仿宋" w:cs="仿宋"/>
          <w:sz w:val="32"/>
          <w:szCs w:val="32"/>
          <w:lang w:val="en-US" w:eastAsia="zh-CN"/>
        </w:rPr>
        <w:t>也为我</w:t>
      </w:r>
      <w:r>
        <w:rPr>
          <w:rFonts w:hint="eastAsia" w:ascii="仿宋" w:hAnsi="仿宋" w:eastAsia="仿宋" w:cs="仿宋"/>
          <w:sz w:val="32"/>
          <w:szCs w:val="32"/>
        </w:rPr>
        <w:t>资源县经济、社会实现了较快的发展</w:t>
      </w:r>
      <w:r>
        <w:rPr>
          <w:rFonts w:hint="eastAsia" w:ascii="仿宋" w:hAnsi="仿宋" w:eastAsia="仿宋" w:cs="仿宋"/>
          <w:sz w:val="32"/>
          <w:szCs w:val="32"/>
          <w:lang w:val="en-US" w:eastAsia="zh-CN"/>
        </w:rPr>
        <w:t>提供财力保障，</w:t>
      </w:r>
      <w:r>
        <w:rPr>
          <w:rFonts w:hint="eastAsia" w:ascii="仿宋" w:hAnsi="仿宋" w:eastAsia="仿宋" w:cs="仿宋"/>
          <w:sz w:val="32"/>
          <w:szCs w:val="32"/>
        </w:rPr>
        <w:t>2019年经区人民政府同意脱贫摘帽。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2022年</w:t>
      </w:r>
      <w:r>
        <w:rPr>
          <w:rFonts w:hint="eastAsia" w:ascii="仿宋" w:hAnsi="仿宋" w:eastAsia="仿宋" w:cs="仿宋"/>
          <w:sz w:val="32"/>
          <w:szCs w:val="32"/>
          <w:lang w:eastAsia="zh-CN"/>
        </w:rPr>
        <w:t>，</w:t>
      </w:r>
      <w:r>
        <w:rPr>
          <w:rFonts w:hint="eastAsia" w:ascii="仿宋" w:hAnsi="仿宋" w:eastAsia="仿宋" w:cs="仿宋"/>
          <w:sz w:val="32"/>
          <w:szCs w:val="32"/>
        </w:rPr>
        <w:t>全县完成地区生产总值</w:t>
      </w:r>
      <w:r>
        <w:rPr>
          <w:rFonts w:hint="eastAsia" w:ascii="仿宋" w:hAnsi="仿宋" w:eastAsia="仿宋" w:cs="仿宋"/>
          <w:sz w:val="32"/>
          <w:szCs w:val="32"/>
          <w:highlight w:val="none"/>
          <w:lang w:val="en-US" w:eastAsia="zh-CN"/>
        </w:rPr>
        <w:t>608403万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w:t>
      </w:r>
      <w:r>
        <w:rPr>
          <w:rFonts w:hint="eastAsia" w:ascii="仿宋" w:hAnsi="仿宋" w:eastAsia="仿宋" w:cs="仿宋"/>
          <w:sz w:val="32"/>
          <w:szCs w:val="32"/>
        </w:rPr>
        <w:t>增长2.5%；一般公共预算收入增长0.7%；建筑业总产值增长50%；城镇、农村居民人均可支配收入</w:t>
      </w:r>
      <w:r>
        <w:rPr>
          <w:rFonts w:hint="eastAsia" w:ascii="仿宋" w:hAnsi="仿宋" w:eastAsia="仿宋" w:cs="仿宋"/>
          <w:sz w:val="32"/>
          <w:szCs w:val="32"/>
          <w:highlight w:val="none"/>
          <w:lang w:val="en-US" w:eastAsia="zh-CN"/>
        </w:rPr>
        <w:t>39979</w:t>
      </w:r>
      <w:r>
        <w:rPr>
          <w:rFonts w:hint="eastAsia" w:ascii="仿宋" w:hAnsi="仿宋" w:eastAsia="仿宋" w:cs="仿宋"/>
          <w:sz w:val="32"/>
          <w:szCs w:val="32"/>
          <w:highlight w:val="none"/>
        </w:rPr>
        <w:t>元和</w:t>
      </w:r>
      <w:r>
        <w:rPr>
          <w:rFonts w:hint="eastAsia" w:ascii="仿宋" w:hAnsi="仿宋" w:eastAsia="仿宋" w:cs="仿宋"/>
          <w:sz w:val="32"/>
          <w:szCs w:val="32"/>
          <w:highlight w:val="none"/>
          <w:lang w:val="en-US" w:eastAsia="zh-CN"/>
        </w:rPr>
        <w:t>15742</w:t>
      </w:r>
      <w:r>
        <w:rPr>
          <w:rFonts w:hint="eastAsia" w:ascii="仿宋" w:hAnsi="仿宋" w:eastAsia="仿宋" w:cs="仿宋"/>
          <w:sz w:val="32"/>
          <w:szCs w:val="32"/>
          <w:highlight w:val="none"/>
        </w:rPr>
        <w:t>元，城镇、农村居民人均可支配收入分别增长6.6%、12%</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rPr>
        <w:t>固定资产投资增长2.5%</w:t>
      </w:r>
      <w:r>
        <w:rPr>
          <w:rFonts w:hint="eastAsia" w:ascii="仿宋" w:hAnsi="仿宋" w:eastAsia="仿宋" w:cs="仿宋"/>
          <w:sz w:val="32"/>
          <w:szCs w:val="32"/>
          <w:lang w:eastAsia="zh-CN"/>
        </w:rPr>
        <w:t>。</w:t>
      </w:r>
    </w:p>
    <w:p>
      <w:pPr>
        <w:pStyle w:val="2"/>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bCs/>
          <w:sz w:val="44"/>
          <w:szCs w:val="44"/>
        </w:rPr>
      </w:pPr>
      <w:r>
        <w:rPr>
          <w:rFonts w:hint="eastAsia" w:ascii="宋体" w:hAnsi="宋体" w:eastAsia="宋体" w:cs="宋体"/>
          <w:b/>
          <w:bCs/>
          <w:i w:val="0"/>
          <w:iCs w:val="0"/>
          <w:sz w:val="44"/>
          <w:szCs w:val="44"/>
        </w:rPr>
        <w:t>第</w:t>
      </w:r>
      <w:r>
        <w:rPr>
          <w:rFonts w:hint="eastAsia" w:ascii="宋体" w:hAnsi="宋体" w:eastAsia="宋体" w:cs="宋体"/>
          <w:b/>
          <w:bCs/>
          <w:i w:val="0"/>
          <w:iCs w:val="0"/>
          <w:sz w:val="44"/>
          <w:szCs w:val="44"/>
          <w:lang w:val="en-US" w:eastAsia="zh-CN"/>
        </w:rPr>
        <w:t>二</w:t>
      </w:r>
      <w:r>
        <w:rPr>
          <w:rFonts w:hint="eastAsia" w:ascii="宋体" w:hAnsi="宋体" w:eastAsia="宋体" w:cs="宋体"/>
          <w:b/>
          <w:bCs/>
          <w:i w:val="0"/>
          <w:iCs w:val="0"/>
          <w:sz w:val="44"/>
          <w:szCs w:val="44"/>
        </w:rPr>
        <w:t>部分 202</w:t>
      </w:r>
      <w:r>
        <w:rPr>
          <w:rFonts w:hint="eastAsia" w:ascii="宋体" w:hAnsi="宋体" w:eastAsia="宋体" w:cs="宋体"/>
          <w:b/>
          <w:bCs/>
          <w:i w:val="0"/>
          <w:iCs w:val="0"/>
          <w:sz w:val="44"/>
          <w:szCs w:val="44"/>
          <w:lang w:val="en-US" w:eastAsia="zh-CN"/>
        </w:rPr>
        <w:t>2</w:t>
      </w:r>
      <w:r>
        <w:rPr>
          <w:rFonts w:hint="eastAsia" w:ascii="宋体" w:hAnsi="宋体" w:eastAsia="宋体" w:cs="宋体"/>
          <w:b/>
          <w:bCs/>
          <w:i w:val="0"/>
          <w:iCs w:val="0"/>
          <w:sz w:val="44"/>
          <w:szCs w:val="44"/>
        </w:rPr>
        <w:t>年财政运行概况</w:t>
      </w:r>
    </w:p>
    <w:p>
      <w:pPr>
        <w:keepNext w:val="0"/>
        <w:keepLines w:val="0"/>
        <w:pageBreakBefore w:val="0"/>
        <w:kinsoku/>
        <w:wordWrap/>
        <w:overflowPunct/>
        <w:topLinePunct w:val="0"/>
        <w:autoSpaceDE/>
        <w:autoSpaceDN/>
        <w:bidi w:val="0"/>
        <w:adjustRightInd/>
        <w:snapToGrid/>
        <w:spacing w:beforeLines="0" w:afterLines="0" w:line="600" w:lineRule="exact"/>
        <w:ind w:firstLine="643" w:firstLineChars="200"/>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一、一般公共财政预算执行情况</w:t>
      </w:r>
    </w:p>
    <w:p>
      <w:pPr>
        <w:keepNext w:val="0"/>
        <w:keepLines w:val="0"/>
        <w:pageBreakBefore w:val="0"/>
        <w:kinsoku/>
        <w:wordWrap/>
        <w:overflowPunct/>
        <w:topLinePunct w:val="0"/>
        <w:autoSpaceDE/>
        <w:autoSpaceDN/>
        <w:bidi w:val="0"/>
        <w:adjustRightInd/>
        <w:snapToGrid/>
        <w:spacing w:beforeLines="0" w:afterLines="0" w:line="600" w:lineRule="exact"/>
        <w:ind w:firstLine="643" w:firstLineChars="200"/>
        <w:rPr>
          <w:rFonts w:hint="eastAsia" w:ascii="仿宋" w:hAnsi="仿宋" w:eastAsia="仿宋"/>
          <w:color w:val="000000" w:themeColor="text1"/>
          <w:sz w:val="32"/>
          <w:szCs w:val="24"/>
          <w:highlight w:val="white"/>
          <w14:textFill>
            <w14:solidFill>
              <w14:schemeClr w14:val="tx1"/>
            </w14:solidFill>
          </w14:textFill>
        </w:rPr>
      </w:pPr>
      <w:r>
        <w:rPr>
          <w:rFonts w:hint="eastAsia" w:ascii="仿宋" w:hAnsi="仿宋" w:eastAsia="仿宋"/>
          <w:b/>
          <w:color w:val="000000" w:themeColor="text1"/>
          <w:sz w:val="32"/>
          <w:szCs w:val="24"/>
          <w:highlight w:val="white"/>
          <w14:textFill>
            <w14:solidFill>
              <w14:schemeClr w14:val="tx1"/>
            </w14:solidFill>
          </w14:textFill>
        </w:rPr>
        <w:t>（一）一般公共预算收入情况</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jc w:val="left"/>
        <w:rPr>
          <w:rFonts w:hint="eastAsia" w:ascii="仿宋" w:hAnsi="仿宋" w:eastAsia="仿宋"/>
          <w:color w:val="000000" w:themeColor="text1"/>
          <w:sz w:val="32"/>
          <w:szCs w:val="24"/>
          <w:highlight w:val="white"/>
          <w:lang w:eastAsia="zh-CN"/>
          <w14:textFill>
            <w14:solidFill>
              <w14:schemeClr w14:val="tx1"/>
            </w14:solidFill>
          </w14:textFill>
        </w:rPr>
      </w:pPr>
      <w:r>
        <w:rPr>
          <w:rFonts w:hint="eastAsia" w:ascii="仿宋" w:hAnsi="仿宋" w:eastAsia="仿宋"/>
          <w:color w:val="000000" w:themeColor="text1"/>
          <w:sz w:val="32"/>
          <w:szCs w:val="24"/>
          <w:highlight w:val="white"/>
          <w14:textFill>
            <w14:solidFill>
              <w14:schemeClr w14:val="tx1"/>
            </w14:solidFill>
          </w14:textFill>
        </w:rPr>
        <w:t>2022年，全县一般公共预算收入完成14717万元，完成年初预算15170万元的97%，比上年同期14615万元增收102万元，按自然口径计算增长0.7%，扣除留抵退税因素后增收410万元，同口径增长2.8%。其中税收收入完成8624万元，按自然口径计算比上年同期7995万元增长7.9%，扣除留抵退税因素后同口径增长11.8%；非税收入完成6093万元，比上年同期6620万元下降8%。非税收入占比41.4%，比上年45.3%下降3.9个百分点</w:t>
      </w:r>
      <w:r>
        <w:rPr>
          <w:rFonts w:hint="eastAsia" w:ascii="仿宋" w:hAnsi="仿宋" w:eastAsia="仿宋"/>
          <w:color w:val="000000" w:themeColor="text1"/>
          <w:sz w:val="32"/>
          <w:szCs w:val="24"/>
          <w:highlight w:val="whit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beforeLines="0" w:afterLines="0" w:line="600" w:lineRule="exact"/>
        <w:ind w:firstLine="420" w:firstLineChars="200"/>
        <w:jc w:val="left"/>
        <w:rPr>
          <w:rFonts w:hint="eastAsia" w:ascii="仿宋" w:hAnsi="仿宋" w:eastAsia="仿宋"/>
          <w:color w:val="000000" w:themeColor="text1"/>
          <w:sz w:val="32"/>
          <w:szCs w:val="24"/>
          <w:highlight w:val="white"/>
          <w:lang w:val="en-US" w:eastAsia="zh-CN"/>
          <w14:textFill>
            <w14:solidFill>
              <w14:schemeClr w14:val="tx1"/>
            </w14:solidFill>
          </w14:textFill>
        </w:rPr>
      </w:pPr>
      <w:r>
        <w:drawing>
          <wp:anchor distT="0" distB="0" distL="114300" distR="114300" simplePos="0" relativeHeight="251660288" behindDoc="0" locked="0" layoutInCell="1" allowOverlap="1">
            <wp:simplePos x="0" y="0"/>
            <wp:positionH relativeFrom="column">
              <wp:posOffset>256540</wp:posOffset>
            </wp:positionH>
            <wp:positionV relativeFrom="paragraph">
              <wp:posOffset>34290</wp:posOffset>
            </wp:positionV>
            <wp:extent cx="5163820" cy="2750820"/>
            <wp:effectExtent l="4445" t="4445" r="13335" b="18415"/>
            <wp:wrapTopAndBottom/>
            <wp:docPr id="4" name="图表 3" descr="7b0a202020202263686172745265734964223a202232303437323231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eastAsia" w:ascii="仿宋" w:hAnsi="仿宋" w:eastAsia="仿宋"/>
          <w:color w:val="000000" w:themeColor="text1"/>
          <w:sz w:val="32"/>
          <w:szCs w:val="24"/>
          <w:highlight w:val="white"/>
          <w:lang w:val="en-US" w:eastAsia="zh-CN"/>
          <w14:textFill>
            <w14:solidFill>
              <w14:schemeClr w14:val="tx1"/>
            </w14:solidFill>
          </w14:textFill>
        </w:rPr>
        <w:t>分项完成情况：</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rPr>
          <w:rFonts w:hint="eastAsia" w:ascii="仿宋" w:hAnsi="仿宋" w:eastAsia="仿宋"/>
          <w:color w:val="000000" w:themeColor="text1"/>
          <w:sz w:val="32"/>
          <w:szCs w:val="24"/>
          <w:highlight w:val="white"/>
          <w14:textFill>
            <w14:solidFill>
              <w14:schemeClr w14:val="tx1"/>
            </w14:solidFill>
          </w14:textFill>
        </w:rPr>
      </w:pPr>
      <w:r>
        <w:rPr>
          <w:rFonts w:hint="eastAsia" w:ascii="仿宋" w:hAnsi="仿宋" w:eastAsia="仿宋"/>
          <w:color w:val="000000" w:themeColor="text1"/>
          <w:sz w:val="32"/>
          <w:szCs w:val="24"/>
          <w:highlight w:val="white"/>
          <w14:textFill>
            <w14:solidFill>
              <w14:schemeClr w14:val="tx1"/>
            </w14:solidFill>
          </w14:textFill>
        </w:rPr>
        <w:t>增值税完成2,828万元，同比增长12.5%;</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rPr>
          <w:rFonts w:hint="eastAsia" w:ascii="仿宋" w:hAnsi="仿宋" w:eastAsia="仿宋"/>
          <w:color w:val="000000" w:themeColor="text1"/>
          <w:sz w:val="32"/>
          <w:szCs w:val="24"/>
          <w:highlight w:val="white"/>
          <w:lang w:val="en-US" w:eastAsia="zh-CN"/>
          <w14:textFill>
            <w14:solidFill>
              <w14:schemeClr w14:val="tx1"/>
            </w14:solidFill>
          </w14:textFill>
        </w:rPr>
      </w:pPr>
      <w:r>
        <w:rPr>
          <w:rFonts w:hint="eastAsia" w:ascii="仿宋" w:hAnsi="仿宋" w:eastAsia="仿宋"/>
          <w:color w:val="000000" w:themeColor="text1"/>
          <w:sz w:val="32"/>
          <w:szCs w:val="24"/>
          <w:highlight w:val="white"/>
          <w14:textFill>
            <w14:solidFill>
              <w14:schemeClr w14:val="tx1"/>
            </w14:solidFill>
          </w14:textFill>
        </w:rPr>
        <w:t>企业所得税完成</w:t>
      </w:r>
      <w:r>
        <w:rPr>
          <w:rFonts w:hint="eastAsia" w:ascii="仿宋" w:hAnsi="仿宋" w:eastAsia="仿宋"/>
          <w:color w:val="000000" w:themeColor="text1"/>
          <w:sz w:val="32"/>
          <w:szCs w:val="24"/>
          <w:highlight w:val="white"/>
          <w:lang w:val="en-US" w:eastAsia="zh-CN"/>
          <w14:textFill>
            <w14:solidFill>
              <w14:schemeClr w14:val="tx1"/>
            </w14:solidFill>
          </w14:textFill>
        </w:rPr>
        <w:t>20</w:t>
      </w:r>
      <w:r>
        <w:rPr>
          <w:rFonts w:hint="eastAsia" w:ascii="仿宋" w:hAnsi="仿宋" w:eastAsia="仿宋"/>
          <w:color w:val="000000" w:themeColor="text1"/>
          <w:sz w:val="32"/>
          <w:szCs w:val="24"/>
          <w:highlight w:val="white"/>
          <w14:textFill>
            <w14:solidFill>
              <w14:schemeClr w14:val="tx1"/>
            </w14:solidFill>
          </w14:textFill>
        </w:rPr>
        <w:t>万元，</w:t>
      </w:r>
      <w:r>
        <w:rPr>
          <w:rFonts w:hint="eastAsia" w:ascii="仿宋" w:hAnsi="仿宋" w:eastAsia="仿宋"/>
          <w:color w:val="000000" w:themeColor="text1"/>
          <w:sz w:val="32"/>
          <w:szCs w:val="24"/>
          <w:highlight w:val="white"/>
          <w:lang w:val="en-US" w:eastAsia="zh-CN"/>
          <w14:textFill>
            <w14:solidFill>
              <w14:schemeClr w14:val="tx1"/>
            </w14:solidFill>
          </w14:textFill>
        </w:rPr>
        <w:t>同比减收314万元，</w:t>
      </w:r>
      <w:r>
        <w:rPr>
          <w:rFonts w:hint="eastAsia" w:ascii="仿宋" w:hAnsi="仿宋" w:eastAsia="仿宋"/>
          <w:color w:val="000000" w:themeColor="text1"/>
          <w:sz w:val="32"/>
          <w:szCs w:val="24"/>
          <w:highlight w:val="white"/>
          <w14:textFill>
            <w14:solidFill>
              <w14:schemeClr w14:val="tx1"/>
            </w14:solidFill>
          </w14:textFill>
        </w:rPr>
        <w:t>下降94%</w:t>
      </w:r>
      <w:r>
        <w:rPr>
          <w:rFonts w:hint="eastAsia" w:ascii="仿宋" w:hAnsi="仿宋" w:eastAsia="仿宋"/>
          <w:color w:val="000000" w:themeColor="text1"/>
          <w:sz w:val="32"/>
          <w:szCs w:val="24"/>
          <w:highlight w:val="white"/>
          <w:lang w:eastAsia="zh-CN"/>
          <w14:textFill>
            <w14:solidFill>
              <w14:schemeClr w14:val="tx1"/>
            </w14:solidFill>
          </w14:textFill>
        </w:rPr>
        <w:t>，主要原因</w:t>
      </w:r>
      <w:r>
        <w:rPr>
          <w:rFonts w:hint="eastAsia" w:ascii="仿宋" w:hAnsi="仿宋" w:eastAsia="仿宋"/>
          <w:color w:val="000000" w:themeColor="text1"/>
          <w:sz w:val="32"/>
          <w:szCs w:val="24"/>
          <w:highlight w:val="white"/>
          <w:lang w:val="en-US" w:eastAsia="zh-CN"/>
          <w14:textFill>
            <w14:solidFill>
              <w14:schemeClr w14:val="tx1"/>
            </w14:solidFill>
          </w14:textFill>
        </w:rPr>
        <w:t>企业所得税清算汇缴退库企业所得税；</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rPr>
          <w:rFonts w:hint="eastAsia" w:ascii="仿宋" w:hAnsi="仿宋" w:eastAsia="仿宋"/>
          <w:color w:val="000000" w:themeColor="text1"/>
          <w:sz w:val="32"/>
          <w:szCs w:val="24"/>
          <w:highlight w:val="white"/>
          <w14:textFill>
            <w14:solidFill>
              <w14:schemeClr w14:val="tx1"/>
            </w14:solidFill>
          </w14:textFill>
        </w:rPr>
      </w:pPr>
      <w:r>
        <w:rPr>
          <w:rFonts w:hint="eastAsia" w:ascii="仿宋" w:hAnsi="仿宋" w:eastAsia="仿宋"/>
          <w:color w:val="000000" w:themeColor="text1"/>
          <w:sz w:val="32"/>
          <w:szCs w:val="24"/>
          <w:highlight w:val="white"/>
          <w14:textFill>
            <w14:solidFill>
              <w14:schemeClr w14:val="tx1"/>
            </w14:solidFill>
          </w14:textFill>
        </w:rPr>
        <w:t>个人所得税完成282万元</w:t>
      </w:r>
      <w:r>
        <w:rPr>
          <w:rFonts w:hint="eastAsia" w:ascii="仿宋" w:hAnsi="仿宋" w:eastAsia="仿宋"/>
          <w:color w:val="000000" w:themeColor="text1"/>
          <w:sz w:val="32"/>
          <w:szCs w:val="24"/>
          <w:highlight w:val="white"/>
          <w:lang w:eastAsia="zh-CN"/>
          <w14:textFill>
            <w14:solidFill>
              <w14:schemeClr w14:val="tx1"/>
            </w14:solidFill>
          </w14:textFill>
        </w:rPr>
        <w:t>，</w:t>
      </w:r>
      <w:r>
        <w:rPr>
          <w:rFonts w:hint="eastAsia" w:ascii="仿宋" w:hAnsi="仿宋" w:eastAsia="仿宋"/>
          <w:color w:val="000000" w:themeColor="text1"/>
          <w:sz w:val="32"/>
          <w:szCs w:val="24"/>
          <w:highlight w:val="white"/>
          <w:lang w:val="en-US" w:eastAsia="zh-CN"/>
          <w14:textFill>
            <w14:solidFill>
              <w14:schemeClr w14:val="tx1"/>
            </w14:solidFill>
          </w14:textFill>
        </w:rPr>
        <w:t>同比增加10万元，</w:t>
      </w:r>
      <w:r>
        <w:rPr>
          <w:rFonts w:hint="eastAsia" w:ascii="仿宋" w:hAnsi="仿宋" w:eastAsia="仿宋"/>
          <w:color w:val="000000" w:themeColor="text1"/>
          <w:sz w:val="32"/>
          <w:szCs w:val="24"/>
          <w:highlight w:val="white"/>
          <w14:textFill>
            <w14:solidFill>
              <w14:schemeClr w14:val="tx1"/>
            </w14:solidFill>
          </w14:textFill>
        </w:rPr>
        <w:t>增长3.7%;</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olor w:val="000000" w:themeColor="text1"/>
          <w:sz w:val="32"/>
          <w:szCs w:val="24"/>
          <w:highlight w:val="white"/>
          <w14:textFill>
            <w14:solidFill>
              <w14:schemeClr w14:val="tx1"/>
            </w14:solidFill>
          </w14:textFill>
        </w:rPr>
        <w:t>资源税完成371万元，</w:t>
      </w:r>
      <w:r>
        <w:rPr>
          <w:rFonts w:hint="eastAsia" w:ascii="仿宋" w:hAnsi="仿宋" w:eastAsia="仿宋"/>
          <w:color w:val="000000" w:themeColor="text1"/>
          <w:sz w:val="32"/>
          <w:szCs w:val="24"/>
          <w:highlight w:val="white"/>
          <w:lang w:val="en-US" w:eastAsia="zh-CN"/>
          <w14:textFill>
            <w14:solidFill>
              <w14:schemeClr w14:val="tx1"/>
            </w14:solidFill>
          </w14:textFill>
        </w:rPr>
        <w:t>同比减收</w:t>
      </w:r>
      <w:r>
        <w:rPr>
          <w:rFonts w:hint="eastAsia" w:ascii="仿宋" w:hAnsi="仿宋" w:eastAsia="仿宋"/>
          <w:color w:val="000000" w:themeColor="text1"/>
          <w:sz w:val="32"/>
          <w:szCs w:val="24"/>
          <w:highlight w:val="white"/>
          <w14:textFill>
            <w14:solidFill>
              <w14:schemeClr w14:val="tx1"/>
            </w14:solidFill>
          </w14:textFill>
        </w:rPr>
        <w:t>199</w:t>
      </w:r>
      <w:r>
        <w:rPr>
          <w:rFonts w:hint="eastAsia" w:ascii="仿宋" w:hAnsi="仿宋" w:eastAsia="仿宋"/>
          <w:color w:val="000000" w:themeColor="text1"/>
          <w:sz w:val="32"/>
          <w:szCs w:val="24"/>
          <w:highlight w:val="white"/>
          <w:lang w:val="en-US" w:eastAsia="zh-CN"/>
          <w14:textFill>
            <w14:solidFill>
              <w14:schemeClr w14:val="tx1"/>
            </w14:solidFill>
          </w14:textFill>
        </w:rPr>
        <w:t>万元，</w:t>
      </w:r>
      <w:r>
        <w:rPr>
          <w:rFonts w:hint="eastAsia" w:ascii="仿宋" w:hAnsi="仿宋" w:eastAsia="仿宋"/>
          <w:color w:val="000000" w:themeColor="text1"/>
          <w:sz w:val="32"/>
          <w:szCs w:val="24"/>
          <w:highlight w:val="white"/>
          <w14:textFill>
            <w14:solidFill>
              <w14:schemeClr w14:val="tx1"/>
            </w14:solidFill>
          </w14:textFill>
        </w:rPr>
        <w:t>下降34.9%</w:t>
      </w:r>
      <w:r>
        <w:rPr>
          <w:rFonts w:hint="eastAsia" w:ascii="仿宋" w:hAnsi="仿宋" w:eastAsia="仿宋"/>
          <w:color w:val="000000" w:themeColor="text1"/>
          <w:sz w:val="32"/>
          <w:szCs w:val="24"/>
          <w:highlight w:val="white"/>
          <w:lang w:eastAsia="zh-CN"/>
          <w14:textFill>
            <w14:solidFill>
              <w14:schemeClr w14:val="tx1"/>
            </w14:solidFill>
          </w14:textFill>
        </w:rPr>
        <w:t>，</w:t>
      </w:r>
      <w:r>
        <w:rPr>
          <w:rFonts w:hint="eastAsia" w:ascii="仿宋" w:hAnsi="仿宋" w:eastAsia="仿宋" w:cs="仿宋"/>
          <w:b w:val="0"/>
          <w:bCs w:val="0"/>
          <w:sz w:val="32"/>
          <w:szCs w:val="32"/>
          <w:lang w:val="en-US" w:eastAsia="zh-CN"/>
        </w:rPr>
        <w:t>主要原因是资源按照“生态立县、农业稳县、产业强县、文旅富县”发展思路，减少自然资源开采。</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rPr>
          <w:rFonts w:hint="eastAsia" w:ascii="仿宋" w:hAnsi="仿宋" w:eastAsia="仿宋"/>
          <w:color w:val="000000" w:themeColor="text1"/>
          <w:sz w:val="32"/>
          <w:szCs w:val="24"/>
          <w:highlight w:val="white"/>
          <w14:textFill>
            <w14:solidFill>
              <w14:schemeClr w14:val="tx1"/>
            </w14:solidFill>
          </w14:textFill>
        </w:rPr>
      </w:pPr>
      <w:r>
        <w:rPr>
          <w:rFonts w:hint="eastAsia" w:ascii="仿宋" w:hAnsi="仿宋" w:eastAsia="仿宋"/>
          <w:color w:val="000000" w:themeColor="text1"/>
          <w:sz w:val="32"/>
          <w:szCs w:val="24"/>
          <w:highlight w:val="white"/>
          <w14:textFill>
            <w14:solidFill>
              <w14:schemeClr w14:val="tx1"/>
            </w14:solidFill>
          </w14:textFill>
        </w:rPr>
        <w:t>城市维护建设税完成478万元，</w:t>
      </w:r>
      <w:r>
        <w:rPr>
          <w:rFonts w:hint="eastAsia" w:ascii="仿宋" w:hAnsi="仿宋" w:eastAsia="仿宋"/>
          <w:color w:val="000000" w:themeColor="text1"/>
          <w:sz w:val="32"/>
          <w:szCs w:val="24"/>
          <w:highlight w:val="white"/>
          <w:lang w:val="en-US" w:eastAsia="zh-CN"/>
          <w14:textFill>
            <w14:solidFill>
              <w14:schemeClr w14:val="tx1"/>
            </w14:solidFill>
          </w14:textFill>
        </w:rPr>
        <w:t>同比增加</w:t>
      </w:r>
      <w:r>
        <w:rPr>
          <w:rFonts w:hint="eastAsia" w:ascii="仿宋" w:hAnsi="仿宋" w:eastAsia="仿宋"/>
          <w:color w:val="000000" w:themeColor="text1"/>
          <w:sz w:val="32"/>
          <w:szCs w:val="24"/>
          <w:highlight w:val="white"/>
          <w14:textFill>
            <w14:solidFill>
              <w14:schemeClr w14:val="tx1"/>
            </w14:solidFill>
          </w14:textFill>
        </w:rPr>
        <w:t>123</w:t>
      </w:r>
      <w:r>
        <w:rPr>
          <w:rFonts w:hint="eastAsia" w:ascii="仿宋" w:hAnsi="仿宋" w:eastAsia="仿宋"/>
          <w:color w:val="000000" w:themeColor="text1"/>
          <w:sz w:val="32"/>
          <w:szCs w:val="24"/>
          <w:highlight w:val="white"/>
          <w:lang w:val="en-US" w:eastAsia="zh-CN"/>
          <w14:textFill>
            <w14:solidFill>
              <w14:schemeClr w14:val="tx1"/>
            </w14:solidFill>
          </w14:textFill>
        </w:rPr>
        <w:t>万元，</w:t>
      </w:r>
      <w:r>
        <w:rPr>
          <w:rFonts w:hint="eastAsia" w:ascii="仿宋" w:hAnsi="仿宋" w:eastAsia="仿宋"/>
          <w:color w:val="000000" w:themeColor="text1"/>
          <w:sz w:val="32"/>
          <w:szCs w:val="24"/>
          <w:highlight w:val="white"/>
          <w14:textFill>
            <w14:solidFill>
              <w14:schemeClr w14:val="tx1"/>
            </w14:solidFill>
          </w14:textFill>
        </w:rPr>
        <w:t>增长34.6%;</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rPr>
          <w:rFonts w:hint="eastAsia" w:ascii="仿宋" w:hAnsi="仿宋" w:eastAsia="仿宋"/>
          <w:color w:val="000000" w:themeColor="text1"/>
          <w:sz w:val="32"/>
          <w:szCs w:val="24"/>
          <w:highlight w:val="white"/>
          <w:lang w:val="en-US" w:eastAsia="zh-CN"/>
          <w14:textFill>
            <w14:solidFill>
              <w14:schemeClr w14:val="tx1"/>
            </w14:solidFill>
          </w14:textFill>
        </w:rPr>
      </w:pPr>
      <w:r>
        <w:rPr>
          <w:rFonts w:hint="eastAsia" w:ascii="仿宋" w:hAnsi="仿宋" w:eastAsia="仿宋"/>
          <w:color w:val="000000" w:themeColor="text1"/>
          <w:sz w:val="32"/>
          <w:szCs w:val="24"/>
          <w:highlight w:val="white"/>
          <w14:textFill>
            <w14:solidFill>
              <w14:schemeClr w14:val="tx1"/>
            </w14:solidFill>
          </w14:textFill>
        </w:rPr>
        <w:t>房产税完成411万元，同比</w:t>
      </w:r>
      <w:r>
        <w:rPr>
          <w:rFonts w:hint="eastAsia" w:ascii="仿宋" w:hAnsi="仿宋" w:eastAsia="仿宋"/>
          <w:color w:val="000000" w:themeColor="text1"/>
          <w:sz w:val="32"/>
          <w:szCs w:val="24"/>
          <w:highlight w:val="white"/>
          <w:lang w:val="en-US" w:eastAsia="zh-CN"/>
          <w14:textFill>
            <w14:solidFill>
              <w14:schemeClr w14:val="tx1"/>
            </w14:solidFill>
          </w14:textFill>
        </w:rPr>
        <w:t>减收255万元，</w:t>
      </w:r>
      <w:r>
        <w:rPr>
          <w:rFonts w:hint="eastAsia" w:ascii="仿宋" w:hAnsi="仿宋" w:eastAsia="仿宋"/>
          <w:color w:val="000000" w:themeColor="text1"/>
          <w:sz w:val="32"/>
          <w:szCs w:val="24"/>
          <w:highlight w:val="white"/>
          <w14:textFill>
            <w14:solidFill>
              <w14:schemeClr w14:val="tx1"/>
            </w14:solidFill>
          </w14:textFill>
        </w:rPr>
        <w:t>下降38.3%</w:t>
      </w:r>
      <w:r>
        <w:rPr>
          <w:rFonts w:hint="eastAsia" w:ascii="仿宋" w:hAnsi="仿宋" w:eastAsia="仿宋"/>
          <w:color w:val="000000" w:themeColor="text1"/>
          <w:sz w:val="32"/>
          <w:szCs w:val="24"/>
          <w:highlight w:val="white"/>
          <w:lang w:eastAsia="zh-CN"/>
          <w14:textFill>
            <w14:solidFill>
              <w14:schemeClr w14:val="tx1"/>
            </w14:solidFill>
          </w14:textFill>
        </w:rPr>
        <w:t>，</w:t>
      </w:r>
      <w:r>
        <w:rPr>
          <w:rFonts w:hint="eastAsia" w:ascii="仿宋" w:hAnsi="仿宋" w:eastAsia="仿宋"/>
          <w:color w:val="000000" w:themeColor="text1"/>
          <w:sz w:val="32"/>
          <w:szCs w:val="24"/>
          <w:highlight w:val="white"/>
          <w:lang w:val="en-US" w:eastAsia="zh-CN"/>
          <w14:textFill>
            <w14:solidFill>
              <w14:schemeClr w14:val="tx1"/>
            </w14:solidFill>
          </w14:textFill>
        </w:rPr>
        <w:t>受疫情冲击，房地产市场低迷，房产税减少。</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rPr>
          <w:rFonts w:hint="eastAsia" w:ascii="仿宋" w:hAnsi="仿宋" w:eastAsia="仿宋"/>
          <w:color w:val="000000" w:themeColor="text1"/>
          <w:sz w:val="32"/>
          <w:szCs w:val="24"/>
          <w:highlight w:val="white"/>
          <w14:textFill>
            <w14:solidFill>
              <w14:schemeClr w14:val="tx1"/>
            </w14:solidFill>
          </w14:textFill>
        </w:rPr>
      </w:pPr>
      <w:r>
        <w:rPr>
          <w:rFonts w:hint="eastAsia" w:ascii="仿宋" w:hAnsi="仿宋" w:eastAsia="仿宋"/>
          <w:color w:val="000000" w:themeColor="text1"/>
          <w:sz w:val="32"/>
          <w:szCs w:val="24"/>
          <w:highlight w:val="white"/>
          <w14:textFill>
            <w14:solidFill>
              <w14:schemeClr w14:val="tx1"/>
            </w14:solidFill>
          </w14:textFill>
        </w:rPr>
        <w:t>印花税完成187万元，同比</w:t>
      </w:r>
      <w:r>
        <w:rPr>
          <w:rFonts w:hint="eastAsia" w:ascii="仿宋" w:hAnsi="仿宋" w:eastAsia="仿宋"/>
          <w:color w:val="000000" w:themeColor="text1"/>
          <w:sz w:val="32"/>
          <w:szCs w:val="24"/>
          <w:highlight w:val="white"/>
          <w:lang w:val="en-US" w:eastAsia="zh-CN"/>
          <w14:textFill>
            <w14:solidFill>
              <w14:schemeClr w14:val="tx1"/>
            </w14:solidFill>
          </w14:textFill>
        </w:rPr>
        <w:t>减收52万元，</w:t>
      </w:r>
      <w:r>
        <w:rPr>
          <w:rFonts w:hint="eastAsia" w:ascii="仿宋" w:hAnsi="仿宋" w:eastAsia="仿宋"/>
          <w:color w:val="000000" w:themeColor="text1"/>
          <w:sz w:val="32"/>
          <w:szCs w:val="24"/>
          <w:highlight w:val="white"/>
          <w14:textFill>
            <w14:solidFill>
              <w14:schemeClr w14:val="tx1"/>
            </w14:solidFill>
          </w14:textFill>
        </w:rPr>
        <w:t>下降21.8%;</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rPr>
          <w:rFonts w:hint="eastAsia" w:ascii="仿宋" w:hAnsi="仿宋" w:eastAsia="仿宋"/>
          <w:color w:val="000000" w:themeColor="text1"/>
          <w:sz w:val="32"/>
          <w:szCs w:val="24"/>
          <w:highlight w:val="white"/>
          <w14:textFill>
            <w14:solidFill>
              <w14:schemeClr w14:val="tx1"/>
            </w14:solidFill>
          </w14:textFill>
        </w:rPr>
      </w:pPr>
      <w:r>
        <w:rPr>
          <w:rFonts w:hint="eastAsia" w:ascii="仿宋" w:hAnsi="仿宋" w:eastAsia="仿宋"/>
          <w:color w:val="000000" w:themeColor="text1"/>
          <w:sz w:val="32"/>
          <w:szCs w:val="24"/>
          <w:highlight w:val="white"/>
          <w14:textFill>
            <w14:solidFill>
              <w14:schemeClr w14:val="tx1"/>
            </w14:solidFill>
          </w14:textFill>
        </w:rPr>
        <w:t>城镇土地使用税完成50万元，</w:t>
      </w:r>
      <w:r>
        <w:rPr>
          <w:rFonts w:hint="eastAsia" w:ascii="仿宋" w:hAnsi="仿宋" w:eastAsia="仿宋"/>
          <w:color w:val="000000" w:themeColor="text1"/>
          <w:sz w:val="32"/>
          <w:szCs w:val="24"/>
          <w:highlight w:val="white"/>
          <w:lang w:val="en-US" w:eastAsia="zh-CN"/>
          <w14:textFill>
            <w14:solidFill>
              <w14:schemeClr w14:val="tx1"/>
            </w14:solidFill>
          </w14:textFill>
        </w:rPr>
        <w:t>同比减收1万元，</w:t>
      </w:r>
      <w:r>
        <w:rPr>
          <w:rFonts w:hint="eastAsia" w:ascii="仿宋" w:hAnsi="仿宋" w:eastAsia="仿宋"/>
          <w:color w:val="000000" w:themeColor="text1"/>
          <w:sz w:val="32"/>
          <w:szCs w:val="24"/>
          <w:highlight w:val="white"/>
          <w14:textFill>
            <w14:solidFill>
              <w14:schemeClr w14:val="tx1"/>
            </w14:solidFill>
          </w14:textFill>
        </w:rPr>
        <w:t>下降2%;</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rPr>
          <w:rFonts w:hint="eastAsia" w:ascii="仿宋" w:hAnsi="仿宋" w:eastAsia="仿宋"/>
          <w:color w:val="000000" w:themeColor="text1"/>
          <w:sz w:val="32"/>
          <w:szCs w:val="24"/>
          <w:highlight w:val="white"/>
          <w14:textFill>
            <w14:solidFill>
              <w14:schemeClr w14:val="tx1"/>
            </w14:solidFill>
          </w14:textFill>
        </w:rPr>
      </w:pPr>
      <w:r>
        <w:rPr>
          <w:rFonts w:hint="eastAsia" w:ascii="仿宋" w:hAnsi="仿宋" w:eastAsia="仿宋"/>
          <w:color w:val="000000" w:themeColor="text1"/>
          <w:sz w:val="32"/>
          <w:szCs w:val="24"/>
          <w:highlight w:val="white"/>
          <w14:textFill>
            <w14:solidFill>
              <w14:schemeClr w14:val="tx1"/>
            </w14:solidFill>
          </w14:textFill>
        </w:rPr>
        <w:t>土地增值税完成433万元，</w:t>
      </w:r>
      <w:r>
        <w:rPr>
          <w:rFonts w:hint="eastAsia" w:ascii="仿宋" w:hAnsi="仿宋" w:eastAsia="仿宋"/>
          <w:color w:val="000000" w:themeColor="text1"/>
          <w:sz w:val="32"/>
          <w:szCs w:val="24"/>
          <w:highlight w:val="white"/>
          <w:lang w:val="en-US" w:eastAsia="zh-CN"/>
          <w14:textFill>
            <w14:solidFill>
              <w14:schemeClr w14:val="tx1"/>
            </w14:solidFill>
          </w14:textFill>
        </w:rPr>
        <w:t>同比增加96万元，</w:t>
      </w:r>
      <w:r>
        <w:rPr>
          <w:rFonts w:hint="eastAsia" w:ascii="仿宋" w:hAnsi="仿宋" w:eastAsia="仿宋"/>
          <w:color w:val="000000" w:themeColor="text1"/>
          <w:sz w:val="32"/>
          <w:szCs w:val="24"/>
          <w:highlight w:val="white"/>
          <w14:textFill>
            <w14:solidFill>
              <w14:schemeClr w14:val="tx1"/>
            </w14:solidFill>
          </w14:textFill>
        </w:rPr>
        <w:t>增长28.5%;</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rPr>
          <w:rFonts w:hint="eastAsia" w:ascii="仿宋" w:hAnsi="仿宋" w:eastAsia="仿宋"/>
          <w:color w:val="000000" w:themeColor="text1"/>
          <w:sz w:val="32"/>
          <w:szCs w:val="24"/>
          <w:highlight w:val="white"/>
          <w14:textFill>
            <w14:solidFill>
              <w14:schemeClr w14:val="tx1"/>
            </w14:solidFill>
          </w14:textFill>
        </w:rPr>
      </w:pPr>
      <w:r>
        <w:rPr>
          <w:rFonts w:hint="eastAsia" w:ascii="仿宋" w:hAnsi="仿宋" w:eastAsia="仿宋"/>
          <w:color w:val="000000" w:themeColor="text1"/>
          <w:sz w:val="32"/>
          <w:szCs w:val="24"/>
          <w:highlight w:val="white"/>
          <w14:textFill>
            <w14:solidFill>
              <w14:schemeClr w14:val="tx1"/>
            </w14:solidFill>
          </w14:textFill>
        </w:rPr>
        <w:t>车船税完成524万元，</w:t>
      </w:r>
      <w:r>
        <w:rPr>
          <w:rFonts w:hint="eastAsia" w:ascii="仿宋" w:hAnsi="仿宋" w:eastAsia="仿宋"/>
          <w:color w:val="000000" w:themeColor="text1"/>
          <w:sz w:val="32"/>
          <w:szCs w:val="24"/>
          <w:highlight w:val="white"/>
          <w:lang w:val="en-US" w:eastAsia="zh-CN"/>
          <w14:textFill>
            <w14:solidFill>
              <w14:schemeClr w14:val="tx1"/>
            </w14:solidFill>
          </w14:textFill>
        </w:rPr>
        <w:t>同比增长</w:t>
      </w:r>
      <w:r>
        <w:rPr>
          <w:rFonts w:hint="eastAsia" w:ascii="仿宋" w:hAnsi="仿宋" w:eastAsia="仿宋"/>
          <w:color w:val="000000" w:themeColor="text1"/>
          <w:sz w:val="32"/>
          <w:szCs w:val="24"/>
          <w:highlight w:val="white"/>
          <w14:textFill>
            <w14:solidFill>
              <w14:schemeClr w14:val="tx1"/>
            </w14:solidFill>
          </w14:textFill>
        </w:rPr>
        <w:t>112</w:t>
      </w:r>
      <w:r>
        <w:rPr>
          <w:rFonts w:hint="eastAsia" w:ascii="仿宋" w:hAnsi="仿宋" w:eastAsia="仿宋"/>
          <w:color w:val="000000" w:themeColor="text1"/>
          <w:sz w:val="32"/>
          <w:szCs w:val="24"/>
          <w:highlight w:val="white"/>
          <w:lang w:val="en-US" w:eastAsia="zh-CN"/>
          <w14:textFill>
            <w14:solidFill>
              <w14:schemeClr w14:val="tx1"/>
            </w14:solidFill>
          </w14:textFill>
        </w:rPr>
        <w:t>万元，</w:t>
      </w:r>
      <w:r>
        <w:rPr>
          <w:rFonts w:hint="eastAsia" w:ascii="仿宋" w:hAnsi="仿宋" w:eastAsia="仿宋"/>
          <w:color w:val="000000" w:themeColor="text1"/>
          <w:sz w:val="32"/>
          <w:szCs w:val="24"/>
          <w:highlight w:val="white"/>
          <w14:textFill>
            <w14:solidFill>
              <w14:schemeClr w14:val="tx1"/>
            </w14:solidFill>
          </w14:textFill>
        </w:rPr>
        <w:t>增长27.2%;</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rPr>
          <w:rFonts w:hint="eastAsia" w:ascii="仿宋" w:hAnsi="仿宋" w:eastAsia="仿宋"/>
          <w:color w:val="000000" w:themeColor="text1"/>
          <w:sz w:val="32"/>
          <w:szCs w:val="24"/>
          <w:highlight w:val="white"/>
          <w14:textFill>
            <w14:solidFill>
              <w14:schemeClr w14:val="tx1"/>
            </w14:solidFill>
          </w14:textFill>
        </w:rPr>
      </w:pPr>
      <w:r>
        <w:rPr>
          <w:rFonts w:hint="eastAsia" w:ascii="仿宋" w:hAnsi="仿宋" w:eastAsia="仿宋"/>
          <w:color w:val="000000" w:themeColor="text1"/>
          <w:sz w:val="32"/>
          <w:szCs w:val="24"/>
          <w:highlight w:val="white"/>
          <w14:textFill>
            <w14:solidFill>
              <w14:schemeClr w14:val="tx1"/>
            </w14:solidFill>
          </w14:textFill>
        </w:rPr>
        <w:t>耕地占用税完成2,091万元，同比增收1,583万元，增长311.6%;主要是金紫山风电场6月入库1106万元缴纳耕地占用税。</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rPr>
          <w:rFonts w:hint="eastAsia" w:ascii="仿宋" w:hAnsi="仿宋" w:eastAsia="仿宋"/>
          <w:color w:val="000000" w:themeColor="text1"/>
          <w:sz w:val="32"/>
          <w:szCs w:val="24"/>
          <w:highlight w:val="white"/>
          <w14:textFill>
            <w14:solidFill>
              <w14:schemeClr w14:val="tx1"/>
            </w14:solidFill>
          </w14:textFill>
        </w:rPr>
      </w:pPr>
      <w:r>
        <w:rPr>
          <w:rFonts w:hint="eastAsia" w:ascii="仿宋" w:hAnsi="仿宋" w:eastAsia="仿宋"/>
          <w:color w:val="000000" w:themeColor="text1"/>
          <w:sz w:val="32"/>
          <w:szCs w:val="24"/>
          <w:highlight w:val="white"/>
          <w14:textFill>
            <w14:solidFill>
              <w14:schemeClr w14:val="tx1"/>
            </w14:solidFill>
          </w14:textFill>
        </w:rPr>
        <w:t>契税完成923万元，同比减收790万元，下降46.1%</w:t>
      </w:r>
      <w:r>
        <w:rPr>
          <w:rFonts w:hint="eastAsia" w:ascii="仿宋" w:hAnsi="仿宋" w:eastAsia="仿宋"/>
          <w:color w:val="000000" w:themeColor="text1"/>
          <w:sz w:val="32"/>
          <w:szCs w:val="24"/>
          <w:highlight w:val="white"/>
          <w:lang w:eastAsia="zh-CN"/>
          <w14:textFill>
            <w14:solidFill>
              <w14:schemeClr w14:val="tx1"/>
            </w14:solidFill>
          </w14:textFill>
        </w:rPr>
        <w:t>，受疫情冲击，房地产市场低迷，契税减少</w:t>
      </w:r>
      <w:r>
        <w:rPr>
          <w:rFonts w:hint="eastAsia" w:ascii="仿宋" w:hAnsi="仿宋" w:eastAsia="仿宋"/>
          <w:color w:val="000000" w:themeColor="text1"/>
          <w:sz w:val="32"/>
          <w:szCs w:val="24"/>
          <w:highlight w:val="whit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rPr>
          <w:rFonts w:hint="eastAsia" w:ascii="仿宋" w:hAnsi="仿宋" w:eastAsia="仿宋"/>
          <w:color w:val="000000" w:themeColor="text1"/>
          <w:sz w:val="32"/>
          <w:szCs w:val="24"/>
          <w:highlight w:val="white"/>
          <w14:textFill>
            <w14:solidFill>
              <w14:schemeClr w14:val="tx1"/>
            </w14:solidFill>
          </w14:textFill>
        </w:rPr>
      </w:pPr>
      <w:r>
        <w:rPr>
          <w:rFonts w:hint="eastAsia" w:ascii="仿宋" w:hAnsi="仿宋" w:eastAsia="仿宋"/>
          <w:color w:val="000000" w:themeColor="text1"/>
          <w:sz w:val="32"/>
          <w:szCs w:val="24"/>
          <w:highlight w:val="white"/>
          <w14:textFill>
            <w14:solidFill>
              <w14:schemeClr w14:val="tx1"/>
            </w14:solidFill>
          </w14:textFill>
        </w:rPr>
        <w:t>环境保护税完成37万元，同比增收4万元，增长12.1%。</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olor w:val="000000" w:themeColor="text1"/>
          <w:sz w:val="32"/>
          <w:szCs w:val="24"/>
          <w:highlight w:val="white"/>
          <w14:textFill>
            <w14:solidFill>
              <w14:schemeClr w14:val="tx1"/>
            </w14:solidFill>
          </w14:textFill>
        </w:rPr>
      </w:pPr>
      <w:r>
        <w:rPr>
          <w:rFonts w:hint="eastAsia" w:ascii="仿宋" w:hAnsi="仿宋" w:eastAsia="仿宋"/>
          <w:color w:val="000000" w:themeColor="text1"/>
          <w:sz w:val="32"/>
          <w:szCs w:val="24"/>
          <w:highlight w:val="white"/>
          <w14:textFill>
            <w14:solidFill>
              <w14:schemeClr w14:val="tx1"/>
            </w14:solidFill>
          </w14:textFill>
        </w:rPr>
        <w:t>专项收入完成586万元，同比增收51万元，增长9.5%;</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olor w:val="000000" w:themeColor="text1"/>
          <w:sz w:val="32"/>
          <w:szCs w:val="24"/>
          <w:highlight w:val="white"/>
          <w14:textFill>
            <w14:solidFill>
              <w14:schemeClr w14:val="tx1"/>
            </w14:solidFill>
          </w14:textFill>
        </w:rPr>
      </w:pPr>
      <w:r>
        <w:rPr>
          <w:rFonts w:hint="eastAsia" w:ascii="仿宋" w:hAnsi="仿宋" w:eastAsia="仿宋"/>
          <w:color w:val="000000" w:themeColor="text1"/>
          <w:sz w:val="32"/>
          <w:szCs w:val="24"/>
          <w:highlight w:val="white"/>
          <w14:textFill>
            <w14:solidFill>
              <w14:schemeClr w14:val="tx1"/>
            </w14:solidFill>
          </w14:textFill>
        </w:rPr>
        <w:t>行政事业性收费收入完成2,366万元，同比增收569万元，增长31.7%;</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olor w:val="000000" w:themeColor="text1"/>
          <w:sz w:val="32"/>
          <w:szCs w:val="24"/>
          <w:highlight w:val="white"/>
          <w:lang w:eastAsia="zh-CN"/>
          <w14:textFill>
            <w14:solidFill>
              <w14:schemeClr w14:val="tx1"/>
            </w14:solidFill>
          </w14:textFill>
        </w:rPr>
      </w:pPr>
      <w:r>
        <w:rPr>
          <w:rFonts w:hint="eastAsia" w:ascii="仿宋" w:hAnsi="仿宋" w:eastAsia="仿宋"/>
          <w:color w:val="000000" w:themeColor="text1"/>
          <w:sz w:val="32"/>
          <w:szCs w:val="24"/>
          <w:highlight w:val="white"/>
          <w14:textFill>
            <w14:solidFill>
              <w14:schemeClr w14:val="tx1"/>
            </w14:solidFill>
          </w14:textFill>
        </w:rPr>
        <w:t>罚没收入1,422万元，同比减收1,917万元，下降57.4%</w:t>
      </w:r>
      <w:r>
        <w:rPr>
          <w:rFonts w:hint="eastAsia" w:ascii="仿宋" w:hAnsi="仿宋" w:eastAsia="仿宋"/>
          <w:color w:val="000000" w:themeColor="text1"/>
          <w:sz w:val="32"/>
          <w:szCs w:val="24"/>
          <w:highlight w:val="white"/>
          <w:lang w:eastAsia="zh-CN"/>
          <w14:textFill>
            <w14:solidFill>
              <w14:schemeClr w14:val="tx1"/>
            </w14:solidFill>
          </w14:textFill>
        </w:rPr>
        <w:t>，罚没收入减少主要：</w:t>
      </w:r>
      <w:r>
        <w:rPr>
          <w:rFonts w:hint="eastAsia" w:ascii="仿宋" w:hAnsi="仿宋" w:eastAsia="仿宋"/>
          <w:color w:val="000000" w:themeColor="text1"/>
          <w:sz w:val="32"/>
          <w:szCs w:val="24"/>
          <w:highlight w:val="white"/>
          <w:lang w:val="en-US" w:eastAsia="zh-CN"/>
          <w14:textFill>
            <w14:solidFill>
              <w14:schemeClr w14:val="tx1"/>
            </w14:solidFill>
          </w14:textFill>
        </w:rPr>
        <w:t>一是2021年</w:t>
      </w:r>
      <w:r>
        <w:rPr>
          <w:rFonts w:hint="eastAsia" w:ascii="仿宋" w:hAnsi="仿宋" w:eastAsia="仿宋"/>
          <w:color w:val="000000" w:themeColor="text1"/>
          <w:sz w:val="32"/>
          <w:szCs w:val="24"/>
          <w:highlight w:val="white"/>
          <w:lang w:eastAsia="zh-CN"/>
          <w14:textFill>
            <w14:solidFill>
              <w14:schemeClr w14:val="tx1"/>
            </w14:solidFill>
          </w14:textFill>
        </w:rPr>
        <w:t>法院一次性上交扫黑除恶案件罚没款1010万元，本</w:t>
      </w:r>
      <w:r>
        <w:rPr>
          <w:rFonts w:hint="eastAsia" w:ascii="仿宋" w:hAnsi="仿宋" w:eastAsia="仿宋"/>
          <w:color w:val="000000" w:themeColor="text1"/>
          <w:sz w:val="32"/>
          <w:szCs w:val="24"/>
          <w:highlight w:val="white"/>
          <w:lang w:val="en-US" w:eastAsia="zh-CN"/>
          <w14:textFill>
            <w14:solidFill>
              <w14:schemeClr w14:val="tx1"/>
            </w14:solidFill>
          </w14:textFill>
        </w:rPr>
        <w:t>年大幅减少；二是</w:t>
      </w:r>
      <w:r>
        <w:rPr>
          <w:rFonts w:hint="eastAsia" w:ascii="仿宋" w:hAnsi="仿宋" w:eastAsia="仿宋"/>
          <w:color w:val="000000" w:themeColor="text1"/>
          <w:sz w:val="32"/>
          <w:szCs w:val="24"/>
          <w:highlight w:val="white"/>
          <w:lang w:eastAsia="zh-CN"/>
          <w14:textFill>
            <w14:solidFill>
              <w14:schemeClr w14:val="tx1"/>
            </w14:solidFill>
          </w14:textFill>
        </w:rPr>
        <w:t>交通罚没减少，</w:t>
      </w:r>
      <w:r>
        <w:rPr>
          <w:rFonts w:hint="eastAsia" w:ascii="仿宋" w:hAnsi="仿宋" w:eastAsia="仿宋"/>
          <w:color w:val="000000" w:themeColor="text1"/>
          <w:sz w:val="32"/>
          <w:szCs w:val="24"/>
          <w:highlight w:val="white"/>
          <w:lang w:val="en-US" w:eastAsia="zh-CN"/>
          <w14:textFill>
            <w14:solidFill>
              <w14:schemeClr w14:val="tx1"/>
            </w14:solidFill>
          </w14:textFill>
        </w:rPr>
        <w:t>由于2021年</w:t>
      </w:r>
      <w:r>
        <w:rPr>
          <w:rFonts w:hint="eastAsia" w:ascii="仿宋" w:hAnsi="仿宋" w:eastAsia="仿宋"/>
          <w:color w:val="000000" w:themeColor="text1"/>
          <w:sz w:val="32"/>
          <w:szCs w:val="24"/>
          <w:highlight w:val="white"/>
          <w:lang w:eastAsia="zh-CN"/>
          <w14:textFill>
            <w14:solidFill>
              <w14:schemeClr w14:val="tx1"/>
            </w14:solidFill>
          </w14:textFill>
        </w:rPr>
        <w:t>为维持县城和乡镇交通秩序，新增违规抓拍点，导致交通罚没款较多。三清缴林地占用、乱砍林地罚没款711万元。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olor w:val="000000" w:themeColor="text1"/>
          <w:sz w:val="32"/>
          <w:szCs w:val="24"/>
          <w:highlight w:val="white"/>
          <w14:textFill>
            <w14:solidFill>
              <w14:schemeClr w14:val="tx1"/>
            </w14:solidFill>
          </w14:textFill>
        </w:rPr>
        <w:t>有资源（资产）有偿使用收入完成1,470万元，同比增收525万元，增长55.6%</w:t>
      </w:r>
      <w:r>
        <w:rPr>
          <w:rFonts w:hint="eastAsia" w:ascii="仿宋" w:hAnsi="仿宋" w:eastAsia="仿宋"/>
          <w:color w:val="000000" w:themeColor="text1"/>
          <w:sz w:val="32"/>
          <w:szCs w:val="24"/>
          <w:highlight w:val="white"/>
          <w:lang w:eastAsia="zh-CN"/>
          <w14:textFill>
            <w14:solidFill>
              <w14:schemeClr w14:val="tx1"/>
            </w14:solidFill>
          </w14:textFill>
        </w:rPr>
        <w:t>，</w:t>
      </w:r>
      <w:r>
        <w:rPr>
          <w:rFonts w:hint="eastAsia" w:ascii="仿宋" w:hAnsi="仿宋" w:eastAsia="仿宋" w:cs="仿宋"/>
          <w:b w:val="0"/>
          <w:bCs w:val="0"/>
          <w:sz w:val="32"/>
          <w:szCs w:val="32"/>
          <w:lang w:val="en-US" w:eastAsia="zh-CN"/>
        </w:rPr>
        <w:t>在2022年财经秩序专项活动中，国土将历年未及时缴国矿产资源专项收入缴入国库款，县级分享750万元。</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olor w:val="000000" w:themeColor="text1"/>
          <w:sz w:val="32"/>
          <w:szCs w:val="24"/>
          <w:highlight w:val="white"/>
          <w:lang w:val="en-US" w:eastAsia="zh-CN"/>
          <w14:textFill>
            <w14:solidFill>
              <w14:schemeClr w14:val="tx1"/>
            </w14:solidFill>
          </w14:textFill>
        </w:rPr>
      </w:pPr>
      <w:r>
        <w:rPr>
          <w:rFonts w:hint="eastAsia" w:ascii="仿宋" w:hAnsi="仿宋" w:eastAsia="仿宋"/>
          <w:color w:val="000000" w:themeColor="text1"/>
          <w:sz w:val="32"/>
          <w:szCs w:val="24"/>
          <w:highlight w:val="white"/>
          <w14:textFill>
            <w14:solidFill>
              <w14:schemeClr w14:val="tx1"/>
            </w14:solidFill>
          </w14:textFill>
        </w:rPr>
        <w:t>政府住房基金收入完成138万元，同比增收138万元，增长0%</w:t>
      </w:r>
      <w:r>
        <w:rPr>
          <w:rFonts w:hint="eastAsia" w:ascii="仿宋" w:hAnsi="仿宋" w:eastAsia="仿宋"/>
          <w:color w:val="000000" w:themeColor="text1"/>
          <w:sz w:val="32"/>
          <w:szCs w:val="24"/>
          <w:highlight w:val="white"/>
          <w:lang w:eastAsia="zh-CN"/>
          <w14:textFill>
            <w14:solidFill>
              <w14:schemeClr w14:val="tx1"/>
            </w14:solidFill>
          </w14:textFill>
        </w:rPr>
        <w:t>，主要</w:t>
      </w:r>
      <w:r>
        <w:rPr>
          <w:rFonts w:hint="eastAsia" w:ascii="仿宋" w:hAnsi="仿宋" w:eastAsia="仿宋"/>
          <w:color w:val="000000" w:themeColor="text1"/>
          <w:sz w:val="32"/>
          <w:szCs w:val="24"/>
          <w:highlight w:val="white"/>
          <w:lang w:val="en-US" w:eastAsia="zh-CN"/>
          <w14:textFill>
            <w14:solidFill>
              <w14:schemeClr w14:val="tx1"/>
            </w14:solidFill>
          </w14:textFill>
        </w:rPr>
        <w:t>补缴历年公租房租金。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pPr>
      <w:r>
        <w:rPr>
          <w:rFonts w:hint="eastAsia" w:ascii="仿宋" w:hAnsi="仿宋" w:eastAsia="仿宋"/>
          <w:color w:val="000000" w:themeColor="text1"/>
          <w:sz w:val="32"/>
          <w:szCs w:val="24"/>
          <w:highlight w:val="white"/>
          <w14:textFill>
            <w14:solidFill>
              <w14:schemeClr w14:val="tx1"/>
            </w14:solidFill>
          </w14:textFill>
        </w:rPr>
        <w:t>其他收入完成111万元，同比增收107万元，增长2,675%</w:t>
      </w:r>
      <w:r>
        <w:rPr>
          <w:rFonts w:hint="eastAsia" w:ascii="仿宋" w:hAnsi="仿宋" w:eastAsia="仿宋"/>
          <w:color w:val="000000" w:themeColor="text1"/>
          <w:sz w:val="32"/>
          <w:szCs w:val="24"/>
          <w:highlight w:val="white"/>
          <w:lang w:eastAsia="zh-CN"/>
          <w14:textFill>
            <w14:solidFill>
              <w14:schemeClr w14:val="tx1"/>
            </w14:solidFill>
          </w14:textFill>
        </w:rPr>
        <w:t>，</w:t>
      </w:r>
      <w:r>
        <w:rPr>
          <w:rFonts w:hint="eastAsia" w:ascii="仿宋" w:hAnsi="仿宋" w:eastAsia="仿宋"/>
          <w:color w:val="000000" w:themeColor="text1"/>
          <w:sz w:val="32"/>
          <w:szCs w:val="24"/>
          <w:highlight w:val="white"/>
          <w:lang w:val="en-US" w:eastAsia="zh-CN"/>
          <w14:textFill>
            <w14:solidFill>
              <w14:schemeClr w14:val="tx1"/>
            </w14:solidFill>
          </w14:textFill>
        </w:rPr>
        <w:t>主要原因是在财政专户清理中，无主长期挂账其他应付款上缴。</w:t>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 w:hAnsi="仿宋" w:eastAsia="仿宋"/>
          <w:color w:val="000000" w:themeColor="text1"/>
          <w:sz w:val="32"/>
          <w:szCs w:val="24"/>
          <w:highlight w:val="white"/>
          <w14:textFill>
            <w14:solidFill>
              <w14:schemeClr w14:val="tx1"/>
            </w14:solidFill>
          </w14:textFill>
        </w:rPr>
      </w:pPr>
      <w:r>
        <w:rPr>
          <w:rFonts w:hint="eastAsia" w:ascii="仿宋" w:hAnsi="仿宋" w:eastAsia="仿宋"/>
          <w:b/>
          <w:color w:val="000000" w:themeColor="text1"/>
          <w:sz w:val="32"/>
          <w:szCs w:val="24"/>
          <w:highlight w:val="white"/>
          <w:lang w:eastAsia="zh-CN"/>
          <w14:textFill>
            <w14:solidFill>
              <w14:schemeClr w14:val="tx1"/>
            </w14:solidFill>
          </w14:textFill>
        </w:rPr>
        <w:t>（</w:t>
      </w:r>
      <w:r>
        <w:rPr>
          <w:rFonts w:hint="eastAsia" w:ascii="仿宋" w:hAnsi="仿宋" w:eastAsia="仿宋"/>
          <w:b/>
          <w:color w:val="000000" w:themeColor="text1"/>
          <w:sz w:val="32"/>
          <w:szCs w:val="24"/>
          <w:highlight w:val="white"/>
          <w:lang w:val="en-US" w:eastAsia="zh-CN"/>
          <w14:textFill>
            <w14:solidFill>
              <w14:schemeClr w14:val="tx1"/>
            </w14:solidFill>
          </w14:textFill>
        </w:rPr>
        <w:t>二</w:t>
      </w:r>
      <w:r>
        <w:rPr>
          <w:rFonts w:hint="eastAsia" w:ascii="仿宋" w:hAnsi="仿宋" w:eastAsia="仿宋"/>
          <w:b/>
          <w:color w:val="000000" w:themeColor="text1"/>
          <w:sz w:val="32"/>
          <w:szCs w:val="24"/>
          <w:highlight w:val="white"/>
          <w:lang w:eastAsia="zh-CN"/>
          <w14:textFill>
            <w14:solidFill>
              <w14:schemeClr w14:val="tx1"/>
            </w14:solidFill>
          </w14:textFill>
        </w:rPr>
        <w:t>）</w:t>
      </w:r>
      <w:r>
        <w:rPr>
          <w:rFonts w:hint="eastAsia" w:ascii="仿宋" w:hAnsi="仿宋" w:eastAsia="仿宋"/>
          <w:b/>
          <w:color w:val="000000" w:themeColor="text1"/>
          <w:sz w:val="32"/>
          <w:szCs w:val="24"/>
          <w:highlight w:val="white"/>
          <w:lang w:val="en-US" w:eastAsia="zh-CN"/>
          <w14:textFill>
            <w14:solidFill>
              <w14:schemeClr w14:val="tx1"/>
            </w14:solidFill>
          </w14:textFill>
        </w:rPr>
        <w:t>组织财政</w:t>
      </w:r>
      <w:r>
        <w:rPr>
          <w:rFonts w:hint="eastAsia" w:ascii="仿宋" w:hAnsi="仿宋" w:eastAsia="仿宋"/>
          <w:b/>
          <w:color w:val="000000" w:themeColor="text1"/>
          <w:sz w:val="32"/>
          <w:szCs w:val="24"/>
          <w:highlight w:val="white"/>
          <w14:textFill>
            <w14:solidFill>
              <w14:schemeClr w14:val="tx1"/>
            </w14:solidFill>
          </w14:textFill>
        </w:rPr>
        <w:t>收入情况</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 w:hAnsi="仿宋" w:eastAsia="仿宋"/>
          <w:color w:val="000000" w:themeColor="text1"/>
          <w:sz w:val="32"/>
          <w:szCs w:val="24"/>
          <w:highlight w:val="white"/>
          <w14:textFill>
            <w14:solidFill>
              <w14:schemeClr w14:val="tx1"/>
            </w14:solidFill>
          </w14:textFill>
        </w:rPr>
      </w:pPr>
      <w:r>
        <w:rPr>
          <w:rFonts w:hint="eastAsia" w:ascii="仿宋" w:hAnsi="仿宋" w:eastAsia="仿宋"/>
          <w:color w:val="000000" w:themeColor="text1"/>
          <w:sz w:val="32"/>
          <w:szCs w:val="24"/>
          <w:highlight w:val="white"/>
          <w14:textFill>
            <w14:solidFill>
              <w14:schemeClr w14:val="tx1"/>
            </w14:solidFill>
          </w14:textFill>
        </w:rPr>
        <w:t>2022年，全县财政总收入累计完成22,286万元，比上年同期22,424万元减收138万元，下降0.6%，其中：</w:t>
      </w:r>
      <w:r>
        <w:rPr>
          <w:rFonts w:hint="eastAsia" w:ascii="仿宋" w:hAnsi="仿宋" w:eastAsia="仿宋"/>
          <w:b/>
          <w:color w:val="000000" w:themeColor="text1"/>
          <w:sz w:val="32"/>
          <w:szCs w:val="24"/>
          <w:highlight w:val="white"/>
          <w14:textFill>
            <w14:solidFill>
              <w14:schemeClr w14:val="tx1"/>
            </w14:solidFill>
          </w14:textFill>
        </w:rPr>
        <w:t>上划中央收入</w:t>
      </w:r>
      <w:r>
        <w:rPr>
          <w:rFonts w:hint="eastAsia" w:ascii="仿宋" w:hAnsi="仿宋" w:eastAsia="仿宋"/>
          <w:color w:val="000000" w:themeColor="text1"/>
          <w:sz w:val="32"/>
          <w:szCs w:val="24"/>
          <w:highlight w:val="white"/>
          <w14:textFill>
            <w14:solidFill>
              <w14:schemeClr w14:val="tx1"/>
            </w14:solidFill>
          </w14:textFill>
        </w:rPr>
        <w:t>5,466万元，比上年同期5,692万元减收226万元，同比下降4%；</w:t>
      </w:r>
      <w:r>
        <w:rPr>
          <w:rFonts w:hint="eastAsia" w:ascii="仿宋" w:hAnsi="仿宋" w:eastAsia="仿宋"/>
          <w:b/>
          <w:color w:val="000000" w:themeColor="text1"/>
          <w:sz w:val="32"/>
          <w:szCs w:val="24"/>
          <w:highlight w:val="white"/>
          <w14:textFill>
            <w14:solidFill>
              <w14:schemeClr w14:val="tx1"/>
            </w14:solidFill>
          </w14:textFill>
        </w:rPr>
        <w:t>上划自治区收入</w:t>
      </w:r>
      <w:r>
        <w:rPr>
          <w:rFonts w:hint="eastAsia" w:ascii="仿宋" w:hAnsi="仿宋" w:eastAsia="仿宋"/>
          <w:color w:val="000000" w:themeColor="text1"/>
          <w:sz w:val="32"/>
          <w:szCs w:val="24"/>
          <w:highlight w:val="white"/>
          <w14:textFill>
            <w14:solidFill>
              <w14:schemeClr w14:val="tx1"/>
            </w14:solidFill>
          </w14:textFill>
        </w:rPr>
        <w:t>2,103万元，比上年同期2,117万元减收14万元，同比下降0.7%。</w:t>
      </w:r>
      <w:r>
        <w:rPr>
          <w:rFonts w:hint="eastAsia" w:ascii="仿宋" w:hAnsi="仿宋" w:eastAsia="仿宋"/>
          <w:b/>
          <w:color w:val="000000" w:themeColor="text1"/>
          <w:sz w:val="32"/>
          <w:szCs w:val="24"/>
          <w:highlight w:val="white"/>
          <w14:textFill>
            <w14:solidFill>
              <w14:schemeClr w14:val="tx1"/>
            </w14:solidFill>
          </w14:textFill>
        </w:rPr>
        <w:t>从征收单位完成情况来看：</w:t>
      </w:r>
      <w:r>
        <w:rPr>
          <w:rFonts w:hint="eastAsia" w:ascii="仿宋" w:hAnsi="仿宋" w:eastAsia="仿宋"/>
          <w:color w:val="000000" w:themeColor="text1"/>
          <w:sz w:val="32"/>
          <w:szCs w:val="24"/>
          <w:highlight w:val="white"/>
          <w14:textFill>
            <w14:solidFill>
              <w14:schemeClr w14:val="tx1"/>
            </w14:solidFill>
          </w14:textFill>
        </w:rPr>
        <w:t>税务部门组织收入17,019万元，占比76.4%，同比增收624万元，增长3.8%；财政部门组织收入5,267万元，占比23.6%，同比减收762万元，下降12.6%。</w:t>
      </w:r>
      <w:r>
        <w:rPr>
          <w:rFonts w:hint="eastAsia" w:ascii="仿宋" w:hAnsi="仿宋" w:eastAsia="仿宋"/>
          <w:b/>
          <w:color w:val="000000" w:themeColor="text1"/>
          <w:sz w:val="32"/>
          <w:szCs w:val="24"/>
          <w:highlight w:val="white"/>
          <w14:textFill>
            <w14:solidFill>
              <w14:schemeClr w14:val="tx1"/>
            </w14:solidFill>
          </w14:textFill>
        </w:rPr>
        <w:t>从收入结构情况来看：税收收入</w:t>
      </w:r>
      <w:r>
        <w:rPr>
          <w:rFonts w:hint="eastAsia" w:ascii="仿宋" w:hAnsi="仿宋" w:eastAsia="仿宋"/>
          <w:color w:val="000000" w:themeColor="text1"/>
          <w:sz w:val="32"/>
          <w:szCs w:val="24"/>
          <w:highlight w:val="white"/>
          <w14:textFill>
            <w14:solidFill>
              <w14:schemeClr w14:val="tx1"/>
            </w14:solidFill>
          </w14:textFill>
        </w:rPr>
        <w:t>完成16,193万元，同比增收389万元，增长2.5%</w:t>
      </w:r>
      <w:r>
        <w:rPr>
          <w:rFonts w:hint="eastAsia" w:ascii="仿宋" w:hAnsi="仿宋" w:eastAsia="仿宋"/>
          <w:color w:val="000000" w:themeColor="text1"/>
          <w:sz w:val="32"/>
          <w:szCs w:val="24"/>
          <w:highlight w:val="white"/>
          <w:lang w:eastAsia="zh-CN"/>
          <w14:textFill>
            <w14:solidFill>
              <w14:schemeClr w14:val="tx1"/>
            </w14:solidFill>
          </w14:textFill>
        </w:rPr>
        <w:t>，</w:t>
      </w:r>
      <w:r>
        <w:rPr>
          <w:rFonts w:hint="eastAsia" w:ascii="仿宋" w:hAnsi="仿宋" w:eastAsia="仿宋"/>
          <w:b/>
          <w:color w:val="000000" w:themeColor="text1"/>
          <w:sz w:val="32"/>
          <w:szCs w:val="24"/>
          <w:highlight w:val="white"/>
          <w14:textFill>
            <w14:solidFill>
              <w14:schemeClr w14:val="tx1"/>
            </w14:solidFill>
          </w14:textFill>
        </w:rPr>
        <w:t>非税收入</w:t>
      </w:r>
      <w:r>
        <w:rPr>
          <w:rFonts w:hint="eastAsia" w:ascii="仿宋" w:hAnsi="仿宋" w:eastAsia="仿宋"/>
          <w:color w:val="000000" w:themeColor="text1"/>
          <w:sz w:val="32"/>
          <w:szCs w:val="24"/>
          <w:highlight w:val="white"/>
          <w14:textFill>
            <w14:solidFill>
              <w14:schemeClr w14:val="tx1"/>
            </w14:solidFill>
          </w14:textFill>
        </w:rPr>
        <w:t>完成6093万元，同比减收527万元，下降8%。</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drawing>
          <wp:anchor distT="0" distB="0" distL="114300" distR="114300" simplePos="0" relativeHeight="251659264" behindDoc="0" locked="0" layoutInCell="1" allowOverlap="1">
            <wp:simplePos x="0" y="0"/>
            <wp:positionH relativeFrom="column">
              <wp:posOffset>-88900</wp:posOffset>
            </wp:positionH>
            <wp:positionV relativeFrom="paragraph">
              <wp:posOffset>273050</wp:posOffset>
            </wp:positionV>
            <wp:extent cx="5465445" cy="4036695"/>
            <wp:effectExtent l="4445" t="4445" r="16510" b="12700"/>
            <wp:wrapTopAndBottom/>
            <wp:docPr id="1028" name="图表 3" descr="7b0a202020202263686172745265734964223a202232303437313837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一般公共预算支出完成情况</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 w:hAnsi="仿宋" w:eastAsia="仿宋" w:cs="仿宋"/>
          <w:bCs/>
          <w:color w:val="000000"/>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年，全县一般公共财政预算支出完成</w:t>
      </w:r>
      <w:r>
        <w:rPr>
          <w:rFonts w:hint="eastAsia" w:ascii="仿宋" w:hAnsi="仿宋" w:eastAsia="仿宋" w:cs="仿宋"/>
          <w:sz w:val="32"/>
          <w:szCs w:val="32"/>
          <w:lang w:val="en-US" w:eastAsia="zh-CN"/>
        </w:rPr>
        <w:t>199401</w:t>
      </w:r>
      <w:r>
        <w:rPr>
          <w:rFonts w:hint="eastAsia" w:ascii="仿宋" w:hAnsi="仿宋" w:eastAsia="仿宋" w:cs="仿宋"/>
          <w:sz w:val="32"/>
          <w:szCs w:val="32"/>
        </w:rPr>
        <w:t>万元，</w:t>
      </w:r>
      <w:r>
        <w:rPr>
          <w:rFonts w:hint="eastAsia" w:ascii="仿宋" w:hAnsi="仿宋" w:eastAsia="仿宋" w:cs="仿宋"/>
          <w:sz w:val="32"/>
          <w:szCs w:val="32"/>
          <w:lang w:val="en-US" w:eastAsia="zh-CN"/>
        </w:rPr>
        <w:t>完成调整预算的98.1%，</w:t>
      </w:r>
      <w:r>
        <w:rPr>
          <w:rFonts w:hint="eastAsia" w:ascii="仿宋" w:hAnsi="仿宋" w:eastAsia="仿宋" w:cs="仿宋"/>
          <w:sz w:val="32"/>
          <w:szCs w:val="32"/>
        </w:rPr>
        <w:t>同比下降4.5%</w:t>
      </w:r>
      <w:r>
        <w:rPr>
          <w:rFonts w:hint="eastAsia" w:ascii="仿宋" w:hAnsi="仿宋" w:eastAsia="仿宋" w:cs="仿宋"/>
          <w:sz w:val="32"/>
          <w:szCs w:val="32"/>
          <w:lang w:eastAsia="zh-CN"/>
        </w:rPr>
        <w:t>，</w:t>
      </w:r>
      <w:r>
        <w:rPr>
          <w:rFonts w:hint="eastAsia" w:ascii="仿宋" w:hAnsi="仿宋" w:eastAsia="仿宋" w:cs="仿宋"/>
          <w:bCs/>
          <w:color w:val="000000"/>
          <w:sz w:val="32"/>
          <w:szCs w:val="32"/>
        </w:rPr>
        <w:t>其中民生支出</w:t>
      </w:r>
      <w:bookmarkStart w:id="0" w:name="OLE_LINK1"/>
      <w:r>
        <w:rPr>
          <w:rFonts w:hint="eastAsia" w:ascii="仿宋" w:hAnsi="仿宋" w:eastAsia="仿宋" w:cs="仿宋"/>
          <w:bCs/>
          <w:color w:val="000000"/>
          <w:sz w:val="32"/>
          <w:szCs w:val="32"/>
        </w:rPr>
        <w:t>164698</w:t>
      </w:r>
      <w:bookmarkEnd w:id="0"/>
      <w:r>
        <w:rPr>
          <w:rFonts w:hint="eastAsia" w:ascii="仿宋" w:hAnsi="仿宋" w:eastAsia="仿宋" w:cs="仿宋"/>
          <w:bCs/>
          <w:color w:val="000000"/>
          <w:sz w:val="32"/>
          <w:szCs w:val="32"/>
          <w:lang w:val="en-US" w:eastAsia="zh-CN"/>
        </w:rPr>
        <w:t>万元，占比82.6%</w:t>
      </w:r>
      <w:r>
        <w:rPr>
          <w:rFonts w:hint="eastAsia" w:ascii="仿宋" w:hAnsi="仿宋" w:eastAsia="仿宋" w:cs="仿宋"/>
          <w:bCs/>
          <w:color w:val="000000"/>
          <w:sz w:val="32"/>
          <w:szCs w:val="32"/>
        </w:rPr>
        <w:t>，</w:t>
      </w:r>
      <w:r>
        <w:rPr>
          <w:rFonts w:hint="eastAsia" w:ascii="仿宋" w:hAnsi="仿宋" w:eastAsia="仿宋" w:cs="仿宋"/>
          <w:bCs/>
          <w:color w:val="000000"/>
          <w:sz w:val="32"/>
          <w:szCs w:val="32"/>
          <w:lang w:val="en-US" w:eastAsia="zh-CN"/>
        </w:rPr>
        <w:t>同比下降5.9%,分项完成情况如下表：</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723" w:firstLineChars="200"/>
        <w:jc w:val="center"/>
        <w:textAlignment w:val="auto"/>
        <w:rPr>
          <w:rFonts w:hint="eastAsia" w:ascii="宋体" w:hAnsi="宋体" w:eastAsia="宋体"/>
          <w:b/>
          <w:bCs w:val="0"/>
          <w:color w:val="00000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723" w:firstLineChars="200"/>
        <w:jc w:val="center"/>
        <w:textAlignment w:val="auto"/>
        <w:rPr>
          <w:rFonts w:hint="eastAsia" w:ascii="宋体" w:hAnsi="宋体" w:eastAsia="宋体"/>
          <w:b/>
          <w:bCs w:val="0"/>
          <w:color w:val="000000"/>
          <w:sz w:val="36"/>
          <w:szCs w:val="36"/>
          <w:lang w:val="en-US" w:eastAsia="zh-CN"/>
        </w:rPr>
      </w:pPr>
      <w:r>
        <w:rPr>
          <w:rFonts w:hint="eastAsia" w:ascii="宋体" w:hAnsi="宋体" w:eastAsia="宋体"/>
          <w:b/>
          <w:bCs w:val="0"/>
          <w:color w:val="000000"/>
          <w:sz w:val="36"/>
          <w:szCs w:val="36"/>
          <w:lang w:val="en-US" w:eastAsia="zh-CN"/>
        </w:rPr>
        <w:t>2022年一般公共预算支出完成情况表</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jc w:val="right"/>
        <w:textAlignment w:val="auto"/>
        <w:rPr>
          <w:rFonts w:hint="eastAsia"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val="en-US" w:eastAsia="zh-CN"/>
        </w:rPr>
        <w:t>单位：万元</w:t>
      </w:r>
    </w:p>
    <w:tbl>
      <w:tblPr>
        <w:tblStyle w:val="4"/>
        <w:tblW w:w="867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2"/>
        <w:gridCol w:w="2720"/>
        <w:gridCol w:w="976"/>
        <w:gridCol w:w="1024"/>
        <w:gridCol w:w="976"/>
        <w:gridCol w:w="1056"/>
        <w:gridCol w:w="1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预算科目</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调整预算数</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预算完成数</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预算</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上年同期数</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同比增长</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4"/>
                <w:szCs w:val="24"/>
                <w:u w:val="none"/>
              </w:rPr>
            </w:pP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一般公共预算支出</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203211</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199401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98.1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208877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一般公共服务支出</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19388</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19327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18675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外交支出</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国防支出</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130</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130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公共安全支出</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8384</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8384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8546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教育支出</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28362</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28166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27205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科学技术支出</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2010</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2010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文化旅游体育与传媒支出</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2798</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2240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3164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社会保障和就业支出</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33862</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33762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31272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卫生健康支出</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15734</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15519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24806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节能环保支出</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1522</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1489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1338</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城乡社区支出</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17659</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16650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14883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农林水支出</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50458</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49852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48661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交通运输支出</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7910</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7430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16487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资源勘探信息等支出</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1565</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1535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商业服务业等支出</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227</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227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金融支出</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815</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815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援助其他地区支出</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自然资源海洋气象等支出</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1223</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1223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住房保障支出</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5959</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5737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粮油物资储备支出</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714</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414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灾害防治及应急管理支出</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2394</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2394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其他支出(类)</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债务付息支出</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2084</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2084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债务发行费用支出</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13</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13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116.7</w:t>
            </w:r>
          </w:p>
        </w:tc>
      </w:tr>
    </w:tbl>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增减幅度较大的项目支出情况</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“科学技术支出”2010万元，同比增长602.8%，为落实自治区科技投入占一般公共预算支出的1%，财政投入1700万元注资资源县新资公司，提升新资公司产品创新能力。</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“文化旅游体育与传媒支出”2240万元，同比下降29.2%。主要原因是2021年列支了2020年预拨经费771万元，两水苗族乡红色旅游基地设施建设项目150万元。</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卫生健康支出”15513万元，同比下降37.4%。城乡医疗保险上划市统筹减少7686万元，2021年拨付建档立卡脱贫人口、监测户、边缘户及监测对象参加城乡居民基本医疗保险费871万元，本年无此项目支出；2022年中小学教职工公补列教育科目，上年列本科目。</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“交通运输支出”7314万元，同比下降55.6%。2021年一般债转贷收入3000万用于公路建设，2022年只有909万元；2021年自治区补助车辆购置税收入补助地方资金9400万元，2022年仅25万元。</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“资源勘探工业信息等支出”1535万元，同比增长40.6%。2022年资源县本级安排新型工业发展专项资金432万元</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“商业服务业等支出”227万元，同比下降46.3%。2021年拨付电子商务进农村综合示范项目192万元，2022年只拨了122万元；供销社在2021年列支了以前年度预拨经费150万元</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“金融支出”815万元，同比增长128.3%。2022年列支了预拨经费332万元（桂惠贷）</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“自然资源海洋气象等支出”1,223万元，同比下降23.8%;2021年度列支“预拨经费”679万元</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“住房保障支出”5737万元，同比增长30.2%;2022年一般债转贷收入1129万元用于保障性住房建设，2021年无此项项目</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“粮油物资储备支出”414万元，同比下降27.9%</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2022年机构撤并资源县粮食管理调控中心不再纳入资源县粮食和物资储备局，预算未列入此项目。</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“灾害防治及应急管理支出”2394万元，同比下降22.4%。主要2021年支付2020年自然灾害救灾及恢复重建支出结转资金458万元。</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“债务发行费用支出”13万元，同比增长116.7%。2022年发行一般债比2021年多6969万元，相应发行费和付息也增加。</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一般公共预算平衡情况</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年，全县</w:t>
      </w:r>
      <w:r>
        <w:rPr>
          <w:rFonts w:hint="eastAsia" w:ascii="仿宋" w:hAnsi="仿宋" w:eastAsia="仿宋" w:cs="仿宋"/>
          <w:sz w:val="32"/>
          <w:szCs w:val="32"/>
          <w:lang w:val="en-US" w:eastAsia="zh-CN"/>
        </w:rPr>
        <w:t>一般</w:t>
      </w:r>
      <w:r>
        <w:rPr>
          <w:rFonts w:hint="eastAsia" w:ascii="仿宋" w:hAnsi="仿宋" w:eastAsia="仿宋" w:cs="仿宋"/>
          <w:sz w:val="32"/>
          <w:szCs w:val="32"/>
        </w:rPr>
        <w:t>公共财政预算财力总来源为21281</w:t>
      </w:r>
      <w:r>
        <w:rPr>
          <w:rFonts w:hint="eastAsia" w:ascii="仿宋" w:hAnsi="仿宋" w:eastAsia="仿宋" w:cs="仿宋"/>
          <w:sz w:val="32"/>
          <w:szCs w:val="32"/>
          <w:lang w:val="en-US" w:eastAsia="zh-CN"/>
        </w:rPr>
        <w:t>1</w:t>
      </w:r>
      <w:r>
        <w:rPr>
          <w:rFonts w:hint="eastAsia" w:ascii="仿宋" w:hAnsi="仿宋" w:eastAsia="仿宋" w:cs="仿宋"/>
          <w:sz w:val="32"/>
          <w:szCs w:val="32"/>
        </w:rPr>
        <w:t>万元，其中：地方公共财政预算收入</w:t>
      </w:r>
      <w:r>
        <w:rPr>
          <w:rFonts w:hint="eastAsia" w:ascii="仿宋" w:hAnsi="仿宋" w:eastAsia="仿宋" w:cs="仿宋"/>
          <w:sz w:val="32"/>
          <w:szCs w:val="32"/>
          <w:lang w:val="en-US" w:eastAsia="zh-CN"/>
        </w:rPr>
        <w:t>14717</w:t>
      </w:r>
      <w:r>
        <w:rPr>
          <w:rFonts w:hint="eastAsia" w:ascii="仿宋" w:hAnsi="仿宋" w:eastAsia="仿宋" w:cs="仿宋"/>
          <w:sz w:val="32"/>
          <w:szCs w:val="32"/>
        </w:rPr>
        <w:t>万元，上级补助</w:t>
      </w:r>
      <w:bookmarkStart w:id="1" w:name="OLE_LINK2"/>
      <w:r>
        <w:rPr>
          <w:rFonts w:hint="eastAsia" w:ascii="仿宋" w:hAnsi="仿宋" w:eastAsia="仿宋" w:cs="仿宋"/>
          <w:sz w:val="32"/>
          <w:szCs w:val="32"/>
        </w:rPr>
        <w:t>170791</w:t>
      </w:r>
      <w:bookmarkEnd w:id="1"/>
      <w:r>
        <w:rPr>
          <w:rFonts w:hint="eastAsia" w:ascii="仿宋" w:hAnsi="仿宋" w:eastAsia="仿宋" w:cs="仿宋"/>
          <w:sz w:val="32"/>
          <w:szCs w:val="32"/>
          <w:lang w:val="en-US" w:eastAsia="zh-CN"/>
        </w:rPr>
        <w:t>万元（</w:t>
      </w:r>
      <w:r>
        <w:rPr>
          <w:rFonts w:hint="eastAsia" w:ascii="仿宋" w:hAnsi="仿宋" w:eastAsia="仿宋" w:cs="仿宋"/>
          <w:sz w:val="32"/>
          <w:szCs w:val="32"/>
        </w:rPr>
        <w:t>返还性收入3240万元，一般性转移支付收入154075万元，专项转移支付收入13476万元</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债务</w:t>
      </w:r>
      <w:r>
        <w:rPr>
          <w:rFonts w:hint="eastAsia" w:ascii="仿宋" w:hAnsi="仿宋" w:eastAsia="仿宋" w:cs="仿宋"/>
          <w:sz w:val="32"/>
          <w:szCs w:val="32"/>
        </w:rPr>
        <w:t>转贷</w:t>
      </w:r>
      <w:r>
        <w:rPr>
          <w:rFonts w:hint="eastAsia" w:ascii="仿宋" w:hAnsi="仿宋" w:eastAsia="仿宋" w:cs="仿宋"/>
          <w:sz w:val="32"/>
          <w:szCs w:val="32"/>
          <w:lang w:val="en-US" w:eastAsia="zh-CN"/>
        </w:rPr>
        <w:t>收入</w:t>
      </w:r>
      <w:r>
        <w:rPr>
          <w:rFonts w:hint="eastAsia" w:ascii="仿宋" w:hAnsi="仿宋" w:eastAsia="仿宋" w:cs="仿宋"/>
          <w:sz w:val="32"/>
          <w:szCs w:val="32"/>
        </w:rPr>
        <w:t>11977万元（</w:t>
      </w:r>
      <w:r>
        <w:rPr>
          <w:rFonts w:hint="eastAsia" w:ascii="仿宋" w:hAnsi="仿宋" w:eastAsia="仿宋" w:cs="仿宋"/>
          <w:sz w:val="32"/>
          <w:szCs w:val="32"/>
          <w:lang w:val="en-US" w:eastAsia="zh-CN"/>
        </w:rPr>
        <w:t>新增一般债券转贷收入4177万，再融资债券</w:t>
      </w:r>
      <w:r>
        <w:rPr>
          <w:rFonts w:hint="eastAsia" w:ascii="仿宋" w:hAnsi="仿宋" w:eastAsia="仿宋" w:cs="仿宋"/>
          <w:sz w:val="32"/>
          <w:szCs w:val="32"/>
        </w:rPr>
        <w:t>转贷收入7800万元）,上年结余6873万元，动用预算稳定调节基金</w:t>
      </w:r>
      <w:r>
        <w:rPr>
          <w:rFonts w:hint="eastAsia" w:ascii="仿宋" w:hAnsi="仿宋" w:eastAsia="仿宋" w:cs="仿宋"/>
          <w:sz w:val="32"/>
          <w:szCs w:val="32"/>
          <w:lang w:val="en-US" w:eastAsia="zh-CN"/>
        </w:rPr>
        <w:t>408</w:t>
      </w:r>
      <w:r>
        <w:rPr>
          <w:rFonts w:hint="eastAsia" w:ascii="仿宋" w:hAnsi="仿宋" w:eastAsia="仿宋" w:cs="仿宋"/>
          <w:sz w:val="32"/>
          <w:szCs w:val="32"/>
        </w:rPr>
        <w:t>万元，调入资金</w:t>
      </w:r>
      <w:r>
        <w:rPr>
          <w:rFonts w:hint="eastAsia" w:ascii="仿宋" w:hAnsi="仿宋" w:eastAsia="仿宋" w:cs="仿宋"/>
          <w:sz w:val="32"/>
          <w:szCs w:val="32"/>
          <w:lang w:val="en-US" w:eastAsia="zh-CN"/>
        </w:rPr>
        <w:t>8045</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政府性基金调入8000万元，为实现脱贫攻坚和乡村振兴有效衔接，做好东西部交流协作，帮助我县提升乡镇医疗卫生水平，深圳市南山区卫生健康局捐赠给瓜里乡卫生院标杆化建设经费45万元</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jc w:val="center"/>
        <w:textAlignment w:val="auto"/>
        <w:rPr>
          <w:rFonts w:hint="eastAsia" w:ascii="仿宋" w:hAnsi="仿宋" w:eastAsia="仿宋" w:cs="仿宋"/>
          <w:sz w:val="32"/>
          <w:szCs w:val="32"/>
          <w:lang w:eastAsia="zh-CN"/>
        </w:rPr>
      </w:pPr>
      <w:r>
        <w:drawing>
          <wp:inline distT="0" distB="0" distL="114300" distR="114300">
            <wp:extent cx="5073015" cy="3154045"/>
            <wp:effectExtent l="4445" t="4445" r="12700" b="11430"/>
            <wp:docPr id="3" name="图表 2" descr="7b0a202020202263686172745265734964223a2022343639393534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年，全县公共财政预算总支出为21281</w:t>
      </w:r>
      <w:r>
        <w:rPr>
          <w:rFonts w:hint="eastAsia" w:ascii="仿宋" w:hAnsi="仿宋" w:eastAsia="仿宋" w:cs="仿宋"/>
          <w:sz w:val="32"/>
          <w:szCs w:val="32"/>
          <w:lang w:val="en-US" w:eastAsia="zh-CN"/>
        </w:rPr>
        <w:t>1</w:t>
      </w:r>
      <w:r>
        <w:rPr>
          <w:rFonts w:hint="eastAsia" w:ascii="仿宋" w:hAnsi="仿宋" w:eastAsia="仿宋" w:cs="仿宋"/>
          <w:sz w:val="32"/>
          <w:szCs w:val="32"/>
        </w:rPr>
        <w:t>元，其中：地方公共财政预算支出</w:t>
      </w:r>
      <w:r>
        <w:rPr>
          <w:rFonts w:hint="eastAsia" w:ascii="仿宋" w:hAnsi="仿宋" w:eastAsia="仿宋" w:cs="仿宋"/>
          <w:sz w:val="32"/>
          <w:szCs w:val="32"/>
          <w:lang w:val="en-US" w:eastAsia="zh-CN"/>
        </w:rPr>
        <w:t>199401</w:t>
      </w:r>
      <w:r>
        <w:rPr>
          <w:rFonts w:hint="eastAsia" w:ascii="仿宋" w:hAnsi="仿宋" w:eastAsia="仿宋" w:cs="仿宋"/>
          <w:sz w:val="32"/>
          <w:szCs w:val="32"/>
        </w:rPr>
        <w:t>万元，上解上级支出1833万元，债务还本支出</w:t>
      </w:r>
      <w:r>
        <w:rPr>
          <w:rFonts w:hint="eastAsia" w:ascii="仿宋" w:hAnsi="仿宋" w:eastAsia="仿宋" w:cs="仿宋"/>
          <w:sz w:val="32"/>
          <w:szCs w:val="32"/>
          <w:lang w:val="en-US" w:eastAsia="zh-CN"/>
        </w:rPr>
        <w:t>7800</w:t>
      </w:r>
      <w:r>
        <w:rPr>
          <w:rFonts w:hint="eastAsia" w:ascii="仿宋" w:hAnsi="仿宋" w:eastAsia="仿宋" w:cs="仿宋"/>
          <w:sz w:val="32"/>
          <w:szCs w:val="32"/>
        </w:rPr>
        <w:t>万元，安排预算稳定调节基金</w:t>
      </w:r>
      <w:r>
        <w:rPr>
          <w:rFonts w:hint="eastAsia" w:ascii="仿宋" w:hAnsi="仿宋" w:eastAsia="仿宋" w:cs="仿宋"/>
          <w:sz w:val="32"/>
          <w:szCs w:val="32"/>
          <w:lang w:val="en-US" w:eastAsia="zh-CN"/>
        </w:rPr>
        <w:t>80万元，</w:t>
      </w:r>
      <w:r>
        <w:rPr>
          <w:rFonts w:hint="eastAsia" w:ascii="仿宋" w:hAnsi="仿宋" w:eastAsia="仿宋" w:cs="仿宋"/>
          <w:sz w:val="32"/>
          <w:szCs w:val="32"/>
        </w:rPr>
        <w:t>结转下年支出</w:t>
      </w:r>
      <w:r>
        <w:rPr>
          <w:rFonts w:hint="eastAsia" w:ascii="仿宋" w:hAnsi="仿宋" w:eastAsia="仿宋" w:cs="仿宋"/>
          <w:sz w:val="32"/>
          <w:szCs w:val="32"/>
          <w:lang w:val="en-US" w:eastAsia="zh-CN"/>
        </w:rPr>
        <w:t>3697</w:t>
      </w:r>
      <w:r>
        <w:rPr>
          <w:rFonts w:hint="eastAsia" w:ascii="仿宋" w:hAnsi="仿宋" w:eastAsia="仿宋" w:cs="仿宋"/>
          <w:sz w:val="32"/>
          <w:szCs w:val="32"/>
        </w:rPr>
        <w:t>万元，当年收支平衡。</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二、政府基金预算收支执行情况</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年，政府性基金收入</w:t>
      </w:r>
      <w:r>
        <w:rPr>
          <w:rFonts w:hint="eastAsia" w:ascii="仿宋" w:hAnsi="仿宋" w:eastAsia="仿宋" w:cs="仿宋"/>
          <w:color w:val="000000" w:themeColor="text1"/>
          <w:sz w:val="32"/>
          <w:szCs w:val="32"/>
          <w:lang w:val="en-US" w:eastAsia="zh-CN"/>
          <w14:textFill>
            <w14:solidFill>
              <w14:schemeClr w14:val="tx1"/>
            </w14:solidFill>
          </w14:textFill>
        </w:rPr>
        <w:t>完成</w:t>
      </w:r>
      <w:r>
        <w:rPr>
          <w:rFonts w:hint="eastAsia" w:ascii="仿宋" w:hAnsi="仿宋" w:eastAsia="仿宋" w:cs="仿宋"/>
          <w:color w:val="000000" w:themeColor="text1"/>
          <w:sz w:val="32"/>
          <w:szCs w:val="32"/>
          <w14:textFill>
            <w14:solidFill>
              <w14:schemeClr w14:val="tx1"/>
            </w14:solidFill>
          </w14:textFill>
        </w:rPr>
        <w:t>20069万元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同比</w:t>
      </w:r>
      <w:r>
        <w:rPr>
          <w:rFonts w:hint="eastAsia" w:ascii="仿宋" w:hAnsi="仿宋" w:eastAsia="仿宋" w:cs="仿宋"/>
          <w:color w:val="000000" w:themeColor="text1"/>
          <w:sz w:val="32"/>
          <w:szCs w:val="32"/>
          <w14:textFill>
            <w14:solidFill>
              <w14:schemeClr w14:val="tx1"/>
            </w14:solidFill>
          </w14:textFill>
        </w:rPr>
        <w:t>减收</w:t>
      </w:r>
      <w:r>
        <w:rPr>
          <w:rFonts w:hint="eastAsia" w:ascii="仿宋" w:hAnsi="仿宋" w:eastAsia="仿宋" w:cs="仿宋"/>
          <w:color w:val="000000" w:themeColor="text1"/>
          <w:sz w:val="32"/>
          <w:szCs w:val="32"/>
          <w:lang w:val="en-US" w:eastAsia="zh-CN"/>
          <w14:textFill>
            <w14:solidFill>
              <w14:schemeClr w14:val="tx1"/>
            </w14:solidFill>
          </w14:textFill>
        </w:rPr>
        <w:t>4216万元，</w:t>
      </w:r>
      <w:r>
        <w:rPr>
          <w:rFonts w:hint="eastAsia" w:ascii="仿宋" w:hAnsi="仿宋" w:eastAsia="仿宋" w:cs="仿宋"/>
          <w:color w:val="000000" w:themeColor="text1"/>
          <w:sz w:val="32"/>
          <w:szCs w:val="32"/>
          <w14:textFill>
            <w14:solidFill>
              <w14:schemeClr w14:val="tx1"/>
            </w14:solidFill>
          </w14:textFill>
        </w:rPr>
        <w:t>下降17.4</w:t>
      </w:r>
      <w:r>
        <w:rPr>
          <w:rFonts w:hint="eastAsia" w:ascii="仿宋" w:hAnsi="仿宋" w:eastAsia="仿宋" w:cs="仿宋"/>
          <w:color w:val="000000" w:themeColor="text1"/>
          <w:sz w:val="32"/>
          <w:szCs w:val="32"/>
          <w:lang w:val="en-US" w:eastAsia="zh-CN"/>
          <w14:textFill>
            <w14:solidFill>
              <w14:schemeClr w14:val="tx1"/>
            </w14:solidFill>
          </w14:textFill>
        </w:rPr>
        <w:t>%，其中：国有土地使用权出让收入18924万元，同比下降21.2%；污水处理费收入595万元，上年无项收入，主要是补缴历年欠缴的污水处理费；棚户区改造专项债券对应项目专项收入65万元；其他地方自行试点项目收益专项债券对应项目专项收入485万元。</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政府</w:t>
      </w:r>
      <w:r>
        <w:rPr>
          <w:rFonts w:hint="eastAsia" w:ascii="仿宋" w:hAnsi="仿宋" w:eastAsia="仿宋" w:cs="仿宋"/>
          <w:sz w:val="32"/>
          <w:szCs w:val="32"/>
        </w:rPr>
        <w:t>性基金支出20895</w:t>
      </w:r>
      <w:r>
        <w:rPr>
          <w:rFonts w:hint="eastAsia" w:ascii="仿宋" w:hAnsi="仿宋" w:eastAsia="仿宋" w:cs="仿宋"/>
          <w:sz w:val="32"/>
          <w:szCs w:val="32"/>
          <w:lang w:val="en-US" w:eastAsia="zh-CN"/>
        </w:rPr>
        <w:t>万</w:t>
      </w:r>
      <w:r>
        <w:rPr>
          <w:rFonts w:hint="eastAsia" w:ascii="仿宋" w:hAnsi="仿宋" w:eastAsia="仿宋" w:cs="仿宋"/>
          <w:sz w:val="32"/>
          <w:szCs w:val="32"/>
        </w:rPr>
        <w:t>元，同比下降16.9%</w:t>
      </w:r>
      <w:r>
        <w:rPr>
          <w:rFonts w:hint="eastAsia" w:ascii="仿宋" w:hAnsi="仿宋" w:eastAsia="仿宋" w:cs="仿宋"/>
          <w:sz w:val="32"/>
          <w:szCs w:val="32"/>
          <w:lang w:eastAsia="zh-CN"/>
        </w:rPr>
        <w:t>，国家电影事业发展专项资金安排的支出</w:t>
      </w:r>
      <w:r>
        <w:rPr>
          <w:rFonts w:hint="eastAsia" w:ascii="仿宋" w:hAnsi="仿宋" w:eastAsia="仿宋" w:cs="仿宋"/>
          <w:sz w:val="32"/>
          <w:szCs w:val="32"/>
          <w:lang w:val="en-US" w:eastAsia="zh-CN"/>
        </w:rPr>
        <w:t>30万元，上年无此项收入；国有土地使用权出让收入安排的支出</w:t>
      </w:r>
      <w:r>
        <w:rPr>
          <w:rFonts w:hint="default" w:ascii="仿宋" w:hAnsi="仿宋" w:eastAsia="仿宋" w:cs="仿宋"/>
          <w:sz w:val="32"/>
          <w:szCs w:val="32"/>
          <w:lang w:val="en-US" w:eastAsia="zh-CN"/>
        </w:rPr>
        <w:t>10876</w:t>
      </w:r>
      <w:r>
        <w:rPr>
          <w:rFonts w:hint="eastAsia" w:ascii="仿宋" w:hAnsi="仿宋" w:eastAsia="仿宋" w:cs="仿宋"/>
          <w:sz w:val="32"/>
          <w:szCs w:val="32"/>
          <w:lang w:val="en-US" w:eastAsia="zh-CN"/>
        </w:rPr>
        <w:t>万元，同比下降12.2%；大中型水库移民后期扶持基金支出258万元，同比增长732.3%；大中型水库库区基金安排的支出12万元；彩票公益金安排的支出955万元，同比增长220.5%，主要原因使用上年结余。</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年，政府性基金财力总来源30280万元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其中：</w:t>
      </w:r>
      <w:r>
        <w:rPr>
          <w:rFonts w:hint="eastAsia" w:ascii="仿宋" w:hAnsi="仿宋" w:eastAsia="仿宋" w:cs="仿宋"/>
          <w:sz w:val="32"/>
          <w:szCs w:val="32"/>
        </w:rPr>
        <w:t>地方政府性基金收入实现20069万元；上级</w:t>
      </w:r>
      <w:r>
        <w:rPr>
          <w:rFonts w:hint="eastAsia" w:ascii="仿宋" w:hAnsi="仿宋" w:eastAsia="仿宋" w:cs="仿宋"/>
          <w:sz w:val="32"/>
          <w:szCs w:val="32"/>
          <w:lang w:val="en-US" w:eastAsia="zh-CN"/>
        </w:rPr>
        <w:t>基金</w:t>
      </w:r>
      <w:r>
        <w:rPr>
          <w:rFonts w:hint="eastAsia" w:ascii="仿宋" w:hAnsi="仿宋" w:eastAsia="仿宋" w:cs="仿宋"/>
          <w:sz w:val="32"/>
          <w:szCs w:val="32"/>
        </w:rPr>
        <w:t>补助收入</w:t>
      </w:r>
      <w:bookmarkStart w:id="2" w:name="OLE_LINK3"/>
      <w:r>
        <w:rPr>
          <w:rFonts w:hint="eastAsia" w:ascii="仿宋" w:hAnsi="仿宋" w:eastAsia="仿宋" w:cs="仿宋"/>
          <w:sz w:val="32"/>
          <w:szCs w:val="32"/>
        </w:rPr>
        <w:t>1358</w:t>
      </w:r>
      <w:bookmarkEnd w:id="2"/>
      <w:r>
        <w:rPr>
          <w:rFonts w:hint="eastAsia" w:ascii="仿宋" w:hAnsi="仿宋" w:eastAsia="仿宋" w:cs="仿宋"/>
          <w:sz w:val="32"/>
          <w:szCs w:val="32"/>
        </w:rPr>
        <w:t>万元；地方政府专项债务转贷收入7300万元；政府性基金上年结余1553万元</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年，安排政府性基金支出30280万元，其中：政府性基金支出20895万元；</w:t>
      </w:r>
      <w:r>
        <w:rPr>
          <w:rFonts w:hint="eastAsia" w:ascii="仿宋" w:hAnsi="仿宋" w:eastAsia="仿宋" w:cs="仿宋"/>
          <w:sz w:val="32"/>
          <w:szCs w:val="32"/>
          <w:lang w:val="en-US" w:eastAsia="zh-CN"/>
        </w:rPr>
        <w:t>调出资金8000</w:t>
      </w:r>
      <w:r>
        <w:rPr>
          <w:rFonts w:hint="eastAsia" w:ascii="仿宋" w:hAnsi="仿宋" w:eastAsia="仿宋" w:cs="仿宋"/>
          <w:sz w:val="32"/>
          <w:szCs w:val="32"/>
        </w:rPr>
        <w:t>万元；政府性基金预算年终结余1385万元，政府性基金预算当年收支平衡。</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社会保障基金</w:t>
      </w:r>
      <w:r>
        <w:rPr>
          <w:rFonts w:hint="eastAsia" w:ascii="仿宋" w:hAnsi="仿宋" w:eastAsia="仿宋" w:cs="仿宋"/>
          <w:b/>
          <w:bCs/>
          <w:sz w:val="32"/>
          <w:szCs w:val="32"/>
          <w:lang w:val="en-US" w:eastAsia="zh-CN"/>
        </w:rPr>
        <w:t>预算执行</w:t>
      </w:r>
      <w:r>
        <w:rPr>
          <w:rFonts w:hint="eastAsia" w:ascii="仿宋" w:hAnsi="仿宋" w:eastAsia="仿宋" w:cs="仿宋"/>
          <w:b/>
          <w:bCs/>
          <w:sz w:val="32"/>
          <w:szCs w:val="32"/>
        </w:rPr>
        <w:t>情况</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全县社会保险基金收入24661万元，完成年初预算的214.8%，</w:t>
      </w:r>
      <w:r>
        <w:rPr>
          <w:rFonts w:hint="eastAsia" w:ascii="仿宋" w:hAnsi="仿宋" w:eastAsia="仿宋" w:cs="仿宋"/>
          <w:sz w:val="32"/>
          <w:szCs w:val="32"/>
          <w:lang w:val="en-US" w:eastAsia="zh-CN"/>
        </w:rPr>
        <w:t>比上年减少45098万元20437万元，下降45.3%，下降原因是2021年度</w:t>
      </w:r>
      <w:r>
        <w:rPr>
          <w:rFonts w:hint="eastAsia" w:ascii="仿宋" w:hAnsi="仿宋" w:eastAsia="仿宋" w:cs="仿宋"/>
          <w:sz w:val="32"/>
          <w:szCs w:val="32"/>
        </w:rPr>
        <w:t>清算了历年养老保险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本年无此情况</w:t>
      </w:r>
      <w:r>
        <w:rPr>
          <w:rFonts w:hint="eastAsia" w:ascii="仿宋" w:hAnsi="仿宋" w:eastAsia="仿宋" w:cs="仿宋"/>
          <w:sz w:val="32"/>
          <w:szCs w:val="32"/>
        </w:rPr>
        <w:t>。其中：机关事业单位基本养老保险基金收入17542</w:t>
      </w:r>
      <w:r>
        <w:rPr>
          <w:rFonts w:hint="eastAsia" w:ascii="仿宋" w:hAnsi="仿宋" w:eastAsia="仿宋" w:cs="仿宋"/>
          <w:sz w:val="32"/>
          <w:szCs w:val="32"/>
          <w:lang w:val="en-US" w:eastAsia="zh-CN"/>
        </w:rPr>
        <w:t>万元，比上年</w:t>
      </w:r>
      <w:r>
        <w:rPr>
          <w:rFonts w:hint="eastAsia" w:ascii="仿宋" w:hAnsi="仿宋" w:eastAsia="仿宋" w:cs="仿宋"/>
          <w:sz w:val="32"/>
          <w:szCs w:val="32"/>
        </w:rPr>
        <w:t>39190万元</w:t>
      </w:r>
      <w:r>
        <w:rPr>
          <w:rFonts w:hint="eastAsia" w:ascii="仿宋" w:hAnsi="仿宋" w:eastAsia="仿宋" w:cs="仿宋"/>
          <w:sz w:val="32"/>
          <w:szCs w:val="32"/>
          <w:lang w:val="en-US" w:eastAsia="zh-CN"/>
        </w:rPr>
        <w:t>减少21648万元，下降55.2%，主要原因是2021年</w:t>
      </w:r>
      <w:r>
        <w:rPr>
          <w:rFonts w:hint="eastAsia" w:ascii="仿宋" w:hAnsi="仿宋" w:eastAsia="仿宋" w:cs="仿宋"/>
          <w:sz w:val="32"/>
          <w:szCs w:val="32"/>
        </w:rPr>
        <w:t>清算了14-16年的机关养老保险支出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22年无此情况</w:t>
      </w:r>
      <w:r>
        <w:rPr>
          <w:rFonts w:hint="eastAsia" w:ascii="仿宋" w:hAnsi="仿宋" w:eastAsia="仿宋" w:cs="仿宋"/>
          <w:sz w:val="32"/>
          <w:szCs w:val="32"/>
        </w:rPr>
        <w:t>；城乡居民基本养老保险基金收入7119</w:t>
      </w:r>
      <w:r>
        <w:rPr>
          <w:rFonts w:hint="eastAsia" w:ascii="仿宋" w:hAnsi="仿宋" w:eastAsia="仿宋" w:cs="仿宋"/>
          <w:sz w:val="32"/>
          <w:szCs w:val="32"/>
          <w:lang w:val="en-US" w:eastAsia="zh-CN"/>
        </w:rPr>
        <w:t>万元，比上年</w:t>
      </w:r>
      <w:r>
        <w:rPr>
          <w:rFonts w:hint="eastAsia" w:ascii="仿宋" w:hAnsi="仿宋" w:eastAsia="仿宋" w:cs="仿宋"/>
          <w:sz w:val="32"/>
          <w:szCs w:val="32"/>
        </w:rPr>
        <w:t>5908万元</w:t>
      </w:r>
      <w:r>
        <w:rPr>
          <w:rFonts w:hint="eastAsia" w:ascii="仿宋" w:hAnsi="仿宋" w:eastAsia="仿宋" w:cs="仿宋"/>
          <w:sz w:val="32"/>
          <w:szCs w:val="32"/>
          <w:lang w:val="en-US" w:eastAsia="zh-CN"/>
        </w:rPr>
        <w:t>1211万元，增长20%，</w:t>
      </w:r>
      <w:r>
        <w:rPr>
          <w:rFonts w:hint="eastAsia" w:ascii="仿宋" w:hAnsi="仿宋" w:eastAsia="仿宋" w:cs="仿宋"/>
          <w:sz w:val="32"/>
          <w:szCs w:val="32"/>
        </w:rPr>
        <w:t>；全县社会保险基金预算支出20189万元，完成年初预算的216.6%，</w:t>
      </w:r>
      <w:r>
        <w:rPr>
          <w:rFonts w:hint="eastAsia" w:ascii="仿宋" w:hAnsi="仿宋" w:eastAsia="仿宋" w:cs="仿宋"/>
          <w:sz w:val="32"/>
          <w:szCs w:val="32"/>
          <w:lang w:val="en-US" w:eastAsia="zh-CN"/>
        </w:rPr>
        <w:t>比上年41550万减少21361万元，下降51.4%</w:t>
      </w:r>
      <w:r>
        <w:rPr>
          <w:rFonts w:hint="eastAsia" w:ascii="仿宋" w:hAnsi="仿宋" w:eastAsia="仿宋" w:cs="仿宋"/>
          <w:sz w:val="32"/>
          <w:szCs w:val="32"/>
        </w:rPr>
        <w:t>，</w:t>
      </w:r>
      <w:r>
        <w:rPr>
          <w:rFonts w:hint="eastAsia" w:ascii="仿宋" w:hAnsi="仿宋" w:eastAsia="仿宋" w:cs="仿宋"/>
          <w:sz w:val="32"/>
          <w:szCs w:val="32"/>
          <w:lang w:val="en-US" w:eastAsia="zh-CN"/>
        </w:rPr>
        <w:t>下降原因2021年</w:t>
      </w:r>
      <w:r>
        <w:rPr>
          <w:rFonts w:hint="eastAsia" w:ascii="仿宋" w:hAnsi="仿宋" w:eastAsia="仿宋" w:cs="仿宋"/>
          <w:sz w:val="32"/>
          <w:szCs w:val="32"/>
        </w:rPr>
        <w:t>清算了14-16年的机关养老保险支出。其中：机关事业单位基本养老保险基金支出15976万元；城乡居民基本养老保险基金支出4213万元。</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收支相抵，全县社会保险基金预算当年结余4472万元，滚存结余16409万元。其中：机关事业单位基本养老保险滚存结余2292万元；城乡居民基本养老保险基金当年结余滚存结余14117万元。</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国有资本经营预算情况</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2022年，无国有资本</w:t>
      </w:r>
      <w:r>
        <w:rPr>
          <w:rFonts w:hint="eastAsia" w:ascii="仿宋" w:hAnsi="仿宋" w:eastAsia="仿宋" w:cs="仿宋"/>
          <w:sz w:val="32"/>
          <w:szCs w:val="32"/>
        </w:rPr>
        <w:t>经营预算收支</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四、地方政府债务情况</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（一）政府债务限额情况</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年，财政部核定我县政府债务限额100</w:t>
      </w:r>
      <w:r>
        <w:rPr>
          <w:rFonts w:hint="eastAsia" w:ascii="仿宋" w:hAnsi="仿宋" w:eastAsia="仿宋" w:cs="仿宋"/>
          <w:sz w:val="32"/>
          <w:szCs w:val="32"/>
          <w:lang w:val="en-US" w:eastAsia="zh-CN"/>
        </w:rPr>
        <w:t>500万元，比上年增加11500</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增长13%</w:t>
      </w:r>
      <w:r>
        <w:rPr>
          <w:rFonts w:hint="eastAsia" w:ascii="仿宋" w:hAnsi="仿宋" w:eastAsia="仿宋" w:cs="仿宋"/>
          <w:sz w:val="32"/>
          <w:szCs w:val="32"/>
        </w:rPr>
        <w:t>，其中：一般债务限额56</w:t>
      </w:r>
      <w:r>
        <w:rPr>
          <w:rFonts w:hint="eastAsia" w:ascii="仿宋" w:hAnsi="仿宋" w:eastAsia="仿宋" w:cs="仿宋"/>
          <w:sz w:val="32"/>
          <w:szCs w:val="32"/>
          <w:lang w:val="en-US" w:eastAsia="zh-CN"/>
        </w:rPr>
        <w:t>400万元，</w:t>
      </w:r>
      <w:r>
        <w:rPr>
          <w:rFonts w:hint="eastAsia" w:ascii="仿宋" w:hAnsi="仿宋" w:eastAsia="仿宋" w:cs="仿宋"/>
          <w:sz w:val="32"/>
          <w:szCs w:val="32"/>
        </w:rPr>
        <w:t>专项债务限额44100万元。</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（二）政府债务余额情况</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年期初债务余额为88096万元，其中一般债券51296万元，专项债券36800万元。本年</w:t>
      </w:r>
      <w:r>
        <w:rPr>
          <w:rFonts w:hint="eastAsia" w:ascii="仿宋" w:hAnsi="仿宋" w:eastAsia="仿宋" w:cs="仿宋"/>
          <w:sz w:val="32"/>
          <w:szCs w:val="32"/>
          <w:lang w:val="en-US" w:eastAsia="zh-CN"/>
        </w:rPr>
        <w:t>债务转贷收入19277万元，其中：</w:t>
      </w:r>
      <w:r>
        <w:rPr>
          <w:rFonts w:hint="eastAsia" w:ascii="仿宋" w:hAnsi="仿宋" w:eastAsia="仿宋" w:cs="仿宋"/>
          <w:sz w:val="32"/>
          <w:szCs w:val="32"/>
        </w:rPr>
        <w:t>一般债券11977万元、专项债券7300万元；本年地方政府债务还本支出</w:t>
      </w:r>
      <w:r>
        <w:rPr>
          <w:rFonts w:hint="eastAsia" w:ascii="仿宋" w:hAnsi="仿宋" w:eastAsia="仿宋" w:cs="仿宋"/>
          <w:sz w:val="32"/>
          <w:szCs w:val="32"/>
          <w:lang w:val="en-US" w:eastAsia="zh-CN"/>
        </w:rPr>
        <w:t>7800</w:t>
      </w:r>
      <w:r>
        <w:rPr>
          <w:rFonts w:hint="eastAsia" w:ascii="仿宋" w:hAnsi="仿宋" w:eastAsia="仿宋" w:cs="仿宋"/>
          <w:sz w:val="32"/>
          <w:szCs w:val="32"/>
        </w:rPr>
        <w:t>万元，</w:t>
      </w:r>
      <w:r>
        <w:rPr>
          <w:rFonts w:hint="eastAsia" w:ascii="仿宋" w:hAnsi="仿宋" w:eastAsia="仿宋" w:cs="仿宋"/>
          <w:sz w:val="32"/>
          <w:szCs w:val="32"/>
          <w:lang w:val="en-US" w:eastAsia="zh-CN"/>
        </w:rPr>
        <w:t>全部为一般债还本</w:t>
      </w: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年末地方政府债务余额99573万元，其中一般债券55473万元，专项债券44100万元。全县政府债务余额均控制在限额以内。</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五、财政存量资金管理情况</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2022年，财政共收回实有账户存量资金5021万元，盘活存量资金5001万元，一是安排用于消化财政暂付款2473万元，安排用于民生支出2009万元；用于其他安排519万元。</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六、财政暂付款消化情况</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2021年年末财政暂付款余额17068万元，2022年共消化财政暂付款8069万，其中：收回3258万元，转列支出2339万元，使用存量资金消化2473万元，完成年初预计消化数7262万元的123.92%，当年新增暂付款90万元，期末财政暂付款余额为9089万元，其中：2018年以前形成的暂付款余额为2293万元，2019-2022年新增暂付款余额为6795万元，年末暂付款余额占当年一般公共预算支出199401万元和政府性基金预算支出20895万元之和220296万元的4，13%，低于自治区财政厅对暂付款考评良好等级比率5%，达到自治区财政厅对暂付款考评良好等级，财政暂付款消化工作取得积极成果。</w:t>
      </w:r>
    </w:p>
    <w:p>
      <w:pPr>
        <w:pStyle w:val="2"/>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、三公经费情况</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val="en-US" w:eastAsia="zh-CN"/>
        </w:rPr>
        <w:t>2022年</w:t>
      </w:r>
      <w:r>
        <w:rPr>
          <w:rFonts w:hint="eastAsia" w:ascii="仿宋" w:hAnsi="仿宋" w:eastAsia="仿宋" w:cs="仿宋"/>
          <w:b w:val="0"/>
          <w:bCs/>
          <w:sz w:val="32"/>
          <w:szCs w:val="32"/>
        </w:rPr>
        <w:t>全县部门“三公”经费支出（口径财政拨款安排）101</w:t>
      </w: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万元，比202</w:t>
      </w: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年1185万元下降</w:t>
      </w:r>
      <w:r>
        <w:rPr>
          <w:rFonts w:hint="eastAsia" w:ascii="仿宋" w:hAnsi="仿宋" w:eastAsia="仿宋" w:cs="仿宋"/>
          <w:b w:val="0"/>
          <w:bCs/>
          <w:sz w:val="32"/>
          <w:szCs w:val="32"/>
          <w:lang w:val="en-US" w:eastAsia="zh-CN"/>
        </w:rPr>
        <w:t>14.4%</w:t>
      </w:r>
      <w:r>
        <w:rPr>
          <w:rFonts w:hint="eastAsia" w:ascii="仿宋" w:hAnsi="仿宋" w:eastAsia="仿宋" w:cs="仿宋"/>
          <w:b w:val="0"/>
          <w:bCs/>
          <w:sz w:val="32"/>
          <w:szCs w:val="32"/>
        </w:rPr>
        <w:t>。其中：公务车购置及运行维护费列支77</w:t>
      </w:r>
      <w:r>
        <w:rPr>
          <w:rFonts w:hint="eastAsia" w:ascii="仿宋" w:hAnsi="仿宋" w:eastAsia="仿宋" w:cs="仿宋"/>
          <w:b w:val="0"/>
          <w:bCs/>
          <w:sz w:val="32"/>
          <w:szCs w:val="32"/>
          <w:lang w:val="en-US" w:eastAsia="zh-CN"/>
        </w:rPr>
        <w:t>1万元</w:t>
      </w:r>
      <w:r>
        <w:rPr>
          <w:rFonts w:hint="eastAsia" w:ascii="仿宋" w:hAnsi="仿宋" w:eastAsia="仿宋" w:cs="仿宋"/>
          <w:b w:val="0"/>
          <w:bCs/>
          <w:sz w:val="32"/>
          <w:szCs w:val="32"/>
        </w:rPr>
        <w:t>，较上年</w:t>
      </w:r>
      <w:r>
        <w:rPr>
          <w:rFonts w:hint="eastAsia" w:ascii="仿宋" w:hAnsi="仿宋" w:eastAsia="仿宋" w:cs="仿宋"/>
          <w:b w:val="0"/>
          <w:bCs/>
          <w:sz w:val="32"/>
          <w:szCs w:val="32"/>
          <w:lang w:val="en-US" w:eastAsia="zh-CN"/>
        </w:rPr>
        <w:t>782</w:t>
      </w:r>
      <w:r>
        <w:rPr>
          <w:rFonts w:hint="eastAsia" w:ascii="仿宋" w:hAnsi="仿宋" w:eastAsia="仿宋" w:cs="仿宋"/>
          <w:b w:val="0"/>
          <w:bCs/>
          <w:sz w:val="32"/>
          <w:szCs w:val="32"/>
        </w:rPr>
        <w:t>万元下降</w:t>
      </w:r>
      <w:r>
        <w:rPr>
          <w:rFonts w:hint="eastAsia" w:ascii="仿宋" w:hAnsi="仿宋" w:eastAsia="仿宋" w:cs="仿宋"/>
          <w:b w:val="0"/>
          <w:bCs/>
          <w:sz w:val="32"/>
          <w:szCs w:val="32"/>
          <w:lang w:val="en-US" w:eastAsia="zh-CN"/>
        </w:rPr>
        <w:t>1.4</w:t>
      </w:r>
      <w:r>
        <w:rPr>
          <w:rFonts w:hint="eastAsia" w:ascii="仿宋" w:hAnsi="仿宋" w:eastAsia="仿宋" w:cs="仿宋"/>
          <w:b w:val="0"/>
          <w:bCs/>
          <w:sz w:val="32"/>
          <w:szCs w:val="32"/>
        </w:rPr>
        <w:t>%。公务用车购置费</w:t>
      </w:r>
      <w:r>
        <w:rPr>
          <w:rFonts w:hint="eastAsia" w:ascii="仿宋" w:hAnsi="仿宋" w:eastAsia="仿宋" w:cs="仿宋"/>
          <w:b w:val="0"/>
          <w:bCs/>
          <w:sz w:val="32"/>
          <w:szCs w:val="32"/>
          <w:lang w:val="en-US" w:eastAsia="zh-CN"/>
        </w:rPr>
        <w:t>万元169万元，比上年</w:t>
      </w:r>
      <w:r>
        <w:rPr>
          <w:rFonts w:hint="eastAsia" w:ascii="仿宋" w:hAnsi="仿宋" w:eastAsia="仿宋" w:cs="仿宋"/>
          <w:b w:val="0"/>
          <w:bCs/>
          <w:sz w:val="32"/>
          <w:szCs w:val="32"/>
        </w:rPr>
        <w:t>176万元</w:t>
      </w:r>
      <w:r>
        <w:rPr>
          <w:rFonts w:hint="eastAsia" w:ascii="仿宋" w:hAnsi="仿宋" w:eastAsia="仿宋" w:cs="仿宋"/>
          <w:b w:val="0"/>
          <w:bCs/>
          <w:sz w:val="32"/>
          <w:szCs w:val="32"/>
          <w:lang w:val="en-US" w:eastAsia="zh-CN"/>
        </w:rPr>
        <w:t>减少7万元，</w:t>
      </w:r>
      <w:r>
        <w:rPr>
          <w:rFonts w:hint="eastAsia" w:ascii="仿宋" w:hAnsi="仿宋" w:eastAsia="仿宋" w:cs="仿宋"/>
          <w:b w:val="0"/>
          <w:bCs/>
          <w:sz w:val="32"/>
          <w:szCs w:val="32"/>
        </w:rPr>
        <w:t>主要</w:t>
      </w:r>
      <w:r>
        <w:rPr>
          <w:rFonts w:hint="eastAsia" w:ascii="仿宋" w:hAnsi="仿宋" w:eastAsia="仿宋" w:cs="仿宋"/>
          <w:b w:val="0"/>
          <w:bCs/>
          <w:sz w:val="32"/>
          <w:szCs w:val="32"/>
          <w:lang w:val="en-US" w:eastAsia="zh-CN"/>
        </w:rPr>
        <w:t>公安局</w:t>
      </w:r>
      <w:r>
        <w:rPr>
          <w:rFonts w:hint="eastAsia" w:ascii="仿宋" w:hAnsi="仿宋" w:eastAsia="仿宋" w:cs="仿宋"/>
          <w:b w:val="0"/>
          <w:bCs/>
          <w:sz w:val="32"/>
          <w:szCs w:val="32"/>
        </w:rPr>
        <w:t>新购车辆</w:t>
      </w:r>
      <w:r>
        <w:rPr>
          <w:rFonts w:hint="eastAsia" w:ascii="仿宋" w:hAnsi="仿宋" w:eastAsia="仿宋" w:cs="仿宋"/>
          <w:b w:val="0"/>
          <w:bCs/>
          <w:sz w:val="32"/>
          <w:szCs w:val="32"/>
          <w:lang w:val="en-US" w:eastAsia="zh-CN"/>
        </w:rPr>
        <w:t>7</w:t>
      </w:r>
      <w:r>
        <w:rPr>
          <w:rFonts w:hint="eastAsia" w:ascii="仿宋" w:hAnsi="仿宋" w:eastAsia="仿宋" w:cs="仿宋"/>
          <w:b w:val="0"/>
          <w:bCs/>
          <w:sz w:val="32"/>
          <w:szCs w:val="32"/>
        </w:rPr>
        <w:t>辆</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后勤中心1台、纪委1台</w:t>
      </w:r>
      <w:r>
        <w:rPr>
          <w:rFonts w:hint="eastAsia" w:ascii="仿宋" w:hAnsi="仿宋" w:eastAsia="仿宋" w:cs="仿宋"/>
          <w:b w:val="0"/>
          <w:bCs/>
          <w:sz w:val="32"/>
          <w:szCs w:val="32"/>
        </w:rPr>
        <w:t>；公务车运行维护费602</w:t>
      </w:r>
      <w:r>
        <w:rPr>
          <w:rFonts w:hint="eastAsia" w:ascii="仿宋" w:hAnsi="仿宋" w:eastAsia="仿宋" w:cs="仿宋"/>
          <w:b w:val="0"/>
          <w:bCs/>
          <w:sz w:val="32"/>
          <w:szCs w:val="32"/>
          <w:lang w:val="en-US" w:eastAsia="zh-CN"/>
        </w:rPr>
        <w:t>万元</w:t>
      </w:r>
      <w:r>
        <w:rPr>
          <w:rFonts w:hint="eastAsia" w:ascii="仿宋" w:hAnsi="仿宋" w:eastAsia="仿宋" w:cs="仿宋"/>
          <w:b w:val="0"/>
          <w:bCs/>
          <w:sz w:val="32"/>
          <w:szCs w:val="32"/>
        </w:rPr>
        <w:t>，比上年</w:t>
      </w:r>
      <w:r>
        <w:rPr>
          <w:rFonts w:hint="eastAsia" w:ascii="仿宋" w:hAnsi="仿宋" w:eastAsia="仿宋" w:cs="仿宋"/>
          <w:b w:val="0"/>
          <w:bCs/>
          <w:sz w:val="32"/>
          <w:szCs w:val="32"/>
          <w:lang w:val="en-US" w:eastAsia="zh-CN"/>
        </w:rPr>
        <w:t>606</w:t>
      </w:r>
      <w:r>
        <w:rPr>
          <w:rFonts w:hint="eastAsia" w:ascii="仿宋" w:hAnsi="仿宋" w:eastAsia="仿宋" w:cs="仿宋"/>
          <w:b w:val="0"/>
          <w:bCs/>
          <w:sz w:val="32"/>
          <w:szCs w:val="32"/>
        </w:rPr>
        <w:t>万元</w:t>
      </w:r>
      <w:r>
        <w:rPr>
          <w:rFonts w:hint="eastAsia" w:ascii="仿宋" w:hAnsi="仿宋" w:eastAsia="仿宋" w:cs="仿宋"/>
          <w:b w:val="0"/>
          <w:bCs/>
          <w:sz w:val="32"/>
          <w:szCs w:val="32"/>
          <w:lang w:val="en-US" w:eastAsia="zh-CN"/>
        </w:rPr>
        <w:t>4万元</w:t>
      </w:r>
      <w:r>
        <w:rPr>
          <w:rFonts w:hint="eastAsia" w:ascii="仿宋" w:hAnsi="仿宋" w:eastAsia="仿宋" w:cs="仿宋"/>
          <w:b w:val="0"/>
          <w:bCs/>
          <w:sz w:val="32"/>
          <w:szCs w:val="32"/>
        </w:rPr>
        <w:t>。主要是因为八项规定后用车减少，车辆维护费正常下降。公务接待费列支243</w:t>
      </w:r>
      <w:r>
        <w:rPr>
          <w:rFonts w:hint="eastAsia" w:ascii="仿宋" w:hAnsi="仿宋" w:eastAsia="仿宋" w:cs="仿宋"/>
          <w:b w:val="0"/>
          <w:bCs/>
          <w:sz w:val="32"/>
          <w:szCs w:val="32"/>
          <w:lang w:val="en-US" w:eastAsia="zh-CN"/>
        </w:rPr>
        <w:t>万元</w:t>
      </w:r>
      <w:r>
        <w:rPr>
          <w:rFonts w:hint="eastAsia" w:ascii="仿宋" w:hAnsi="仿宋" w:eastAsia="仿宋" w:cs="仿宋"/>
          <w:b w:val="0"/>
          <w:bCs/>
          <w:sz w:val="32"/>
          <w:szCs w:val="32"/>
        </w:rPr>
        <w:t>，较上年40</w:t>
      </w: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万元下降</w:t>
      </w:r>
      <w:r>
        <w:rPr>
          <w:rFonts w:hint="eastAsia" w:ascii="仿宋" w:hAnsi="仿宋" w:eastAsia="仿宋" w:cs="仿宋"/>
          <w:b w:val="0"/>
          <w:bCs/>
          <w:sz w:val="32"/>
          <w:szCs w:val="32"/>
          <w:lang w:val="en-US" w:eastAsia="zh-CN"/>
        </w:rPr>
        <w:t>39.9</w:t>
      </w: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，按</w:t>
      </w:r>
      <w:r>
        <w:rPr>
          <w:rFonts w:hint="eastAsia" w:ascii="仿宋" w:hAnsi="仿宋" w:eastAsia="仿宋" w:cs="仿宋"/>
          <w:b w:val="0"/>
          <w:bCs/>
          <w:sz w:val="32"/>
          <w:szCs w:val="32"/>
        </w:rPr>
        <w:t>照中央八项规定，</w:t>
      </w:r>
      <w:r>
        <w:rPr>
          <w:rFonts w:hint="eastAsia" w:ascii="仿宋" w:hAnsi="仿宋" w:eastAsia="仿宋" w:cs="仿宋"/>
          <w:b w:val="0"/>
          <w:bCs/>
          <w:sz w:val="32"/>
          <w:szCs w:val="32"/>
          <w:lang w:eastAsia="zh-CN"/>
        </w:rPr>
        <w:t>厉行</w:t>
      </w:r>
      <w:r>
        <w:rPr>
          <w:rFonts w:hint="eastAsia" w:ascii="仿宋" w:hAnsi="仿宋" w:eastAsia="仿宋" w:cs="仿宋"/>
          <w:b w:val="0"/>
          <w:bCs/>
          <w:sz w:val="32"/>
          <w:szCs w:val="32"/>
        </w:rPr>
        <w:t>勤俭节约</w:t>
      </w:r>
      <w:r>
        <w:rPr>
          <w:rFonts w:hint="eastAsia" w:ascii="仿宋" w:hAnsi="仿宋" w:eastAsia="仿宋" w:cs="仿宋"/>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、机构人员情况</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（一）机构情况</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2022年度，纳入本地区部门决算汇编范围的独立核算单位共126个，比上年减少15个。其中，行政单位共</w:t>
      </w:r>
      <w:r>
        <w:rPr>
          <w:rFonts w:hint="eastAsia" w:ascii="仿宋" w:hAnsi="仿宋" w:eastAsia="仿宋" w:cs="仿宋"/>
          <w:sz w:val="32"/>
          <w:szCs w:val="32"/>
          <w:lang w:val="en-US" w:eastAsia="zh-CN"/>
        </w:rPr>
        <w:t>51</w:t>
      </w:r>
      <w:r>
        <w:rPr>
          <w:rFonts w:hint="eastAsia" w:ascii="仿宋" w:hAnsi="仿宋" w:eastAsia="仿宋" w:cs="仿宋"/>
          <w:sz w:val="32"/>
          <w:szCs w:val="32"/>
        </w:rPr>
        <w:t>个</w:t>
      </w:r>
      <w:r>
        <w:rPr>
          <w:rFonts w:hint="eastAsia" w:ascii="仿宋" w:hAnsi="仿宋" w:eastAsia="仿宋" w:cs="仿宋"/>
          <w:sz w:val="32"/>
          <w:szCs w:val="32"/>
          <w:lang w:val="en-US" w:eastAsia="zh-CN"/>
        </w:rPr>
        <w:t>减少2个</w:t>
      </w:r>
      <w:r>
        <w:rPr>
          <w:rFonts w:hint="eastAsia" w:ascii="仿宋" w:hAnsi="仿宋" w:eastAsia="仿宋" w:cs="仿宋"/>
          <w:sz w:val="32"/>
          <w:szCs w:val="32"/>
        </w:rPr>
        <w:t>，</w:t>
      </w:r>
      <w:r>
        <w:rPr>
          <w:rFonts w:hint="eastAsia" w:ascii="仿宋" w:hAnsi="仿宋" w:eastAsia="仿宋" w:cs="仿宋"/>
          <w:sz w:val="32"/>
          <w:szCs w:val="32"/>
          <w:lang w:val="en-US" w:eastAsia="zh-CN"/>
        </w:rPr>
        <w:t>为</w:t>
      </w:r>
      <w:r>
        <w:rPr>
          <w:rFonts w:hint="eastAsia" w:ascii="仿宋" w:hAnsi="仿宋" w:eastAsia="仿宋" w:cs="仿宋"/>
          <w:sz w:val="32"/>
          <w:szCs w:val="32"/>
        </w:rPr>
        <w:t>资源县环境保护局隶属关系改变</w:t>
      </w:r>
      <w:r>
        <w:rPr>
          <w:rFonts w:hint="eastAsia" w:ascii="仿宋" w:hAnsi="仿宋" w:eastAsia="仿宋" w:cs="仿宋"/>
          <w:sz w:val="32"/>
          <w:szCs w:val="32"/>
          <w:lang w:val="en-US" w:eastAsia="zh-CN"/>
        </w:rPr>
        <w:t>上划市级、撤销</w:t>
      </w:r>
      <w:r>
        <w:rPr>
          <w:rFonts w:hint="eastAsia" w:ascii="仿宋" w:hAnsi="仿宋" w:eastAsia="仿宋" w:cs="仿宋"/>
          <w:sz w:val="32"/>
          <w:szCs w:val="32"/>
        </w:rPr>
        <w:t>资源县森林公安局</w:t>
      </w:r>
      <w:r>
        <w:rPr>
          <w:rFonts w:hint="eastAsia" w:ascii="仿宋" w:hAnsi="仿宋" w:eastAsia="仿宋" w:cs="仿宋"/>
          <w:sz w:val="32"/>
          <w:szCs w:val="32"/>
          <w:lang w:eastAsia="zh-CN"/>
        </w:rPr>
        <w:t>。</w:t>
      </w:r>
      <w:r>
        <w:rPr>
          <w:rFonts w:hint="eastAsia" w:ascii="仿宋" w:hAnsi="仿宋" w:eastAsia="仿宋" w:cs="仿宋"/>
          <w:sz w:val="32"/>
          <w:szCs w:val="32"/>
        </w:rPr>
        <w:t>事业单位共</w:t>
      </w:r>
      <w:r>
        <w:rPr>
          <w:rFonts w:hint="eastAsia" w:ascii="仿宋" w:hAnsi="仿宋" w:eastAsia="仿宋" w:cs="仿宋"/>
          <w:sz w:val="32"/>
          <w:szCs w:val="32"/>
          <w:lang w:val="en-US" w:eastAsia="zh-CN"/>
        </w:rPr>
        <w:t>75</w:t>
      </w:r>
      <w:r>
        <w:rPr>
          <w:rFonts w:hint="eastAsia" w:ascii="仿宋" w:hAnsi="仿宋" w:eastAsia="仿宋" w:cs="仿宋"/>
          <w:sz w:val="32"/>
          <w:szCs w:val="32"/>
        </w:rPr>
        <w:t>个，比上年度减少</w:t>
      </w:r>
      <w:r>
        <w:rPr>
          <w:rFonts w:hint="eastAsia" w:ascii="仿宋" w:hAnsi="仿宋" w:eastAsia="仿宋" w:cs="仿宋"/>
          <w:sz w:val="32"/>
          <w:szCs w:val="32"/>
          <w:lang w:val="en-US" w:eastAsia="zh-CN"/>
        </w:rPr>
        <w:t>13</w:t>
      </w:r>
      <w:r>
        <w:rPr>
          <w:rFonts w:hint="eastAsia" w:ascii="仿宋" w:hAnsi="仿宋" w:eastAsia="仿宋" w:cs="仿宋"/>
          <w:sz w:val="32"/>
          <w:szCs w:val="32"/>
        </w:rPr>
        <w:t>个，新增事业单位8个（县直机关计划生育管理办公室、县后勤接待中心、县图书馆、县文化馆、县非物传承保护与农村文艺服务中心、县文物管理所、县业余体校、县计量检定测试所）</w:t>
      </w:r>
      <w:r>
        <w:rPr>
          <w:rFonts w:hint="eastAsia" w:ascii="仿宋" w:hAnsi="仿宋" w:eastAsia="仿宋" w:cs="仿宋"/>
          <w:sz w:val="32"/>
          <w:szCs w:val="32"/>
          <w:lang w:eastAsia="zh-CN"/>
        </w:rPr>
        <w:t>撤销</w:t>
      </w:r>
      <w:r>
        <w:rPr>
          <w:rFonts w:hint="eastAsia" w:ascii="仿宋" w:hAnsi="仿宋" w:eastAsia="仿宋" w:cs="仿宋"/>
          <w:sz w:val="32"/>
          <w:szCs w:val="32"/>
        </w:rPr>
        <w:t>21个（7个乡镇机构改革，将广播站、农业服务中心、计生服务站撤销成立乡镇党群和政务服务中心，由于乡镇党群和政务服务中心未单独编制预算，并入乡政府统一编制预算和核算）</w:t>
      </w:r>
      <w:r>
        <w:rPr>
          <w:rFonts w:hint="eastAsia" w:ascii="仿宋" w:hAnsi="仿宋" w:eastAsia="仿宋" w:cs="仿宋"/>
          <w:sz w:val="32"/>
          <w:szCs w:val="32"/>
          <w:lang w:eastAsia="zh-CN"/>
        </w:rPr>
        <w:t>，</w:t>
      </w:r>
      <w:r>
        <w:rPr>
          <w:rFonts w:hint="eastAsia" w:ascii="仿宋" w:hAnsi="仿宋" w:eastAsia="仿宋" w:cs="仿宋"/>
          <w:sz w:val="32"/>
          <w:szCs w:val="32"/>
        </w:rPr>
        <w:t>综上：（+8）+（-21）=-13</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both"/>
        <w:textAlignment w:val="auto"/>
        <w:rPr>
          <w:rFonts w:hint="eastAsia" w:ascii="宋体" w:hAnsi="宋体" w:eastAsia="宋体" w:cs="宋体"/>
          <w:b/>
          <w:bCs/>
          <w:sz w:val="36"/>
          <w:szCs w:val="36"/>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w:t>
      </w:r>
      <w:r>
        <w:rPr>
          <w:rFonts w:hint="eastAsia" w:ascii="仿宋" w:hAnsi="仿宋" w:eastAsia="仿宋" w:cs="仿宋"/>
          <w:b/>
          <w:bCs/>
          <w:sz w:val="32"/>
          <w:szCs w:val="32"/>
        </w:rPr>
        <w:t>人员情况</w:t>
      </w:r>
      <w:r>
        <w:rPr>
          <w:rFonts w:hint="eastAsia" w:ascii="仿宋" w:hAnsi="仿宋" w:eastAsia="仿宋" w:cs="仿宋"/>
          <w:b/>
          <w:bCs/>
          <w:sz w:val="32"/>
          <w:szCs w:val="32"/>
          <w:lang w:eastAsia="zh-CN"/>
        </w:rPr>
        <w:t>，</w:t>
      </w:r>
      <w:r>
        <w:rPr>
          <w:rFonts w:hint="eastAsia" w:ascii="仿宋" w:hAnsi="仿宋" w:eastAsia="仿宋" w:cs="仿宋"/>
          <w:sz w:val="32"/>
          <w:szCs w:val="32"/>
        </w:rPr>
        <w:t>年末实有人数</w:t>
      </w:r>
      <w:r>
        <w:rPr>
          <w:rFonts w:hint="eastAsia" w:ascii="仿宋" w:hAnsi="仿宋" w:eastAsia="仿宋" w:cs="仿宋"/>
          <w:sz w:val="32"/>
          <w:szCs w:val="32"/>
          <w:lang w:val="en-US" w:eastAsia="zh-CN"/>
        </w:rPr>
        <w:t>5113</w:t>
      </w:r>
      <w:r>
        <w:rPr>
          <w:rFonts w:hint="eastAsia" w:ascii="仿宋" w:hAnsi="仿宋" w:eastAsia="仿宋" w:cs="仿宋"/>
          <w:sz w:val="32"/>
          <w:szCs w:val="32"/>
        </w:rPr>
        <w:t>个，较上年增加122个，</w:t>
      </w:r>
      <w:r>
        <w:rPr>
          <w:rFonts w:hint="eastAsia" w:ascii="仿宋" w:hAnsi="仿宋" w:eastAsia="仿宋" w:cs="仿宋"/>
          <w:sz w:val="32"/>
          <w:szCs w:val="32"/>
          <w:lang w:val="en-US" w:eastAsia="zh-CN"/>
        </w:rPr>
        <w:t>减</w:t>
      </w:r>
      <w:r>
        <w:rPr>
          <w:rFonts w:hint="eastAsia" w:ascii="仿宋" w:hAnsi="仿宋" w:eastAsia="仿宋" w:cs="仿宋"/>
          <w:sz w:val="32"/>
          <w:szCs w:val="32"/>
        </w:rPr>
        <w:t>幅</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23</w:t>
      </w:r>
      <w:r>
        <w:rPr>
          <w:rFonts w:hint="eastAsia" w:ascii="仿宋" w:hAnsi="仿宋" w:eastAsia="仿宋" w:cs="仿宋"/>
          <w:sz w:val="32"/>
          <w:szCs w:val="32"/>
        </w:rPr>
        <w:t>%，其中：行政人员</w:t>
      </w:r>
      <w:r>
        <w:rPr>
          <w:rFonts w:hint="eastAsia" w:ascii="仿宋" w:hAnsi="仿宋" w:eastAsia="仿宋" w:cs="仿宋"/>
          <w:sz w:val="32"/>
          <w:szCs w:val="32"/>
          <w:lang w:val="en-US" w:eastAsia="zh-CN"/>
        </w:rPr>
        <w:t>976</w:t>
      </w:r>
      <w:r>
        <w:rPr>
          <w:rFonts w:hint="eastAsia" w:ascii="仿宋" w:hAnsi="仿宋" w:eastAsia="仿宋" w:cs="仿宋"/>
          <w:sz w:val="32"/>
          <w:szCs w:val="32"/>
        </w:rPr>
        <w:t>个，</w:t>
      </w:r>
      <w:r>
        <w:rPr>
          <w:rFonts w:hint="eastAsia" w:ascii="仿宋" w:hAnsi="仿宋" w:eastAsia="仿宋" w:cs="仿宋"/>
          <w:sz w:val="32"/>
          <w:szCs w:val="32"/>
          <w:lang w:val="en-US" w:eastAsia="zh-CN"/>
        </w:rPr>
        <w:t>与上年持平</w:t>
      </w:r>
      <w:r>
        <w:rPr>
          <w:rFonts w:hint="eastAsia" w:ascii="仿宋" w:hAnsi="仿宋" w:eastAsia="仿宋" w:cs="仿宋"/>
          <w:sz w:val="32"/>
          <w:szCs w:val="32"/>
        </w:rPr>
        <w:t>。</w:t>
      </w:r>
      <w:r>
        <w:rPr>
          <w:rFonts w:hint="eastAsia" w:ascii="仿宋" w:hAnsi="仿宋" w:eastAsia="仿宋" w:cs="仿宋"/>
          <w:sz w:val="32"/>
          <w:szCs w:val="32"/>
          <w:lang w:val="en-US" w:eastAsia="zh-CN"/>
        </w:rPr>
        <w:t>参公</w:t>
      </w:r>
      <w:r>
        <w:rPr>
          <w:rFonts w:hint="eastAsia" w:ascii="仿宋" w:hAnsi="仿宋" w:eastAsia="仿宋" w:cs="仿宋"/>
          <w:sz w:val="32"/>
          <w:szCs w:val="32"/>
        </w:rPr>
        <w:t>事业人员</w:t>
      </w:r>
      <w:r>
        <w:rPr>
          <w:rFonts w:hint="eastAsia" w:ascii="仿宋" w:hAnsi="仿宋" w:eastAsia="仿宋" w:cs="仿宋"/>
          <w:sz w:val="32"/>
          <w:szCs w:val="32"/>
          <w:lang w:val="en-US" w:eastAsia="zh-CN"/>
        </w:rPr>
        <w:t>392</w:t>
      </w:r>
      <w:r>
        <w:rPr>
          <w:rFonts w:hint="eastAsia" w:ascii="仿宋" w:hAnsi="仿宋" w:eastAsia="仿宋" w:cs="仿宋"/>
          <w:sz w:val="32"/>
          <w:szCs w:val="32"/>
        </w:rPr>
        <w:t>，较上年</w:t>
      </w:r>
      <w:r>
        <w:rPr>
          <w:rFonts w:hint="eastAsia" w:ascii="仿宋" w:hAnsi="仿宋" w:eastAsia="仿宋" w:cs="仿宋"/>
          <w:sz w:val="32"/>
          <w:szCs w:val="32"/>
          <w:lang w:val="en-US" w:eastAsia="zh-CN"/>
        </w:rPr>
        <w:t>减少</w:t>
      </w:r>
      <w:r>
        <w:rPr>
          <w:rFonts w:hint="eastAsia" w:ascii="仿宋" w:hAnsi="仿宋" w:eastAsia="仿宋" w:cs="仿宋"/>
          <w:sz w:val="32"/>
          <w:szCs w:val="32"/>
        </w:rPr>
        <w:t>15人，</w:t>
      </w:r>
      <w:r>
        <w:rPr>
          <w:rFonts w:hint="eastAsia" w:ascii="仿宋" w:hAnsi="仿宋" w:eastAsia="仿宋" w:cs="仿宋"/>
          <w:sz w:val="32"/>
          <w:szCs w:val="32"/>
          <w:lang w:val="en-US" w:eastAsia="zh-CN"/>
        </w:rPr>
        <w:t>减</w:t>
      </w:r>
      <w:r>
        <w:rPr>
          <w:rFonts w:hint="eastAsia" w:ascii="仿宋" w:hAnsi="仿宋" w:eastAsia="仿宋" w:cs="仿宋"/>
          <w:sz w:val="32"/>
          <w:szCs w:val="32"/>
        </w:rPr>
        <w:t>幅</w:t>
      </w:r>
      <w:r>
        <w:rPr>
          <w:rFonts w:hint="eastAsia" w:ascii="仿宋" w:hAnsi="仿宋" w:eastAsia="仿宋" w:cs="仿宋"/>
          <w:sz w:val="32"/>
          <w:szCs w:val="32"/>
          <w:lang w:val="en-US" w:eastAsia="zh-CN"/>
        </w:rPr>
        <w:t>3.69</w:t>
      </w:r>
      <w:r>
        <w:rPr>
          <w:rFonts w:hint="eastAsia" w:ascii="仿宋" w:hAnsi="仿宋" w:eastAsia="仿宋" w:cs="仿宋"/>
          <w:sz w:val="32"/>
          <w:szCs w:val="32"/>
        </w:rPr>
        <w:t>%，人员调动和晋升。</w:t>
      </w:r>
      <w:r>
        <w:rPr>
          <w:rFonts w:hint="eastAsia" w:ascii="仿宋" w:hAnsi="仿宋" w:eastAsia="仿宋" w:cs="仿宋"/>
          <w:sz w:val="32"/>
          <w:szCs w:val="32"/>
          <w:lang w:val="en-US" w:eastAsia="zh-CN"/>
        </w:rPr>
        <w:t>非参公</w:t>
      </w:r>
      <w:r>
        <w:rPr>
          <w:rFonts w:hint="eastAsia" w:ascii="仿宋" w:hAnsi="仿宋" w:eastAsia="仿宋" w:cs="仿宋"/>
          <w:sz w:val="32"/>
          <w:szCs w:val="32"/>
        </w:rPr>
        <w:t>事业人员</w:t>
      </w:r>
      <w:r>
        <w:rPr>
          <w:rFonts w:hint="eastAsia" w:ascii="仿宋" w:hAnsi="仿宋" w:eastAsia="仿宋" w:cs="仿宋"/>
          <w:sz w:val="32"/>
          <w:szCs w:val="32"/>
          <w:lang w:val="en-US" w:eastAsia="zh-CN"/>
        </w:rPr>
        <w:t>3742</w:t>
      </w:r>
      <w:r>
        <w:rPr>
          <w:rFonts w:hint="eastAsia" w:ascii="仿宋" w:hAnsi="仿宋" w:eastAsia="仿宋" w:cs="仿宋"/>
          <w:sz w:val="32"/>
          <w:szCs w:val="32"/>
        </w:rPr>
        <w:t>人，较上年</w:t>
      </w:r>
      <w:r>
        <w:rPr>
          <w:rFonts w:hint="eastAsia" w:ascii="仿宋" w:hAnsi="仿宋" w:eastAsia="仿宋" w:cs="仿宋"/>
          <w:sz w:val="32"/>
          <w:szCs w:val="32"/>
          <w:lang w:val="en-US" w:eastAsia="zh-CN"/>
        </w:rPr>
        <w:t>减少105</w:t>
      </w:r>
      <w:r>
        <w:rPr>
          <w:rFonts w:hint="eastAsia" w:ascii="仿宋" w:hAnsi="仿宋" w:eastAsia="仿宋" w:cs="仿宋"/>
          <w:sz w:val="32"/>
          <w:szCs w:val="32"/>
        </w:rPr>
        <w:t>人，</w:t>
      </w:r>
      <w:r>
        <w:rPr>
          <w:rFonts w:hint="eastAsia" w:ascii="仿宋" w:hAnsi="仿宋" w:eastAsia="仿宋" w:cs="仿宋"/>
          <w:sz w:val="32"/>
          <w:szCs w:val="32"/>
          <w:lang w:val="en-US" w:eastAsia="zh-CN"/>
        </w:rPr>
        <w:t>减幅2.73</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color w:val="000000"/>
          <w:sz w:val="32"/>
          <w:szCs w:val="32"/>
          <w:lang w:val="en-US" w:eastAsia="zh-CN"/>
        </w:rPr>
        <w:t>人员老年化，正常退休</w:t>
      </w:r>
      <w:r>
        <w:rPr>
          <w:rFonts w:hint="eastAsia" w:ascii="仿宋" w:hAnsi="仿宋" w:eastAsia="仿宋" w:cs="仿宋"/>
          <w:sz w:val="32"/>
          <w:szCs w:val="32"/>
        </w:rPr>
        <w:t>。离休人员</w:t>
      </w:r>
      <w:r>
        <w:rPr>
          <w:rFonts w:hint="eastAsia" w:ascii="仿宋" w:hAnsi="仿宋" w:eastAsia="仿宋" w:cs="仿宋"/>
          <w:sz w:val="32"/>
          <w:szCs w:val="32"/>
          <w:lang w:val="en-US" w:eastAsia="zh-CN"/>
        </w:rPr>
        <w:t>3</w:t>
      </w:r>
      <w:r>
        <w:rPr>
          <w:rFonts w:hint="eastAsia" w:ascii="仿宋" w:hAnsi="仿宋" w:eastAsia="仿宋" w:cs="仿宋"/>
          <w:sz w:val="32"/>
          <w:szCs w:val="32"/>
        </w:rPr>
        <w:t>人，较上年</w:t>
      </w:r>
      <w:r>
        <w:rPr>
          <w:rFonts w:hint="eastAsia" w:ascii="仿宋" w:hAnsi="仿宋" w:eastAsia="仿宋" w:cs="仿宋"/>
          <w:sz w:val="32"/>
          <w:szCs w:val="32"/>
          <w:lang w:val="en-US" w:eastAsia="zh-CN"/>
        </w:rPr>
        <w:t>减2个，正常死亡。</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第二部分 202</w:t>
      </w:r>
      <w:r>
        <w:rPr>
          <w:rFonts w:hint="eastAsia" w:ascii="宋体" w:hAnsi="宋体" w:eastAsia="宋体" w:cs="宋体"/>
          <w:b/>
          <w:bCs/>
          <w:sz w:val="44"/>
          <w:szCs w:val="44"/>
          <w:lang w:val="en-US" w:eastAsia="zh-CN"/>
        </w:rPr>
        <w:t>2</w:t>
      </w:r>
      <w:r>
        <w:rPr>
          <w:rFonts w:hint="eastAsia" w:ascii="宋体" w:hAnsi="宋体" w:eastAsia="宋体" w:cs="宋体"/>
          <w:b/>
          <w:bCs/>
          <w:sz w:val="44"/>
          <w:szCs w:val="44"/>
        </w:rPr>
        <w:t>年财政运行分析</w:t>
      </w:r>
    </w:p>
    <w:p>
      <w:pPr>
        <w:keepNext w:val="0"/>
        <w:keepLines w:val="0"/>
        <w:pageBreakBefore w:val="0"/>
        <w:widowControl w:val="0"/>
        <w:kinsoku/>
        <w:wordWrap/>
        <w:overflowPunct/>
        <w:topLinePunct w:val="0"/>
        <w:autoSpaceDE/>
        <w:autoSpaceDN/>
        <w:bidi w:val="0"/>
        <w:adjustRightInd/>
        <w:snapToGrid/>
        <w:spacing w:line="600" w:lineRule="exact"/>
        <w:ind w:firstLine="883" w:firstLineChars="200"/>
        <w:jc w:val="both"/>
        <w:textAlignment w:val="auto"/>
        <w:rPr>
          <w:rFonts w:hint="eastAsia" w:ascii="仿宋" w:hAnsi="仿宋" w:eastAsia="仿宋" w:cs="仿宋"/>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一、财政收入分析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w:t>
      </w:r>
      <w:r>
        <w:rPr>
          <w:rFonts w:hint="eastAsia" w:ascii="仿宋" w:hAnsi="仿宋" w:eastAsia="仿宋" w:cs="仿宋"/>
          <w:sz w:val="32"/>
          <w:szCs w:val="32"/>
          <w:lang w:eastAsia="zh-CN"/>
        </w:rPr>
        <w:t>在新冠肺炎疫情</w:t>
      </w:r>
      <w:r>
        <w:rPr>
          <w:rFonts w:hint="eastAsia" w:ascii="仿宋" w:hAnsi="仿宋" w:eastAsia="仿宋" w:cs="仿宋"/>
          <w:sz w:val="32"/>
          <w:szCs w:val="32"/>
          <w:lang w:val="en-US" w:eastAsia="zh-CN"/>
        </w:rPr>
        <w:t>持续</w:t>
      </w:r>
      <w:r>
        <w:rPr>
          <w:rFonts w:hint="eastAsia" w:ascii="仿宋" w:hAnsi="仿宋" w:eastAsia="仿宋" w:cs="仿宋"/>
          <w:sz w:val="32"/>
          <w:szCs w:val="32"/>
          <w:lang w:eastAsia="zh-CN"/>
        </w:rPr>
        <w:t>影响下，我县经济发展</w:t>
      </w:r>
      <w:r>
        <w:rPr>
          <w:rFonts w:hint="eastAsia" w:ascii="仿宋" w:hAnsi="仿宋" w:eastAsia="仿宋" w:cs="仿宋"/>
          <w:sz w:val="32"/>
          <w:szCs w:val="32"/>
          <w:lang w:val="en-US" w:eastAsia="zh-CN"/>
        </w:rPr>
        <w:t>仍</w:t>
      </w:r>
      <w:r>
        <w:rPr>
          <w:rFonts w:hint="eastAsia" w:ascii="仿宋" w:hAnsi="仿宋" w:eastAsia="仿宋" w:cs="仿宋"/>
          <w:sz w:val="32"/>
          <w:szCs w:val="32"/>
          <w:lang w:eastAsia="zh-CN"/>
        </w:rPr>
        <w:t>面临消费、投资恢复迟缓，“稳增长”难度增大、财政收入持续承压，</w:t>
      </w:r>
      <w:r>
        <w:rPr>
          <w:rFonts w:hint="eastAsia" w:ascii="仿宋" w:hAnsi="仿宋" w:eastAsia="仿宋" w:cs="仿宋"/>
          <w:sz w:val="32"/>
          <w:szCs w:val="32"/>
          <w:lang w:val="en-US" w:eastAsia="zh-CN"/>
        </w:rPr>
        <w:t>面对</w:t>
      </w:r>
      <w:r>
        <w:rPr>
          <w:rFonts w:hint="eastAsia" w:ascii="仿宋" w:hAnsi="仿宋" w:eastAsia="仿宋" w:cs="仿宋"/>
          <w:sz w:val="32"/>
          <w:szCs w:val="32"/>
          <w:lang w:eastAsia="zh-CN"/>
        </w:rPr>
        <w:t>经济下行和收支矛盾突出的严峻形势，，</w:t>
      </w:r>
      <w:r>
        <w:rPr>
          <w:rFonts w:hint="eastAsia" w:ascii="仿宋" w:hAnsi="仿宋" w:eastAsia="仿宋" w:cs="仿宋"/>
          <w:sz w:val="32"/>
          <w:szCs w:val="32"/>
          <w:lang w:val="en-US" w:eastAsia="zh-CN"/>
        </w:rPr>
        <w:t>全县在</w:t>
      </w:r>
      <w:r>
        <w:rPr>
          <w:rFonts w:hint="eastAsia" w:ascii="仿宋" w:hAnsi="仿宋" w:eastAsia="仿宋" w:cs="仿宋"/>
          <w:color w:val="212121"/>
          <w:kern w:val="0"/>
          <w:sz w:val="32"/>
          <w:szCs w:val="32"/>
          <w:shd w:val="clear" w:color="auto" w:fill="FFFFFF"/>
          <w:lang w:val="en-US" w:eastAsia="zh-CN"/>
        </w:rPr>
        <w:t>财政部门、税务部门和非税收入各执收部门</w:t>
      </w:r>
      <w:r>
        <w:rPr>
          <w:rFonts w:hint="eastAsia" w:ascii="仿宋" w:hAnsi="仿宋" w:eastAsia="仿宋" w:cs="仿宋"/>
          <w:sz w:val="32"/>
          <w:szCs w:val="32"/>
        </w:rPr>
        <w:t>全面落实“疫情要防住、经济要稳住、发展要安全”要求</w:t>
      </w:r>
      <w:r>
        <w:rPr>
          <w:rFonts w:hint="eastAsia" w:ascii="仿宋" w:hAnsi="仿宋" w:eastAsia="仿宋" w:cs="仿宋"/>
          <w:color w:val="212121"/>
          <w:kern w:val="0"/>
          <w:sz w:val="32"/>
          <w:szCs w:val="32"/>
          <w:shd w:val="clear" w:color="auto" w:fill="FFFFFF"/>
          <w:lang w:val="en-US" w:eastAsia="zh-CN"/>
        </w:rPr>
        <w:t>，基本完成</w:t>
      </w:r>
      <w:r>
        <w:rPr>
          <w:rFonts w:hint="eastAsia" w:ascii="仿宋" w:hAnsi="仿宋" w:eastAsia="仿宋" w:cs="仿宋"/>
          <w:sz w:val="32"/>
          <w:szCs w:val="32"/>
          <w:lang w:eastAsia="zh-CN"/>
        </w:rPr>
        <w:t>2022年</w:t>
      </w:r>
      <w:r>
        <w:rPr>
          <w:rFonts w:hint="eastAsia" w:ascii="仿宋" w:hAnsi="仿宋" w:eastAsia="仿宋" w:cs="仿宋"/>
          <w:sz w:val="32"/>
          <w:szCs w:val="32"/>
          <w:lang w:val="en-US" w:eastAsia="zh-CN"/>
        </w:rPr>
        <w:t>调整目标任务。</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val="0"/>
          <w:bCs/>
          <w:sz w:val="32"/>
          <w:szCs w:val="32"/>
          <w:lang w:eastAsia="zh-CN"/>
        </w:rPr>
      </w:pPr>
      <w:r>
        <w:rPr>
          <w:rFonts w:hint="eastAsia" w:ascii="仿宋" w:hAnsi="仿宋" w:eastAsia="仿宋" w:cs="仿宋"/>
          <w:b/>
          <w:bCs/>
          <w:sz w:val="32"/>
          <w:szCs w:val="32"/>
          <w:lang w:eastAsia="zh-CN"/>
        </w:rPr>
        <w:t>全年组织财政收入</w:t>
      </w:r>
      <w:r>
        <w:rPr>
          <w:rFonts w:hint="eastAsia" w:ascii="仿宋" w:hAnsi="仿宋" w:eastAsia="仿宋" w:cs="仿宋"/>
          <w:b/>
          <w:bCs/>
          <w:sz w:val="32"/>
          <w:szCs w:val="32"/>
          <w:lang w:val="en-US" w:eastAsia="zh-CN"/>
        </w:rPr>
        <w:t>止跌反弹</w:t>
      </w:r>
      <w:r>
        <w:rPr>
          <w:rFonts w:hint="eastAsia" w:ascii="仿宋" w:hAnsi="仿宋" w:eastAsia="仿宋" w:cs="仿宋"/>
          <w:b w:val="0"/>
          <w:bCs/>
          <w:sz w:val="32"/>
          <w:szCs w:val="32"/>
          <w:lang w:eastAsia="zh-CN"/>
        </w:rPr>
        <w:t>。全县组织财政收入22286万元，同比下降</w:t>
      </w:r>
      <w:r>
        <w:rPr>
          <w:rFonts w:hint="eastAsia" w:ascii="仿宋" w:hAnsi="仿宋" w:eastAsia="仿宋" w:cs="仿宋"/>
          <w:b w:val="0"/>
          <w:bCs/>
          <w:sz w:val="32"/>
          <w:szCs w:val="32"/>
          <w:lang w:val="en-US" w:eastAsia="zh-CN"/>
        </w:rPr>
        <w:t>0.6</w:t>
      </w:r>
      <w:r>
        <w:rPr>
          <w:rFonts w:hint="eastAsia" w:ascii="仿宋" w:hAnsi="仿宋" w:eastAsia="仿宋" w:cs="仿宋"/>
          <w:b w:val="0"/>
          <w:bCs/>
          <w:sz w:val="32"/>
          <w:szCs w:val="32"/>
          <w:lang w:eastAsia="zh-CN"/>
        </w:rPr>
        <w:t>%，增</w:t>
      </w:r>
      <w:r>
        <w:rPr>
          <w:rFonts w:hint="eastAsia" w:ascii="仿宋" w:hAnsi="仿宋" w:eastAsia="仿宋" w:cs="仿宋"/>
          <w:b w:val="0"/>
          <w:bCs/>
          <w:sz w:val="32"/>
          <w:szCs w:val="32"/>
          <w:lang w:val="en-US" w:eastAsia="zh-CN"/>
        </w:rPr>
        <w:t>速是从2019年以来最好情况，表明</w:t>
      </w:r>
      <w:r>
        <w:rPr>
          <w:rFonts w:hint="eastAsia" w:ascii="仿宋" w:hAnsi="仿宋" w:eastAsia="仿宋" w:cs="仿宋"/>
          <w:b w:val="0"/>
          <w:bCs/>
          <w:sz w:val="32"/>
          <w:szCs w:val="32"/>
          <w:lang w:eastAsia="zh-CN"/>
        </w:rPr>
        <w:t>新冠疫情的影响</w:t>
      </w:r>
      <w:r>
        <w:rPr>
          <w:rFonts w:hint="eastAsia" w:ascii="仿宋" w:hAnsi="仿宋" w:eastAsia="仿宋" w:cs="仿宋"/>
          <w:b w:val="0"/>
          <w:bCs/>
          <w:sz w:val="32"/>
          <w:szCs w:val="32"/>
          <w:lang w:val="en-US" w:eastAsia="zh-CN"/>
        </w:rPr>
        <w:t>逐步减弱，走出下行行情</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2022年应该是财政收入反弹的</w:t>
      </w:r>
      <w:r>
        <w:rPr>
          <w:rFonts w:hint="eastAsia" w:ascii="仿宋" w:hAnsi="仿宋" w:eastAsia="仿宋" w:cs="仿宋"/>
          <w:b w:val="0"/>
          <w:bCs/>
          <w:sz w:val="32"/>
          <w:szCs w:val="32"/>
          <w:lang w:eastAsia="zh-CN"/>
        </w:rPr>
        <w:t>“支</w:t>
      </w:r>
      <w:r>
        <w:rPr>
          <w:rFonts w:hint="eastAsia" w:ascii="仿宋" w:hAnsi="仿宋" w:eastAsia="仿宋" w:cs="仿宋"/>
          <w:b w:val="0"/>
          <w:bCs/>
          <w:sz w:val="32"/>
          <w:szCs w:val="32"/>
          <w:lang w:val="en-US" w:eastAsia="zh-CN"/>
        </w:rPr>
        <w:t>点</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见下图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pPr>
      <w:r>
        <w:drawing>
          <wp:inline distT="0" distB="0" distL="114300" distR="114300">
            <wp:extent cx="5622925" cy="2604135"/>
            <wp:effectExtent l="6350" t="6350" r="9525" b="10795"/>
            <wp:docPr id="194569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二</w:t>
      </w:r>
      <w:r>
        <w:rPr>
          <w:rFonts w:hint="eastAsia" w:ascii="仿宋" w:hAnsi="仿宋" w:eastAsia="仿宋" w:cs="仿宋"/>
          <w:b w:val="0"/>
          <w:bCs/>
          <w:sz w:val="32"/>
          <w:szCs w:val="32"/>
          <w:lang w:eastAsia="zh-CN"/>
        </w:rPr>
        <w:t>）税收收入占比提高，财政收入质量改善，收入结构进一步优化 。本年财政收入中，税收收入占比</w:t>
      </w:r>
      <w:r>
        <w:rPr>
          <w:rFonts w:hint="eastAsia" w:ascii="仿宋" w:hAnsi="仿宋" w:eastAsia="仿宋" w:cs="仿宋"/>
          <w:b w:val="0"/>
          <w:bCs/>
          <w:sz w:val="32"/>
          <w:szCs w:val="32"/>
          <w:lang w:val="en-US" w:eastAsia="zh-CN"/>
        </w:rPr>
        <w:t>70.5</w:t>
      </w:r>
      <w:r>
        <w:rPr>
          <w:rFonts w:hint="eastAsia" w:ascii="仿宋" w:hAnsi="仿宋" w:eastAsia="仿宋" w:cs="仿宋"/>
          <w:b w:val="0"/>
          <w:bCs/>
          <w:sz w:val="32"/>
          <w:szCs w:val="32"/>
          <w:lang w:eastAsia="zh-CN"/>
        </w:rPr>
        <w:t>%，同比</w:t>
      </w:r>
      <w:r>
        <w:rPr>
          <w:rFonts w:hint="eastAsia" w:ascii="仿宋" w:hAnsi="仿宋" w:eastAsia="仿宋" w:cs="仿宋"/>
          <w:b w:val="0"/>
          <w:bCs/>
          <w:sz w:val="32"/>
          <w:szCs w:val="32"/>
          <w:lang w:val="en-US" w:eastAsia="zh-CN"/>
        </w:rPr>
        <w:t>增长2.5%</w:t>
      </w:r>
      <w:r>
        <w:rPr>
          <w:rFonts w:hint="eastAsia" w:ascii="仿宋" w:hAnsi="仿宋" w:eastAsia="仿宋" w:cs="仿宋"/>
          <w:b w:val="0"/>
          <w:bCs/>
          <w:sz w:val="32"/>
          <w:szCs w:val="32"/>
          <w:lang w:eastAsia="zh-CN"/>
        </w:rPr>
        <w:t>。表明我县财政收入的整体规范性和质量</w:t>
      </w:r>
      <w:r>
        <w:rPr>
          <w:rFonts w:hint="eastAsia" w:ascii="仿宋" w:hAnsi="仿宋" w:eastAsia="仿宋" w:cs="仿宋"/>
          <w:b w:val="0"/>
          <w:bCs/>
          <w:sz w:val="32"/>
          <w:szCs w:val="32"/>
          <w:lang w:val="en-US" w:eastAsia="zh-CN"/>
        </w:rPr>
        <w:t>有所提高</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下图</w:t>
      </w:r>
      <w:r>
        <w:drawing>
          <wp:inline distT="0" distB="0" distL="114300" distR="114300">
            <wp:extent cx="5560695" cy="2576830"/>
            <wp:effectExtent l="4445" t="4445" r="12700" b="9525"/>
            <wp:docPr id="194569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上级转移支付依</w:t>
      </w:r>
      <w:r>
        <w:rPr>
          <w:rFonts w:hint="eastAsia" w:ascii="仿宋" w:hAnsi="仿宋" w:eastAsia="仿宋" w:cs="仿宋"/>
          <w:sz w:val="32"/>
          <w:szCs w:val="32"/>
          <w:lang w:val="en-US" w:eastAsia="zh-CN"/>
        </w:rPr>
        <w:t>然是我县财力保障的重要支柱</w:t>
      </w:r>
      <w:r>
        <w:rPr>
          <w:rFonts w:hint="eastAsia" w:ascii="仿宋" w:hAnsi="仿宋" w:eastAsia="仿宋" w:cs="仿宋"/>
          <w:sz w:val="32"/>
          <w:szCs w:val="32"/>
          <w:lang w:eastAsia="zh-CN"/>
        </w:rPr>
        <w:t>。长期以来，由于我县经济基础薄弱，经济规模小，税基窄，财源不足，财政收入总量较少且质量不高，而财政支出的增长规模明显快于同期地方财政收入增长规模，致使我县财政支出在很大程度上只能依赖于上级财政的转移支付，对上级财政仍然保持着很高的依赖度。</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lang w:eastAsia="zh-CN"/>
        </w:rPr>
      </w:pPr>
      <w:r>
        <w:drawing>
          <wp:inline distT="0" distB="0" distL="114300" distR="114300">
            <wp:extent cx="5581650" cy="2716530"/>
            <wp:effectExtent l="6350" t="6350" r="20320" b="20320"/>
            <wp:docPr id="1945695"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rPr>
        <w:t>一）财政收入稳中趋缓，收入质量</w:t>
      </w:r>
      <w:r>
        <w:rPr>
          <w:rFonts w:hint="eastAsia" w:ascii="仿宋" w:hAnsi="仿宋" w:eastAsia="仿宋" w:cs="仿宋"/>
          <w:b/>
          <w:bCs/>
          <w:sz w:val="32"/>
          <w:szCs w:val="32"/>
          <w:lang w:val="en-US" w:eastAsia="zh-CN"/>
        </w:rPr>
        <w:t>有所提高</w:t>
      </w:r>
      <w:r>
        <w:rPr>
          <w:rFonts w:hint="eastAsia" w:ascii="仿宋" w:hAnsi="仿宋" w:eastAsia="仿宋" w:cs="仿宋"/>
          <w:b/>
          <w:bCs/>
          <w:sz w:val="32"/>
          <w:szCs w:val="32"/>
        </w:rPr>
        <w:t>。</w:t>
      </w:r>
      <w:r>
        <w:rPr>
          <w:rFonts w:hint="eastAsia" w:ascii="仿宋" w:hAnsi="仿宋" w:eastAsia="仿宋" w:cs="仿宋"/>
          <w:b w:val="0"/>
          <w:bCs w:val="0"/>
          <w:sz w:val="32"/>
          <w:szCs w:val="32"/>
          <w:lang w:val="en-US" w:eastAsia="zh-CN"/>
        </w:rPr>
        <w:t>在全</w:t>
      </w:r>
      <w:r>
        <w:rPr>
          <w:rFonts w:hint="eastAsia" w:ascii="仿宋" w:hAnsi="仿宋" w:eastAsia="仿宋" w:cs="仿宋"/>
          <w:b w:val="0"/>
          <w:bCs w:val="0"/>
          <w:sz w:val="32"/>
          <w:szCs w:val="32"/>
        </w:rPr>
        <w:t>县财税部门积极主动作为，认真分析全县经济发展现状，主动研判财政收入形势，不断克服经济增速放缓、减税降费政策叠加和疫情防控等不利因素，统筹做好财政收入组织工作</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2022年地方公共预算收入完成14717万元，完成预算的96.9%，增长0.7%，其中：税收收入增长7.9%，特别是增值税增长12.5%，</w:t>
      </w:r>
      <w:r>
        <w:rPr>
          <w:rFonts w:hint="eastAsia" w:ascii="仿宋" w:hAnsi="仿宋" w:eastAsia="仿宋" w:cs="仿宋"/>
          <w:b w:val="0"/>
          <w:bCs w:val="0"/>
          <w:sz w:val="32"/>
          <w:szCs w:val="32"/>
        </w:rPr>
        <w:t>增收的主要因素是有效的疫情防控和一系列经济重振措施效果明显，主要指标逐月回升好转</w:t>
      </w:r>
      <w:r>
        <w:rPr>
          <w:rFonts w:hint="eastAsia" w:ascii="仿宋" w:hAnsi="仿宋" w:eastAsia="仿宋" w:cs="仿宋"/>
          <w:b w:val="0"/>
          <w:bCs w:val="0"/>
          <w:sz w:val="32"/>
          <w:szCs w:val="32"/>
          <w:lang w:val="en-US" w:eastAsia="zh-CN"/>
        </w:rPr>
        <w:t>；非税收入下降8%，</w:t>
      </w:r>
      <w:r>
        <w:rPr>
          <w:rFonts w:hint="eastAsia" w:ascii="仿宋" w:hAnsi="仿宋" w:eastAsia="仿宋"/>
          <w:b w:val="0"/>
          <w:bCs w:val="0"/>
          <w:color w:val="000000" w:themeColor="text1"/>
          <w:sz w:val="32"/>
          <w:szCs w:val="24"/>
          <w:highlight w:val="white"/>
          <w14:textFill>
            <w14:solidFill>
              <w14:schemeClr w14:val="tx1"/>
            </w14:solidFill>
          </w14:textFill>
        </w:rPr>
        <w:t>非税占比41.4%，比上年45.3%下降3.9个百分点</w:t>
      </w:r>
      <w:r>
        <w:rPr>
          <w:rFonts w:hint="eastAsia" w:ascii="仿宋" w:hAnsi="仿宋" w:eastAsia="仿宋"/>
          <w:b w:val="0"/>
          <w:bCs w:val="0"/>
          <w:color w:val="000000" w:themeColor="text1"/>
          <w:sz w:val="32"/>
          <w:szCs w:val="24"/>
          <w:highlight w:val="white"/>
          <w:lang w:eastAsia="zh-CN"/>
          <w14:textFill>
            <w14:solidFill>
              <w14:schemeClr w14:val="tx1"/>
            </w14:solidFill>
          </w14:textFill>
        </w:rPr>
        <w:t>，</w:t>
      </w:r>
      <w:r>
        <w:rPr>
          <w:rFonts w:hint="eastAsia" w:ascii="仿宋" w:hAnsi="仿宋" w:eastAsia="仿宋" w:cs="仿宋"/>
          <w:b w:val="0"/>
          <w:bCs w:val="0"/>
          <w:sz w:val="32"/>
          <w:szCs w:val="32"/>
        </w:rPr>
        <w:t>表明我县</w:t>
      </w:r>
      <w:r>
        <w:rPr>
          <w:rFonts w:hint="eastAsia" w:ascii="仿宋" w:hAnsi="仿宋" w:eastAsia="仿宋" w:cs="仿宋"/>
          <w:b w:val="0"/>
          <w:bCs w:val="0"/>
          <w:sz w:val="32"/>
          <w:szCs w:val="32"/>
          <w:lang w:val="en-US" w:eastAsia="zh-CN"/>
        </w:rPr>
        <w:t>财政收入质量有所提高</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财政收入种类增降幅度大且起伏不定，税源培育有待加强。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2022年</w:t>
      </w:r>
      <w:r>
        <w:rPr>
          <w:rFonts w:hint="eastAsia" w:ascii="仿宋" w:hAnsi="仿宋" w:eastAsia="仿宋" w:cs="仿宋"/>
          <w:sz w:val="32"/>
          <w:szCs w:val="32"/>
          <w:lang w:val="en-US" w:eastAsia="zh-CN"/>
        </w:rPr>
        <w:t>增值税、所得税等主体收入3130万元占地方公共财政收入21.2%，占比偏低，</w:t>
      </w:r>
      <w:r>
        <w:rPr>
          <w:rFonts w:hint="default" w:ascii="仿宋" w:hAnsi="仿宋" w:eastAsia="仿宋" w:cs="仿宋"/>
          <w:sz w:val="32"/>
          <w:szCs w:val="32"/>
          <w:lang w:val="en-US" w:eastAsia="zh-CN"/>
        </w:rPr>
        <w:t>耕契两税</w:t>
      </w:r>
      <w:r>
        <w:rPr>
          <w:rFonts w:hint="eastAsia" w:ascii="仿宋" w:hAnsi="仿宋" w:eastAsia="仿宋" w:cs="仿宋"/>
          <w:sz w:val="32"/>
          <w:szCs w:val="32"/>
          <w:lang w:val="en-US" w:eastAsia="zh-CN"/>
        </w:rPr>
        <w:t>3014万元，占地</w:t>
      </w:r>
      <w:r>
        <w:rPr>
          <w:rFonts w:hint="default" w:ascii="仿宋" w:hAnsi="仿宋" w:eastAsia="仿宋" w:cs="仿宋"/>
          <w:sz w:val="32"/>
          <w:szCs w:val="32"/>
          <w:lang w:val="en-US" w:eastAsia="zh-CN"/>
        </w:rPr>
        <w:t>方公共财政收入的</w:t>
      </w:r>
      <w:r>
        <w:rPr>
          <w:rFonts w:hint="eastAsia" w:ascii="仿宋" w:hAnsi="仿宋" w:eastAsia="仿宋" w:cs="仿宋"/>
          <w:sz w:val="32"/>
          <w:szCs w:val="32"/>
          <w:lang w:val="en-US" w:eastAsia="zh-CN"/>
        </w:rPr>
        <w:t>20.5</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，可见</w:t>
      </w:r>
      <w:r>
        <w:rPr>
          <w:rFonts w:hint="default" w:ascii="仿宋" w:hAnsi="仿宋" w:eastAsia="仿宋" w:cs="仿宋"/>
          <w:sz w:val="32"/>
          <w:szCs w:val="32"/>
          <w:lang w:val="en-US" w:eastAsia="zh-CN"/>
        </w:rPr>
        <w:t>土地税收占比过高</w:t>
      </w:r>
      <w:r>
        <w:rPr>
          <w:rFonts w:hint="eastAsia" w:ascii="仿宋" w:hAnsi="仿宋" w:eastAsia="仿宋" w:cs="仿宋"/>
          <w:sz w:val="32"/>
          <w:szCs w:val="32"/>
          <w:lang w:val="en-US" w:eastAsia="zh-CN"/>
        </w:rPr>
        <w:t>，由于土地税收具有</w:t>
      </w:r>
      <w:r>
        <w:rPr>
          <w:rFonts w:hint="default" w:ascii="仿宋" w:hAnsi="仿宋" w:eastAsia="仿宋" w:cs="仿宋"/>
          <w:sz w:val="32"/>
          <w:szCs w:val="32"/>
          <w:lang w:val="en-US" w:eastAsia="zh-CN"/>
        </w:rPr>
        <w:t>不可持续，</w:t>
      </w:r>
      <w:r>
        <w:rPr>
          <w:rFonts w:hint="eastAsia" w:ascii="仿宋" w:hAnsi="仿宋" w:eastAsia="仿宋" w:cs="仿宋"/>
          <w:sz w:val="32"/>
          <w:szCs w:val="32"/>
          <w:lang w:val="en-US" w:eastAsia="zh-CN"/>
        </w:rPr>
        <w:t>造成税收</w:t>
      </w:r>
      <w:r>
        <w:rPr>
          <w:rFonts w:hint="default" w:ascii="仿宋" w:hAnsi="仿宋" w:eastAsia="仿宋" w:cs="仿宋"/>
          <w:sz w:val="32"/>
          <w:szCs w:val="32"/>
          <w:lang w:val="en-US" w:eastAsia="zh-CN"/>
        </w:rPr>
        <w:t>不确定性</w:t>
      </w:r>
      <w:r>
        <w:rPr>
          <w:rFonts w:hint="eastAsia" w:ascii="仿宋" w:hAnsi="仿宋" w:eastAsia="仿宋" w:cs="仿宋"/>
          <w:sz w:val="32"/>
          <w:szCs w:val="32"/>
          <w:lang w:val="en-US" w:eastAsia="zh-CN"/>
        </w:rPr>
        <w:t>助理起伏不定；非税收入中行政事业性收入、罚没收入、国有资性有偿收入等非经常性财政收入占比35.8%，说明我县财政收入结构严重畸形，财源培植力度有待进一步加强。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二、财政支出分析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财政部门严格落实过紧日子要求，统筹运用各项财政资金，把做好“保工资、保运转、保基本民生”作为财政工作重中之重，分清轻重缓急，科学合理安排财政支出需求。在财政支出管理上坚持民生优先，保障各项急需支出。从严从紧控制“三公经费”、新增支出需求，继续压减一般性支出。202</w:t>
      </w:r>
      <w:r>
        <w:rPr>
          <w:rFonts w:hint="eastAsia" w:ascii="仿宋" w:hAnsi="仿宋" w:eastAsia="仿宋" w:cs="仿宋"/>
          <w:sz w:val="32"/>
          <w:szCs w:val="32"/>
          <w:lang w:val="en-US" w:eastAsia="zh-CN"/>
        </w:rPr>
        <w:t>2</w:t>
      </w:r>
      <w:r>
        <w:rPr>
          <w:rFonts w:hint="eastAsia" w:ascii="仿宋" w:hAnsi="仿宋" w:eastAsia="仿宋" w:cs="仿宋"/>
          <w:sz w:val="32"/>
          <w:szCs w:val="32"/>
        </w:rPr>
        <w:t>年，全县一般公共预算支出</w:t>
      </w:r>
      <w:r>
        <w:rPr>
          <w:rFonts w:hint="eastAsia" w:ascii="仿宋" w:hAnsi="仿宋" w:eastAsia="仿宋" w:cs="仿宋"/>
          <w:sz w:val="32"/>
          <w:szCs w:val="32"/>
          <w:lang w:val="en-US" w:eastAsia="zh-CN"/>
        </w:rPr>
        <w:t>19.94亿</w:t>
      </w:r>
      <w:r>
        <w:rPr>
          <w:rFonts w:hint="eastAsia" w:ascii="仿宋" w:hAnsi="仿宋" w:eastAsia="仿宋" w:cs="仿宋"/>
          <w:sz w:val="32"/>
          <w:szCs w:val="32"/>
        </w:rPr>
        <w:t>元，同比下降</w:t>
      </w:r>
      <w:r>
        <w:rPr>
          <w:rFonts w:hint="eastAsia" w:ascii="仿宋" w:hAnsi="仿宋" w:eastAsia="仿宋" w:cs="仿宋"/>
          <w:sz w:val="32"/>
          <w:szCs w:val="32"/>
          <w:lang w:val="en-US" w:eastAsia="zh-CN"/>
        </w:rPr>
        <w:t>4.5%</w:t>
      </w:r>
      <w:r>
        <w:rPr>
          <w:rFonts w:hint="eastAsia" w:ascii="仿宋" w:hAnsi="仿宋" w:eastAsia="仿宋" w:cs="仿宋"/>
          <w:sz w:val="32"/>
          <w:szCs w:val="32"/>
        </w:rPr>
        <w:t>。其中：其中民生支出16</w:t>
      </w:r>
      <w:r>
        <w:rPr>
          <w:rFonts w:hint="eastAsia" w:ascii="仿宋" w:hAnsi="仿宋" w:eastAsia="仿宋" w:cs="仿宋"/>
          <w:sz w:val="32"/>
          <w:szCs w:val="32"/>
          <w:lang w:val="en-US" w:eastAsia="zh-CN"/>
        </w:rPr>
        <w:t>.</w:t>
      </w:r>
      <w:r>
        <w:rPr>
          <w:rFonts w:hint="eastAsia" w:ascii="仿宋" w:hAnsi="仿宋" w:eastAsia="仿宋" w:cs="仿宋"/>
          <w:sz w:val="32"/>
          <w:szCs w:val="32"/>
        </w:rPr>
        <w:t>4</w:t>
      </w:r>
      <w:r>
        <w:rPr>
          <w:rFonts w:hint="eastAsia" w:ascii="仿宋" w:hAnsi="仿宋" w:eastAsia="仿宋" w:cs="仿宋"/>
          <w:sz w:val="32"/>
          <w:szCs w:val="32"/>
          <w:lang w:val="en-US" w:eastAsia="zh-CN"/>
        </w:rPr>
        <w:t>7亿</w:t>
      </w:r>
      <w:r>
        <w:rPr>
          <w:rFonts w:hint="eastAsia" w:ascii="仿宋" w:hAnsi="仿宋" w:eastAsia="仿宋" w:cs="仿宋"/>
          <w:sz w:val="32"/>
          <w:szCs w:val="32"/>
        </w:rPr>
        <w:t>元，占比82.6%</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财政运行在急难险重中承担。</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w:t>
      </w:r>
      <w:r>
        <w:rPr>
          <w:rFonts w:hint="eastAsia" w:ascii="仿宋" w:hAnsi="仿宋" w:eastAsia="仿宋" w:cs="仿宋"/>
          <w:b/>
          <w:bCs/>
          <w:sz w:val="32"/>
          <w:szCs w:val="32"/>
        </w:rPr>
        <w:t>强化预算约束，确保</w:t>
      </w:r>
      <w:r>
        <w:rPr>
          <w:rFonts w:hint="eastAsia" w:ascii="仿宋" w:hAnsi="仿宋" w:eastAsia="仿宋" w:cs="仿宋"/>
          <w:b/>
          <w:bCs/>
          <w:sz w:val="32"/>
          <w:szCs w:val="32"/>
          <w:lang w:val="en-US" w:eastAsia="zh-CN"/>
        </w:rPr>
        <w:t>财政</w:t>
      </w:r>
      <w:r>
        <w:rPr>
          <w:rFonts w:hint="eastAsia" w:ascii="仿宋" w:hAnsi="仿宋" w:eastAsia="仿宋" w:cs="仿宋"/>
          <w:b/>
          <w:bCs/>
          <w:sz w:val="32"/>
          <w:szCs w:val="32"/>
        </w:rPr>
        <w:t>平稳运行</w:t>
      </w: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年，受宏观经济持续下行、新冠疫情反复冲击等因素影响，财政减收增支压力十分突出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县财政部门</w:t>
      </w:r>
      <w:r>
        <w:rPr>
          <w:rFonts w:hint="eastAsia" w:ascii="仿宋" w:hAnsi="仿宋" w:eastAsia="仿宋" w:cs="仿宋"/>
          <w:sz w:val="32"/>
          <w:szCs w:val="32"/>
        </w:rPr>
        <w:t>通过调结构、压一般等多途径、多措施全力统筹各类资源，确保财政平稳运行。</w:t>
      </w:r>
      <w:r>
        <w:rPr>
          <w:rFonts w:hint="eastAsia" w:ascii="仿宋" w:hAnsi="仿宋" w:eastAsia="仿宋" w:cs="仿宋"/>
          <w:b w:val="0"/>
          <w:bCs/>
          <w:sz w:val="32"/>
          <w:szCs w:val="32"/>
        </w:rPr>
        <w:t>一是持续深化预算管理制度改革</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深入推进零基预算改革和项目支出标准体系建设，扎实推进预算管理一体化系统建设工作</w:t>
      </w:r>
      <w:r>
        <w:rPr>
          <w:rFonts w:hint="eastAsia" w:ascii="仿宋" w:hAnsi="仿宋" w:eastAsia="仿宋" w:cs="仿宋"/>
          <w:b w:val="0"/>
          <w:bCs/>
          <w:sz w:val="32"/>
          <w:szCs w:val="32"/>
          <w:lang w:eastAsia="zh-CN"/>
        </w:rPr>
        <w:t>，</w:t>
      </w:r>
      <w:r>
        <w:rPr>
          <w:rFonts w:hint="eastAsia" w:ascii="仿宋" w:hAnsi="仿宋" w:eastAsia="仿宋" w:cs="仿宋"/>
          <w:sz w:val="32"/>
          <w:szCs w:val="32"/>
        </w:rPr>
        <w:t>强化预算刚性约束，牢固树立过紧日子思想，持续压减一般性支出和“三公”经费</w:t>
      </w:r>
      <w:r>
        <w:rPr>
          <w:rFonts w:hint="eastAsia" w:ascii="仿宋" w:hAnsi="仿宋" w:eastAsia="仿宋" w:cs="仿宋"/>
          <w:sz w:val="32"/>
          <w:szCs w:val="32"/>
          <w:lang w:val="en-US" w:eastAsia="zh-CN"/>
        </w:rPr>
        <w:t>;</w:t>
      </w:r>
      <w:r>
        <w:rPr>
          <w:rFonts w:hint="eastAsia" w:ascii="仿宋" w:hAnsi="仿宋" w:eastAsia="仿宋" w:cs="仿宋"/>
          <w:sz w:val="32"/>
          <w:szCs w:val="32"/>
        </w:rPr>
        <w:t>二是积极盘活财政存量资金，调整用于民生事业及其他急需领域，全年累计收回</w:t>
      </w:r>
      <w:r>
        <w:rPr>
          <w:rFonts w:hint="eastAsia" w:ascii="仿宋" w:hAnsi="仿宋" w:eastAsia="仿宋" w:cs="仿宋"/>
          <w:sz w:val="32"/>
          <w:szCs w:val="32"/>
          <w:lang w:val="en-US" w:eastAsia="zh-CN"/>
        </w:rPr>
        <w:t>存量</w:t>
      </w:r>
      <w:r>
        <w:rPr>
          <w:rFonts w:hint="eastAsia" w:ascii="仿宋" w:hAnsi="仿宋" w:eastAsia="仿宋" w:cs="仿宋"/>
          <w:sz w:val="32"/>
          <w:szCs w:val="32"/>
        </w:rPr>
        <w:t>资金</w:t>
      </w:r>
      <w:r>
        <w:rPr>
          <w:rFonts w:hint="eastAsia" w:ascii="仿宋" w:hAnsi="仿宋" w:eastAsia="仿宋" w:cs="仿宋"/>
          <w:sz w:val="32"/>
          <w:szCs w:val="32"/>
          <w:lang w:val="en-US" w:eastAsia="zh-CN"/>
        </w:rPr>
        <w:t>5021万</w:t>
      </w:r>
      <w:r>
        <w:rPr>
          <w:rFonts w:hint="eastAsia" w:ascii="仿宋" w:hAnsi="仿宋" w:eastAsia="仿宋" w:cs="仿宋"/>
          <w:sz w:val="32"/>
          <w:szCs w:val="32"/>
        </w:rPr>
        <w:t>元</w:t>
      </w:r>
      <w:r>
        <w:rPr>
          <w:rFonts w:hint="eastAsia" w:ascii="仿宋" w:hAnsi="仿宋" w:eastAsia="仿宋" w:cs="仿宋"/>
          <w:b w:val="0"/>
          <w:bCs/>
          <w:sz w:val="32"/>
          <w:szCs w:val="32"/>
          <w:lang w:val="en-US" w:eastAsia="zh-CN"/>
        </w:rPr>
        <w:t>；</w:t>
      </w:r>
      <w:r>
        <w:rPr>
          <w:rFonts w:hint="eastAsia" w:ascii="仿宋" w:hAnsi="仿宋" w:eastAsia="仿宋" w:cs="仿宋"/>
          <w:b w:val="0"/>
          <w:bCs/>
          <w:sz w:val="32"/>
          <w:szCs w:val="32"/>
        </w:rPr>
        <w:t>三是管好用好直达资金</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充分发挥好中央直达资金的效益，采取务实有效措施，强化组织领导，严格职责分工，以做好直达资金台账管理为基础，以强化直达资金动态监控系统为支撑，切实保障资金直达基层、惠企利民，做好“六稳”工作，落实“六保”任务，</w:t>
      </w:r>
      <w:r>
        <w:rPr>
          <w:rFonts w:hint="eastAsia" w:ascii="仿宋" w:hAnsi="仿宋" w:eastAsia="仿宋" w:cs="仿宋"/>
          <w:sz w:val="32"/>
          <w:szCs w:val="32"/>
          <w:lang w:val="en-US" w:eastAsia="zh-CN"/>
        </w:rPr>
        <w:t>2022年共收到上级直达资金指标</w:t>
      </w:r>
      <w:r>
        <w:rPr>
          <w:rFonts w:hint="eastAsia" w:ascii="仿宋" w:hAnsi="仿宋" w:eastAsia="仿宋" w:cs="仿宋"/>
          <w:b w:val="0"/>
          <w:bCs w:val="0"/>
          <w:sz w:val="32"/>
          <w:szCs w:val="32"/>
          <w:highlight w:val="none"/>
        </w:rPr>
        <w:t>5</w:t>
      </w:r>
      <w:r>
        <w:rPr>
          <w:rFonts w:hint="eastAsia" w:ascii="仿宋" w:hAnsi="仿宋" w:eastAsia="仿宋" w:cs="仿宋"/>
          <w:b w:val="0"/>
          <w:bCs w:val="0"/>
          <w:sz w:val="32"/>
          <w:szCs w:val="32"/>
          <w:highlight w:val="none"/>
          <w:lang w:val="en-US" w:eastAsia="zh-CN"/>
        </w:rPr>
        <w:t>.</w:t>
      </w:r>
      <w:r>
        <w:rPr>
          <w:rFonts w:hint="eastAsia" w:ascii="仿宋" w:hAnsi="仿宋" w:eastAsia="仿宋" w:cs="仿宋"/>
          <w:b w:val="0"/>
          <w:bCs w:val="0"/>
          <w:sz w:val="32"/>
          <w:szCs w:val="32"/>
          <w:highlight w:val="none"/>
        </w:rPr>
        <w:t>8</w:t>
      </w:r>
      <w:r>
        <w:rPr>
          <w:rFonts w:hint="eastAsia" w:ascii="仿宋" w:hAnsi="仿宋" w:eastAsia="仿宋" w:cs="仿宋"/>
          <w:b w:val="0"/>
          <w:bCs w:val="0"/>
          <w:sz w:val="32"/>
          <w:szCs w:val="32"/>
          <w:highlight w:val="none"/>
          <w:lang w:val="en-US" w:eastAsia="zh-CN"/>
        </w:rPr>
        <w:t>7亿</w:t>
      </w:r>
      <w:r>
        <w:rPr>
          <w:rFonts w:hint="eastAsia" w:ascii="仿宋" w:hAnsi="仿宋" w:eastAsia="仿宋" w:cs="仿宋"/>
          <w:b w:val="0"/>
          <w:bCs w:val="0"/>
          <w:sz w:val="32"/>
          <w:szCs w:val="32"/>
          <w:highlight w:val="none"/>
        </w:rPr>
        <w:t>元（其中：中央直达资金4</w:t>
      </w:r>
      <w:r>
        <w:rPr>
          <w:rFonts w:hint="eastAsia" w:ascii="仿宋" w:hAnsi="仿宋" w:eastAsia="仿宋" w:cs="仿宋"/>
          <w:b w:val="0"/>
          <w:bCs w:val="0"/>
          <w:sz w:val="32"/>
          <w:szCs w:val="32"/>
          <w:highlight w:val="none"/>
          <w:lang w:val="en-US" w:eastAsia="zh-CN"/>
        </w:rPr>
        <w:t>.60亿</w:t>
      </w:r>
      <w:r>
        <w:rPr>
          <w:rFonts w:hint="eastAsia" w:ascii="仿宋" w:hAnsi="仿宋" w:eastAsia="仿宋" w:cs="仿宋"/>
          <w:b w:val="0"/>
          <w:bCs w:val="0"/>
          <w:sz w:val="32"/>
          <w:szCs w:val="32"/>
          <w:highlight w:val="none"/>
        </w:rPr>
        <w:t>元，地方安排1</w:t>
      </w:r>
      <w:r>
        <w:rPr>
          <w:rFonts w:hint="eastAsia" w:ascii="仿宋" w:hAnsi="仿宋" w:eastAsia="仿宋" w:cs="仿宋"/>
          <w:b w:val="0"/>
          <w:bCs w:val="0"/>
          <w:sz w:val="32"/>
          <w:szCs w:val="32"/>
          <w:highlight w:val="none"/>
          <w:lang w:val="en-US" w:eastAsia="zh-CN"/>
        </w:rPr>
        <w:t>.</w:t>
      </w:r>
      <w:r>
        <w:rPr>
          <w:rFonts w:hint="eastAsia" w:ascii="仿宋" w:hAnsi="仿宋" w:eastAsia="仿宋" w:cs="仿宋"/>
          <w:b w:val="0"/>
          <w:bCs w:val="0"/>
          <w:sz w:val="32"/>
          <w:szCs w:val="32"/>
          <w:highlight w:val="none"/>
        </w:rPr>
        <w:t>2</w:t>
      </w:r>
      <w:r>
        <w:rPr>
          <w:rFonts w:hint="eastAsia" w:ascii="仿宋" w:hAnsi="仿宋" w:eastAsia="仿宋" w:cs="仿宋"/>
          <w:b w:val="0"/>
          <w:bCs w:val="0"/>
          <w:sz w:val="32"/>
          <w:szCs w:val="32"/>
          <w:highlight w:val="none"/>
          <w:lang w:val="en-US" w:eastAsia="zh-CN"/>
        </w:rPr>
        <w:t>7亿</w:t>
      </w:r>
      <w:r>
        <w:rPr>
          <w:rFonts w:hint="eastAsia" w:ascii="仿宋" w:hAnsi="仿宋" w:eastAsia="仿宋" w:cs="仿宋"/>
          <w:b w:val="0"/>
          <w:bCs w:val="0"/>
          <w:sz w:val="32"/>
          <w:szCs w:val="32"/>
          <w:highlight w:val="none"/>
        </w:rPr>
        <w:t>元），支出总金额为5</w:t>
      </w:r>
      <w:r>
        <w:rPr>
          <w:rFonts w:hint="eastAsia" w:ascii="仿宋" w:hAnsi="仿宋" w:eastAsia="仿宋" w:cs="仿宋"/>
          <w:b w:val="0"/>
          <w:bCs w:val="0"/>
          <w:sz w:val="32"/>
          <w:szCs w:val="32"/>
          <w:highlight w:val="none"/>
          <w:lang w:val="en-US" w:eastAsia="zh-CN"/>
        </w:rPr>
        <w:t>.</w:t>
      </w:r>
      <w:r>
        <w:rPr>
          <w:rFonts w:hint="eastAsia" w:ascii="仿宋" w:hAnsi="仿宋" w:eastAsia="仿宋" w:cs="仿宋"/>
          <w:b w:val="0"/>
          <w:bCs w:val="0"/>
          <w:sz w:val="32"/>
          <w:szCs w:val="32"/>
          <w:highlight w:val="none"/>
        </w:rPr>
        <w:t>5</w:t>
      </w:r>
      <w:r>
        <w:rPr>
          <w:rFonts w:hint="eastAsia" w:ascii="仿宋" w:hAnsi="仿宋" w:eastAsia="仿宋" w:cs="仿宋"/>
          <w:b w:val="0"/>
          <w:bCs w:val="0"/>
          <w:sz w:val="32"/>
          <w:szCs w:val="32"/>
          <w:highlight w:val="none"/>
          <w:lang w:val="en-US" w:eastAsia="zh-CN"/>
        </w:rPr>
        <w:t>亿</w:t>
      </w:r>
      <w:r>
        <w:rPr>
          <w:rFonts w:hint="eastAsia" w:ascii="仿宋" w:hAnsi="仿宋" w:eastAsia="仿宋" w:cs="仿宋"/>
          <w:b w:val="0"/>
          <w:bCs w:val="0"/>
          <w:sz w:val="32"/>
          <w:szCs w:val="32"/>
          <w:highlight w:val="none"/>
        </w:rPr>
        <w:t>元，支付进度为94.0%</w:t>
      </w:r>
      <w:r>
        <w:rPr>
          <w:rFonts w:hint="eastAsia" w:ascii="仿宋" w:hAnsi="仿宋" w:eastAsia="仿宋" w:cs="仿宋"/>
          <w:b w:val="0"/>
          <w:bCs w:val="0"/>
          <w:sz w:val="32"/>
          <w:szCs w:val="32"/>
          <w:highlight w:val="none"/>
          <w:lang w:val="en-US" w:eastAsia="zh-CN"/>
        </w:rPr>
        <w:t>；四</w:t>
      </w:r>
      <w:r>
        <w:rPr>
          <w:rFonts w:hint="eastAsia" w:ascii="仿宋" w:hAnsi="仿宋" w:eastAsia="仿宋" w:cs="仿宋"/>
          <w:sz w:val="32"/>
          <w:szCs w:val="32"/>
        </w:rPr>
        <w:t>是强化项目为王、投资至上理念，准确把握国家政策导向，聚焦基础设施、产业发展、公共服务和民生保障等领域，全力争取上级支持，全年累计到位上级补助资金</w:t>
      </w:r>
      <w:r>
        <w:rPr>
          <w:rFonts w:hint="eastAsia" w:ascii="仿宋" w:hAnsi="仿宋" w:eastAsia="仿宋" w:cs="仿宋"/>
          <w:sz w:val="32"/>
          <w:szCs w:val="32"/>
          <w:lang w:val="en-US" w:eastAsia="zh-CN"/>
        </w:rPr>
        <w:t>17.21亿</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rPr>
        <w:t>依法依规拓宽融资渠道，积极争取新增地方政府债券资金1</w:t>
      </w:r>
      <w:r>
        <w:rPr>
          <w:rFonts w:hint="eastAsia" w:ascii="仿宋" w:hAnsi="仿宋" w:eastAsia="仿宋" w:cs="仿宋"/>
          <w:sz w:val="32"/>
          <w:szCs w:val="32"/>
          <w:lang w:val="en-US" w:eastAsia="zh-CN"/>
        </w:rPr>
        <w:t>.15亿</w:t>
      </w:r>
      <w:r>
        <w:rPr>
          <w:rFonts w:hint="eastAsia" w:ascii="仿宋" w:hAnsi="仿宋" w:eastAsia="仿宋" w:cs="仿宋"/>
          <w:sz w:val="32"/>
          <w:szCs w:val="32"/>
        </w:rPr>
        <w:t>元，有力保障公共卫生体系、交通、城市、产业园区等打基础、补短板、利长远的重点项目建设。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w:t>
      </w:r>
      <w:r>
        <w:rPr>
          <w:rFonts w:hint="eastAsia" w:ascii="仿宋" w:hAnsi="仿宋" w:eastAsia="仿宋" w:cs="仿宋"/>
          <w:b/>
          <w:bCs/>
          <w:sz w:val="32"/>
          <w:szCs w:val="32"/>
        </w:rPr>
        <w:t>加大调控力度，聚力保障民生。</w:t>
      </w:r>
      <w:r>
        <w:rPr>
          <w:rFonts w:hint="eastAsia" w:ascii="仿宋" w:hAnsi="仿宋" w:eastAsia="仿宋" w:cs="仿宋"/>
          <w:sz w:val="32"/>
          <w:szCs w:val="32"/>
        </w:rPr>
        <w:t>坚持“保民生、保基本、保生态、保稳定、保发展”基本方针，进一步调整优化支出结构，将更多财力用于支持民生事业发展。全县民生支出16.47亿元，占一般公共预算支出的82.6%，各项社会事业取得新进步。一是支持常态化疫情防控。筹措疫情防控资金约0.40亿元，支持全县核酸检测和疫情应急处置等能力提升以及新冠病毒疫苗接种等。二是加大援企稳岗支持力度。筹措就业补助资金0.30亿元，支持落实就业创业扶持政策；落实社保费阶段性减征缓缴政策，累计减征缓缴企业职工基本养老保险、失业保险、工伤保险费0.17亿元；累计发放稳岗返还资金443万元，受益脱贫人口8589人。三是提升社会保障水平。积极筹措资金1.65亿元落实退休人员基本养老金兑付及调标等政策。筹措城乡居民基本养老保险补助资金0.67亿元，为符合条件的参保居民发放基础养老金、丧葬补助金，给予参保人员缴费补贴、为缴费困难群体代缴部分或全部最低标准保费；累计筹措困难群众救助补助资金0.51亿元，全力保障好全县17540名困难群众基本生活水平。四是提升医疗保障水平。筹措资金0.16亿元，支持完善医疗保障体系；筹措资金0.2亿元，支持实施基本公共卫生服务，财政补助标准提高至每人每年84元。五是加快完善住房保障体系。筹措城镇保障性安居工程财政补助资金0.89亿元，支持城镇老旧小区改造、实施棚户区改造和公租房保障。六是加快推进为民办实事工程。累计筹措资金2.6亿元，完成11个为民办实事工程项目</w:t>
      </w:r>
      <w:r>
        <w:rPr>
          <w:rFonts w:hint="eastAsia" w:ascii="仿宋" w:hAnsi="仿宋" w:eastAsia="仿宋" w:cs="仿宋"/>
          <w:sz w:val="32"/>
          <w:szCs w:val="32"/>
          <w:lang w:eastAsia="zh-CN"/>
        </w:rPr>
        <w:t>。</w:t>
      </w:r>
      <w:r>
        <w:rPr>
          <w:rFonts w:hint="eastAsia" w:ascii="仿宋" w:hAnsi="仿宋" w:eastAsia="仿宋" w:cs="仿宋"/>
          <w:sz w:val="32"/>
          <w:szCs w:val="32"/>
        </w:rPr>
        <w:t>2022年，我县“三保”支出9</w:t>
      </w:r>
      <w:r>
        <w:rPr>
          <w:rFonts w:hint="eastAsia" w:ascii="仿宋" w:hAnsi="仿宋" w:eastAsia="仿宋" w:cs="仿宋"/>
          <w:sz w:val="32"/>
          <w:szCs w:val="32"/>
          <w:lang w:val="en-US" w:eastAsia="zh-CN"/>
        </w:rPr>
        <w:t>.</w:t>
      </w:r>
      <w:r>
        <w:rPr>
          <w:rFonts w:hint="eastAsia" w:ascii="仿宋" w:hAnsi="仿宋" w:eastAsia="仿宋" w:cs="仿宋"/>
          <w:sz w:val="32"/>
          <w:szCs w:val="32"/>
        </w:rPr>
        <w:t>1</w:t>
      </w:r>
      <w:r>
        <w:rPr>
          <w:rFonts w:hint="eastAsia" w:ascii="仿宋" w:hAnsi="仿宋" w:eastAsia="仿宋" w:cs="仿宋"/>
          <w:sz w:val="32"/>
          <w:szCs w:val="32"/>
          <w:lang w:val="en-US" w:eastAsia="zh-CN"/>
        </w:rPr>
        <w:t>5</w:t>
      </w:r>
      <w:r>
        <w:rPr>
          <w:rFonts w:hint="eastAsia" w:ascii="仿宋" w:hAnsi="仿宋" w:eastAsia="仿宋" w:cs="仿宋"/>
          <w:sz w:val="32"/>
          <w:szCs w:val="32"/>
        </w:rPr>
        <w:t>万元，其中基本民生支出3</w:t>
      </w:r>
      <w:r>
        <w:rPr>
          <w:rFonts w:hint="eastAsia" w:ascii="仿宋" w:hAnsi="仿宋" w:eastAsia="仿宋" w:cs="仿宋"/>
          <w:sz w:val="32"/>
          <w:szCs w:val="32"/>
          <w:lang w:val="en-US" w:eastAsia="zh-CN"/>
        </w:rPr>
        <w:t>.</w:t>
      </w:r>
      <w:r>
        <w:rPr>
          <w:rFonts w:hint="eastAsia" w:ascii="仿宋" w:hAnsi="仿宋" w:eastAsia="仿宋" w:cs="仿宋"/>
          <w:sz w:val="32"/>
          <w:szCs w:val="32"/>
        </w:rPr>
        <w:t>8</w:t>
      </w:r>
      <w:r>
        <w:rPr>
          <w:rFonts w:hint="eastAsia" w:ascii="仿宋" w:hAnsi="仿宋" w:eastAsia="仿宋" w:cs="仿宋"/>
          <w:sz w:val="32"/>
          <w:szCs w:val="32"/>
          <w:lang w:val="en-US" w:eastAsia="zh-CN"/>
        </w:rPr>
        <w:t>8亿</w:t>
      </w:r>
      <w:r>
        <w:rPr>
          <w:rFonts w:hint="eastAsia" w:ascii="仿宋" w:hAnsi="仿宋" w:eastAsia="仿宋" w:cs="仿宋"/>
          <w:sz w:val="32"/>
          <w:szCs w:val="32"/>
        </w:rPr>
        <w:t>元，保工资支出4</w:t>
      </w:r>
      <w:r>
        <w:rPr>
          <w:rFonts w:hint="eastAsia" w:ascii="仿宋" w:hAnsi="仿宋" w:eastAsia="仿宋" w:cs="仿宋"/>
          <w:sz w:val="32"/>
          <w:szCs w:val="32"/>
          <w:lang w:val="en-US" w:eastAsia="zh-CN"/>
        </w:rPr>
        <w:t>.</w:t>
      </w:r>
      <w:r>
        <w:rPr>
          <w:rFonts w:hint="eastAsia" w:ascii="仿宋" w:hAnsi="仿宋" w:eastAsia="仿宋" w:cs="仿宋"/>
          <w:sz w:val="32"/>
          <w:szCs w:val="32"/>
        </w:rPr>
        <w:t>9</w:t>
      </w:r>
      <w:r>
        <w:rPr>
          <w:rFonts w:hint="eastAsia" w:ascii="仿宋" w:hAnsi="仿宋" w:eastAsia="仿宋" w:cs="仿宋"/>
          <w:sz w:val="32"/>
          <w:szCs w:val="32"/>
          <w:lang w:val="en-US" w:eastAsia="zh-CN"/>
        </w:rPr>
        <w:t>2亿</w:t>
      </w:r>
      <w:r>
        <w:rPr>
          <w:rFonts w:hint="eastAsia" w:ascii="仿宋" w:hAnsi="仿宋" w:eastAsia="仿宋" w:cs="仿宋"/>
          <w:sz w:val="32"/>
          <w:szCs w:val="32"/>
        </w:rPr>
        <w:t>元，保运转支出</w:t>
      </w:r>
      <w:r>
        <w:rPr>
          <w:rFonts w:hint="eastAsia" w:ascii="仿宋" w:hAnsi="仿宋" w:eastAsia="仿宋" w:cs="仿宋"/>
          <w:sz w:val="32"/>
          <w:szCs w:val="32"/>
          <w:lang w:val="en-US" w:eastAsia="zh-CN"/>
        </w:rPr>
        <w:t>0.35亿</w:t>
      </w:r>
      <w:r>
        <w:rPr>
          <w:rFonts w:hint="eastAsia" w:ascii="仿宋" w:hAnsi="仿宋" w:eastAsia="仿宋" w:cs="仿宋"/>
          <w:sz w:val="32"/>
          <w:szCs w:val="32"/>
        </w:rPr>
        <w:t>元，基本民生得到保障，各单位运转正常。以前年度也不存在拖欠工资、绩效、社会保障缴费和住房公积金情况。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val="0"/>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lang w:eastAsia="zh-CN"/>
        </w:rPr>
        <w:t>）</w:t>
      </w:r>
      <w:r>
        <w:rPr>
          <w:rFonts w:hint="eastAsia" w:ascii="仿宋" w:hAnsi="仿宋" w:eastAsia="仿宋" w:cs="仿宋"/>
          <w:b/>
          <w:bCs/>
          <w:sz w:val="32"/>
          <w:szCs w:val="32"/>
        </w:rPr>
        <w:t>支持经济高质量发展力度进一步加大。</w:t>
      </w:r>
      <w:r>
        <w:rPr>
          <w:rFonts w:hint="eastAsia" w:ascii="仿宋" w:hAnsi="仿宋" w:eastAsia="仿宋" w:cs="仿宋"/>
          <w:b w:val="0"/>
          <w:bCs/>
          <w:sz w:val="32"/>
          <w:szCs w:val="32"/>
        </w:rPr>
        <w:t>一是支持乡村振兴。坚持农业农村优先发展，公共财政进一步向“三农”领域倾斜，在全县一般公共预算支出下降4.5%的情况下，农林水科目支出仍保持2.4%的增长。筹措粮食生产相关资金0.34亿元，保障种粮农民合理收益，维护国家粮食安全战略。筹措乡村振兴衔接资金、粤桂资金2.13亿元，统筹用于巩固拓展脱贫攻坚成果同乡村振兴有效衔接。筹措农业生产相关资金0.44亿元，支持现代农业、新型产业发展，促进农业生产提质增效。二是支持科教振兴。筹措科学技术资金0.20亿元，落实《广西壮族自治区科技创新条例》相关规定，持续加大财政科技经费投入力度，科学技术支出占一般公共预算支出比重达1.01%。筹措教育资金2.82亿元，用于支持加快建设高质量教育体系，支持实施义务教育薄弱环节改善和能力提升计划，做好义务教育教师待遇保障，确保了教育经费“两个只增不减”和“三个增长”。三是支持重大项目建设和有效投资。统筹资金0.55亿元，确保了G241梅溪至资源项目正常建设，有效解决全县群众通行难问题；筹措资金0.15亿元，解决历时10 年未接通的梅溪至天湖二级公路遗留问题，顺利实现全线贯通；统筹资金0.3亿元，支持农村饮水安全巩固提升工程。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val="0"/>
          <w:bCs/>
          <w:sz w:val="32"/>
          <w:szCs w:val="32"/>
        </w:rPr>
      </w:pPr>
      <w:r>
        <w:rPr>
          <w:rFonts w:hint="eastAsia" w:ascii="仿宋" w:hAnsi="仿宋" w:eastAsia="仿宋" w:cs="仿宋"/>
          <w:b/>
          <w:bCs w:val="0"/>
          <w:sz w:val="32"/>
          <w:szCs w:val="32"/>
          <w:lang w:eastAsia="zh-CN"/>
        </w:rPr>
        <w:t>（</w:t>
      </w:r>
      <w:r>
        <w:rPr>
          <w:rFonts w:hint="eastAsia" w:ascii="仿宋" w:hAnsi="仿宋" w:eastAsia="仿宋" w:cs="仿宋"/>
          <w:b/>
          <w:bCs w:val="0"/>
          <w:sz w:val="32"/>
          <w:szCs w:val="32"/>
          <w:lang w:val="en-US" w:eastAsia="zh-CN"/>
        </w:rPr>
        <w:t>三</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rPr>
        <w:t>财税体制改革持续深化。</w:t>
      </w:r>
      <w:r>
        <w:rPr>
          <w:rFonts w:hint="eastAsia" w:ascii="仿宋" w:hAnsi="仿宋" w:eastAsia="仿宋" w:cs="仿宋"/>
          <w:b/>
          <w:bCs w:val="0"/>
          <w:sz w:val="32"/>
          <w:szCs w:val="32"/>
          <w:lang w:val="en-US" w:eastAsia="zh-CN"/>
        </w:rPr>
        <w:t>一</w:t>
      </w:r>
      <w:r>
        <w:rPr>
          <w:rFonts w:hint="eastAsia" w:ascii="仿宋" w:hAnsi="仿宋" w:eastAsia="仿宋" w:cs="仿宋"/>
          <w:b w:val="0"/>
          <w:bCs/>
          <w:sz w:val="32"/>
          <w:szCs w:val="32"/>
        </w:rPr>
        <w:t>深入推进零基预算改革和项目支出标准体系建设，扎实推进预算管理一体化系统建设工作；</w:t>
      </w:r>
      <w:r>
        <w:rPr>
          <w:rFonts w:hint="eastAsia" w:ascii="仿宋" w:hAnsi="仿宋" w:eastAsia="仿宋" w:cs="仿宋"/>
          <w:b w:val="0"/>
          <w:bCs/>
          <w:sz w:val="32"/>
          <w:szCs w:val="32"/>
          <w:lang w:val="en-US" w:eastAsia="zh-CN"/>
        </w:rPr>
        <w:t>二</w:t>
      </w:r>
      <w:r>
        <w:rPr>
          <w:rFonts w:hint="eastAsia" w:ascii="仿宋" w:hAnsi="仿宋" w:eastAsia="仿宋" w:cs="仿宋"/>
          <w:b w:val="0"/>
          <w:bCs/>
          <w:sz w:val="32"/>
          <w:szCs w:val="32"/>
        </w:rPr>
        <w:t>是不断完善财政管理体制机制</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推行预算项目</w:t>
      </w:r>
      <w:r>
        <w:rPr>
          <w:rFonts w:hint="eastAsia" w:ascii="仿宋" w:hAnsi="仿宋" w:eastAsia="仿宋" w:cs="仿宋"/>
          <w:b w:val="0"/>
          <w:bCs/>
          <w:sz w:val="32"/>
          <w:szCs w:val="32"/>
        </w:rPr>
        <w:t>试点事前绩效评估，全面实施预算绩效管理，将所有项目支出资金纳入绩效目标管理范围，加快构建全面、规范、透明、标准、科学、约束有力的现代财政制度</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全年各类绩效评价资金达4.72亿元，占一般公共预算支出的22.6%</w:t>
      </w:r>
      <w:r>
        <w:rPr>
          <w:rFonts w:hint="eastAsia" w:ascii="仿宋" w:hAnsi="仿宋" w:eastAsia="仿宋" w:cs="仿宋"/>
          <w:b w:val="0"/>
          <w:bCs/>
          <w:sz w:val="32"/>
          <w:szCs w:val="32"/>
          <w:lang w:val="en-US" w:eastAsia="zh-CN"/>
        </w:rPr>
        <w:t>；三是</w:t>
      </w:r>
      <w:r>
        <w:rPr>
          <w:rFonts w:hint="eastAsia" w:ascii="仿宋" w:hAnsi="仿宋" w:eastAsia="仿宋" w:cs="仿宋"/>
          <w:b w:val="0"/>
          <w:bCs/>
          <w:sz w:val="32"/>
          <w:szCs w:val="32"/>
        </w:rPr>
        <w:t>规范全县惠民惠农“一卡通”财政补贴资金清单，建立其长效管理机制，2022年11月底全县惠民惠农“一卡通”软件成功上线，涉及各类惠民惠农财政补贴资金83项，实现补贴资金发放全流程监管。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val="0"/>
          <w:bCs/>
          <w:sz w:val="32"/>
          <w:szCs w:val="32"/>
        </w:rPr>
      </w:pPr>
      <w:r>
        <w:rPr>
          <w:rFonts w:hint="eastAsia" w:ascii="仿宋" w:hAnsi="仿宋" w:eastAsia="仿宋" w:cs="仿宋"/>
          <w:b/>
          <w:bCs w:val="0"/>
          <w:sz w:val="32"/>
          <w:szCs w:val="32"/>
          <w:lang w:eastAsia="zh-CN"/>
        </w:rPr>
        <w:t>（</w:t>
      </w:r>
      <w:r>
        <w:rPr>
          <w:rFonts w:hint="eastAsia" w:ascii="仿宋" w:hAnsi="仿宋" w:eastAsia="仿宋" w:cs="仿宋"/>
          <w:b/>
          <w:bCs w:val="0"/>
          <w:sz w:val="32"/>
          <w:szCs w:val="32"/>
          <w:lang w:val="en-US" w:eastAsia="zh-CN"/>
        </w:rPr>
        <w:t>四</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rPr>
        <w:t>财政风险防控不断加固。</w:t>
      </w:r>
      <w:r>
        <w:rPr>
          <w:rFonts w:hint="eastAsia" w:ascii="仿宋" w:hAnsi="仿宋" w:eastAsia="仿宋" w:cs="仿宋"/>
          <w:b w:val="0"/>
          <w:bCs/>
          <w:sz w:val="32"/>
          <w:szCs w:val="32"/>
        </w:rPr>
        <w:t>一是进一步加快政府债券管理改革。依托专项债券项目穿透式监测系统，实现对专项债券项目全周期、常态化风险监控，确保专项债券资金、资产安全。二是争取政府再融资债券0.78亿元，偿还到期债券本金0.78亿元、支付政府债券利息0.35亿元，确保政府债券不出风险。三是有序化解存量政府隐性债务，累计化解率达到146%，超额完成2022年政府隐性债务累计化解计划。四是兜牢基层“三保”底线，把保“三保”作为重中之重，集中有限的财力，将有限的资金用在保基本民生、保工资和保运转上，兜牢基层“三保”底线，加强“三保”支出预算审核，预算编制严格落实“三保”需求，强化库款监测，对财政暂付性款项加大力度“消存量、控增量”，确保库款规模在合理区间，确保工资按时足额发放，全力以赴保障全县财政平稳运行。全县“三保”支出9.26亿元，其中保基本民生支出4.03亿元、保工资支出4.85亿元、保运转支出0.38亿元；全年消化财政暂付性款项0.81亿元，完成年初计划0.73亿元的110.96%，比上年末降低47.3%，2022年底财政暂付款项余额0.9亿元，占一般公共预算支出和政府性基金支出之和的4.1%，严格控制在5%以内。五是深入实施“桂惠贷”政策，全年发放“桂惠贷”5.37亿元、贴息1077万元、惠及606户市场主体；发放国家创业担保贷款0.22亿元、贴息100万元；发放农担贷款和小微企业贷款0.72亿元，支持市场主体132户；拨付政策性农业保险补贴989万元，有效化解金融领域重大风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三、财政运行存在的问题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（一）财政收入增长乏力，收支矛盾日益突出</w:t>
      </w:r>
      <w:r>
        <w:rPr>
          <w:rFonts w:hint="eastAsia" w:ascii="仿宋" w:hAnsi="仿宋" w:eastAsia="仿宋" w:cs="仿宋"/>
          <w:sz w:val="32"/>
          <w:szCs w:val="32"/>
        </w:rPr>
        <w:t>。一是县域财源基础薄弱。我县工业基础比较薄弱，服务业发展不够充分，财税收入增长主要电</w:t>
      </w:r>
      <w:r>
        <w:rPr>
          <w:rFonts w:hint="eastAsia" w:ascii="仿宋" w:hAnsi="仿宋" w:eastAsia="仿宋" w:cs="仿宋"/>
          <w:sz w:val="32"/>
          <w:szCs w:val="32"/>
          <w:lang w:val="en-US" w:eastAsia="zh-CN"/>
        </w:rPr>
        <w:t>力业</w:t>
      </w:r>
      <w:r>
        <w:rPr>
          <w:rFonts w:hint="eastAsia" w:ascii="仿宋" w:hAnsi="仿宋" w:eastAsia="仿宋" w:cs="仿宋"/>
          <w:sz w:val="32"/>
          <w:szCs w:val="32"/>
        </w:rPr>
        <w:t>。水电行业电站装机容量基本固定，还受到降水量和发电计划的影响，导致行业税收具有“增长有限，减收无底”的特征；建筑业主要依赖于政府大型工程投资；金融业基本饱和，近年来受优惠政策影响纳税不增反降。我县招商引资工作目前取得了一定成效，但是从企业投产到产生大规模税收效应需要一定的时间。总体来看，县域税源基础薄弱的现状尚未根本改变。虽然税收收入占比在提升，但比重仍然不高，反映出我县经济结构还需再优化。</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（二）债务包袱沉重，偿债压力十分艰巨。</w:t>
      </w:r>
      <w:r>
        <w:rPr>
          <w:rFonts w:hint="eastAsia" w:ascii="仿宋" w:hAnsi="仿宋" w:eastAsia="仿宋" w:cs="仿宋"/>
          <w:sz w:val="32"/>
          <w:szCs w:val="32"/>
        </w:rPr>
        <w:t>为促进地方经济快速发展，加快城镇化建设、棚户区改造、精准扶贫、城市基础设施建设、</w:t>
      </w:r>
      <w:r>
        <w:rPr>
          <w:rFonts w:hint="eastAsia" w:ascii="仿宋" w:hAnsi="仿宋" w:eastAsia="仿宋" w:cs="仿宋"/>
          <w:sz w:val="32"/>
          <w:szCs w:val="32"/>
          <w:lang w:eastAsia="zh-CN"/>
        </w:rPr>
        <w:t>创建</w:t>
      </w:r>
      <w:r>
        <w:rPr>
          <w:rFonts w:hint="eastAsia" w:ascii="仿宋" w:hAnsi="仿宋" w:eastAsia="仿宋" w:cs="仿宋"/>
          <w:sz w:val="32"/>
          <w:szCs w:val="32"/>
        </w:rPr>
        <w:t>文明城市等，近年来，县委、县政府投入了大量资金，过去通过融资平台融资弥补了财政资金不足，随着偿债高峰期到来，加之经济下行和结构调整增加债务需求以及增支压力削弱偿债能力，未来一定时期债务风险防控任务将更加艰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lang w:eastAsia="zh-CN"/>
        </w:rPr>
        <w:t>）</w:t>
      </w:r>
      <w:r>
        <w:rPr>
          <w:rFonts w:hint="eastAsia" w:ascii="仿宋" w:hAnsi="仿宋" w:eastAsia="仿宋" w:cs="仿宋"/>
          <w:b/>
          <w:bCs/>
          <w:sz w:val="32"/>
          <w:szCs w:val="32"/>
        </w:rPr>
        <w:t>财政改革有待深化，监管水平需进一步提高。</w:t>
      </w:r>
      <w:r>
        <w:rPr>
          <w:rFonts w:hint="eastAsia" w:ascii="仿宋" w:hAnsi="仿宋" w:eastAsia="仿宋" w:cs="仿宋"/>
          <w:sz w:val="32"/>
          <w:szCs w:val="32"/>
        </w:rPr>
        <w:t>预算编制的科学化和精细化还需提高，预算执行中调整追加频繁、支出进度较慢、预算执行约束力不强的问题仍然存在。财政支出不足与支出浪费并存，资金整合统筹力度还需加大，撒“胡椒面”的现象仍然存在，资金使用绩效不高问题比较突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bCs/>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宋体" w:hAnsi="宋体" w:eastAsia="宋体" w:cs="宋体"/>
          <w:b/>
          <w:bCs/>
          <w:sz w:val="44"/>
          <w:szCs w:val="44"/>
          <w:lang w:val="en-US"/>
        </w:rPr>
      </w:pPr>
      <w:r>
        <w:rPr>
          <w:rFonts w:hint="eastAsia" w:ascii="宋体" w:hAnsi="宋体" w:eastAsia="宋体" w:cs="宋体"/>
          <w:b/>
          <w:bCs/>
          <w:sz w:val="44"/>
          <w:szCs w:val="44"/>
          <w:lang w:val="en-US" w:eastAsia="zh-CN"/>
        </w:rPr>
        <w:t>第三章</w:t>
      </w: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3</w:t>
      </w:r>
      <w:r>
        <w:rPr>
          <w:rFonts w:hint="eastAsia" w:ascii="宋体" w:hAnsi="宋体" w:eastAsia="宋体" w:cs="宋体"/>
          <w:b/>
          <w:bCs/>
          <w:sz w:val="44"/>
          <w:szCs w:val="44"/>
        </w:rPr>
        <w:t>年财政</w:t>
      </w:r>
      <w:r>
        <w:rPr>
          <w:rFonts w:hint="eastAsia" w:ascii="宋体" w:hAnsi="宋体" w:eastAsia="宋体" w:cs="宋体"/>
          <w:b/>
          <w:bCs/>
          <w:sz w:val="44"/>
          <w:szCs w:val="44"/>
          <w:lang w:val="en-US" w:eastAsia="zh-CN"/>
        </w:rPr>
        <w:t>工作计划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2023年政府工作总体要求是：以习近平新时代中国特色社会主义思想为指导，全面贯彻落实党的二十大精神和中央经济工作会议精神，认真学习贯彻习近平总书记对广西“五个更大”重要要求，紧紧围绕自治区党委十二届五次全会暨经济工作会议重大部署，深入贯彻落实县委十四届三次全会精神，坚持稳中求进工作总基调，完整、准确、全面贯彻新发展理念，加快融入和服务新发展格局，着力推动高质量发展，全面深化改革开放，大力提振市场信心，突出做好稳增长、稳就业、稳物价工作，有效防范化解重大风险，推动经济运行整体好转，实现质的有效提升和量的合理增长，牢牢守住“金不换”的生态优势，按照“生态立县、农业稳县、产业强县、文旅富县”发展思路，积极融入桂林打造世界级旅游城市大局，以打造世界级旅游小镇为统揽，以争创自治区县域经济高质量发展进步县为目标，强力推进三大振兴，大力推进“一核三轴”建设，持续抓实“1234”和“3个2”重点工作，坚定不移走“六大发展之路”，树牢项目建设“八大意识”，坚守安全发展“六条底线”，持续建设三大生态示范县，持续打造讲政治、讲大局、讲规矩的“五型”机关，更好统筹疫情防控和经济社会发展，更好统筹发展和安全，保持经济平稳健康发展，民生持续改善，社会和谐稳定，奋力谱写建设新时代壮美广西美丽资源新篇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bCs/>
          <w:sz w:val="32"/>
          <w:szCs w:val="32"/>
        </w:rPr>
      </w:pPr>
      <w:r>
        <w:rPr>
          <w:rFonts w:hint="eastAsia" w:ascii="仿宋" w:hAnsi="仿宋" w:eastAsia="仿宋" w:cs="仿宋"/>
          <w:sz w:val="32"/>
          <w:szCs w:val="32"/>
          <w:lang w:val="en-US" w:eastAsia="zh-CN"/>
        </w:rPr>
        <w:t>一、</w:t>
      </w:r>
      <w:r>
        <w:rPr>
          <w:rFonts w:hint="eastAsia" w:ascii="仿宋" w:hAnsi="仿宋" w:eastAsia="仿宋" w:cs="仿宋"/>
          <w:b/>
          <w:bCs/>
          <w:sz w:val="32"/>
          <w:szCs w:val="32"/>
        </w:rPr>
        <w:t>着力打造实力财政，进一步提高组织收入水平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年，地方一般公共财政收入</w:t>
      </w:r>
      <w:r>
        <w:rPr>
          <w:rFonts w:hint="eastAsia" w:ascii="仿宋" w:hAnsi="仿宋" w:eastAsia="仿宋" w:cs="仿宋"/>
          <w:sz w:val="32"/>
          <w:szCs w:val="32"/>
          <w:lang w:val="en-US" w:eastAsia="zh-CN"/>
        </w:rPr>
        <w:t>预计完成15160 万元</w:t>
      </w:r>
      <w:r>
        <w:rPr>
          <w:rFonts w:hint="eastAsia" w:ascii="仿宋" w:hAnsi="仿宋" w:eastAsia="仿宋" w:cs="仿宋"/>
          <w:sz w:val="32"/>
          <w:szCs w:val="32"/>
        </w:rPr>
        <w:t>，增幅3%</w:t>
      </w:r>
      <w:r>
        <w:rPr>
          <w:rFonts w:hint="eastAsia" w:ascii="仿宋" w:hAnsi="仿宋" w:eastAsia="仿宋" w:cs="仿宋"/>
          <w:sz w:val="32"/>
          <w:szCs w:val="32"/>
          <w:lang w:val="en-US" w:eastAsia="zh-CN"/>
        </w:rPr>
        <w:t>预算</w:t>
      </w:r>
      <w:r>
        <w:rPr>
          <w:rFonts w:hint="eastAsia" w:ascii="仿宋" w:hAnsi="仿宋" w:eastAsia="仿宋" w:cs="仿宋"/>
          <w:sz w:val="32"/>
          <w:szCs w:val="32"/>
        </w:rPr>
        <w:t>目标，坚持量质并举，把注意力更多地放在提高收入质量和效益上，放在提高财政综合实力上。一是加强税源管理，进一步增强协税护税意识。加大对重点税源和主体税种的监控，配合做好新的税源摸排，督促有关单位加快在建项目工程进度，确保项目早投产达产，早出效益。二是加强招商引税，配合税务部门加强对与外地存在关联方交易的企业进行全面梳理，加强对建筑、房地产等企业总分支机构所得税的征收监管，促进税收回流。三是加强非税收入监管，落实涉企行政事业性收费目录清单管理。全面落实非税收入收缴电子化管理，实现非税收入收缴管理信息系统与执收单位信息系统的互联互通和信息共享。四是完善考核奖惩机制，落实协税护税制度，确保收入任务全面完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着力打造发展财政，进一步夯实财源经济基础</w:t>
      </w:r>
      <w:r>
        <w:rPr>
          <w:rFonts w:hint="eastAsia" w:ascii="仿宋" w:hAnsi="仿宋" w:eastAsia="仿宋" w:cs="仿宋"/>
          <w:b/>
          <w:bCs/>
          <w:sz w:val="32"/>
          <w:szCs w:val="32"/>
          <w:lang w:eastAsia="zh-CN"/>
        </w:rPr>
        <w:t>。</w:t>
      </w:r>
      <w:r>
        <w:rPr>
          <w:rFonts w:hint="eastAsia" w:ascii="仿宋" w:hAnsi="仿宋" w:eastAsia="仿宋" w:cs="仿宋"/>
          <w:sz w:val="32"/>
          <w:szCs w:val="32"/>
        </w:rPr>
        <w:t>经济决定财政，财政影响经济。找准财政工作的着力点，促进经济健康发展，推动财政收入稳步增长，努力解决发展难题。一是主动服务实体经济。进一步支持与优化营商环境，支持推进新型工业，支持发展服务业，做大做强农业产业。把财税贡献率作为衡量财源建设的重要指标，对财源项目投入与产出进行跟踪问效，确保把有限财政资金用在关键点上、用在最急需的保障上、用在预期能形成财税回报的项目上。严格落实各项税收减免政策，切实减轻企业负担。二是积极争取项目扶持。做好</w:t>
      </w:r>
      <w:r>
        <w:rPr>
          <w:rFonts w:hint="eastAsia" w:ascii="仿宋" w:hAnsi="仿宋" w:eastAsia="仿宋" w:cs="仿宋"/>
          <w:sz w:val="32"/>
          <w:szCs w:val="32"/>
          <w:lang w:val="en-US" w:eastAsia="zh-CN"/>
        </w:rPr>
        <w:t>自治区财政及</w:t>
      </w:r>
      <w:r>
        <w:rPr>
          <w:rFonts w:hint="eastAsia" w:ascii="仿宋" w:hAnsi="仿宋" w:eastAsia="仿宋" w:cs="仿宋"/>
          <w:sz w:val="32"/>
          <w:szCs w:val="32"/>
        </w:rPr>
        <w:t>主管部门对接，积极向上争取财源建设，为县域经济持续发展注入活力。三是及早谋划项目，千方百计用足用活政策，充分把握国家和</w:t>
      </w:r>
      <w:r>
        <w:rPr>
          <w:rFonts w:hint="eastAsia" w:ascii="仿宋" w:hAnsi="仿宋" w:eastAsia="仿宋" w:cs="仿宋"/>
          <w:sz w:val="32"/>
          <w:szCs w:val="32"/>
          <w:lang w:val="en-US" w:eastAsia="zh-CN"/>
        </w:rPr>
        <w:t>自治区</w:t>
      </w:r>
      <w:r>
        <w:rPr>
          <w:rFonts w:hint="eastAsia" w:ascii="仿宋" w:hAnsi="仿宋" w:eastAsia="仿宋" w:cs="仿宋"/>
          <w:sz w:val="32"/>
          <w:szCs w:val="32"/>
        </w:rPr>
        <w:t>政策导向，谋划更多项目纳入</w:t>
      </w:r>
      <w:r>
        <w:rPr>
          <w:rFonts w:hint="eastAsia" w:ascii="仿宋" w:hAnsi="仿宋" w:eastAsia="仿宋" w:cs="仿宋"/>
          <w:sz w:val="32"/>
          <w:szCs w:val="32"/>
          <w:lang w:val="en-US" w:eastAsia="zh-CN"/>
        </w:rPr>
        <w:t>自治区</w:t>
      </w:r>
      <w:r>
        <w:rPr>
          <w:rFonts w:hint="eastAsia" w:ascii="仿宋" w:hAnsi="仿宋" w:eastAsia="仿宋" w:cs="仿宋"/>
          <w:sz w:val="32"/>
          <w:szCs w:val="32"/>
        </w:rPr>
        <w:t>盘子，发挥政府投资对经济的拉动作用。四是拓宽企业融资渠道。充分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桂惠贷</w:t>
      </w:r>
      <w:r>
        <w:rPr>
          <w:rFonts w:hint="eastAsia" w:ascii="仿宋" w:hAnsi="仿宋" w:eastAsia="仿宋" w:cs="仿宋"/>
          <w:sz w:val="32"/>
          <w:szCs w:val="32"/>
          <w:lang w:eastAsia="zh-CN"/>
        </w:rPr>
        <w:t>”</w:t>
      </w:r>
      <w:r>
        <w:rPr>
          <w:rFonts w:hint="eastAsia" w:ascii="仿宋" w:hAnsi="仿宋" w:eastAsia="仿宋" w:cs="仿宋"/>
          <w:sz w:val="32"/>
          <w:szCs w:val="32"/>
        </w:rPr>
        <w:t>引导作用</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b/>
          <w:bCs/>
          <w:sz w:val="32"/>
          <w:szCs w:val="32"/>
        </w:rPr>
        <w:t>着力打造为民财政，进一步增强财政保障</w:t>
      </w:r>
      <w:r>
        <w:rPr>
          <w:rFonts w:hint="eastAsia" w:ascii="仿宋" w:hAnsi="仿宋" w:eastAsia="仿宋" w:cs="仿宋"/>
          <w:b/>
          <w:bCs/>
          <w:sz w:val="32"/>
          <w:szCs w:val="32"/>
          <w:lang w:eastAsia="zh-CN"/>
        </w:rPr>
        <w:t>能力</w:t>
      </w:r>
      <w:r>
        <w:rPr>
          <w:rFonts w:hint="eastAsia" w:ascii="仿宋" w:hAnsi="仿宋" w:eastAsia="仿宋" w:cs="仿宋"/>
          <w:sz w:val="32"/>
          <w:szCs w:val="32"/>
          <w:lang w:eastAsia="zh-CN"/>
        </w:rPr>
        <w:t>，</w:t>
      </w:r>
      <w:r>
        <w:rPr>
          <w:rFonts w:hint="eastAsia" w:ascii="仿宋" w:hAnsi="仿宋" w:eastAsia="仿宋" w:cs="仿宋"/>
          <w:sz w:val="32"/>
          <w:szCs w:val="32"/>
        </w:rPr>
        <w:t>财政支出既要量力而行，又要尽力而为，做到有保有压，统筹兼顾，要把党史</w:t>
      </w:r>
      <w:r>
        <w:rPr>
          <w:rFonts w:hint="eastAsia" w:ascii="仿宋" w:hAnsi="仿宋" w:eastAsia="仿宋" w:cs="仿宋"/>
          <w:sz w:val="32"/>
          <w:szCs w:val="32"/>
          <w:lang w:val="en-US" w:eastAsia="zh-CN"/>
        </w:rPr>
        <w:t>学习教育</w:t>
      </w:r>
      <w:r>
        <w:rPr>
          <w:rFonts w:hint="eastAsia" w:ascii="仿宋" w:hAnsi="仿宋" w:eastAsia="仿宋" w:cs="仿宋"/>
          <w:sz w:val="32"/>
          <w:szCs w:val="32"/>
        </w:rPr>
        <w:t>的成效体现到为民办实事上来，集中财力办大事要事，确保县委重大项目、重点工作、民生工程资金兑现，兜住“三保”底线。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w:t>
      </w:r>
      <w:r>
        <w:rPr>
          <w:rFonts w:hint="eastAsia" w:ascii="仿宋" w:hAnsi="仿宋" w:eastAsia="仿宋" w:cs="仿宋"/>
          <w:b/>
          <w:bCs/>
          <w:sz w:val="32"/>
          <w:szCs w:val="32"/>
        </w:rPr>
        <w:t>继续加大“三农”投入，服务乡村振兴战略</w:t>
      </w:r>
      <w:r>
        <w:rPr>
          <w:rFonts w:hint="eastAsia" w:ascii="仿宋" w:hAnsi="仿宋" w:eastAsia="仿宋" w:cs="仿宋"/>
          <w:sz w:val="32"/>
          <w:szCs w:val="32"/>
        </w:rPr>
        <w:t>，巩固拓展脱贫攻坚成果。优先保证公共财政支农投入，推动农业可持续发展；加大农业基础设施投入力度，提高农业综合生产能力，大力支持农村公益事业。支持构建新型农业经营服务体系，培育壮大新型农业经营主体；认真贯彻落实各种涉农政策，加强补贴资金和农村“三资”监管，减轻农民负担；持续稳步推进农村集体产权制度改革，加大乡镇</w:t>
      </w:r>
      <w:r>
        <w:rPr>
          <w:rFonts w:hint="eastAsia" w:ascii="仿宋" w:hAnsi="仿宋" w:eastAsia="仿宋" w:cs="仿宋"/>
          <w:sz w:val="32"/>
          <w:szCs w:val="32"/>
          <w:lang w:val="en-US" w:eastAsia="zh-CN"/>
        </w:rPr>
        <w:t>财政所</w:t>
      </w:r>
      <w:r>
        <w:rPr>
          <w:rFonts w:hint="eastAsia" w:ascii="仿宋" w:hAnsi="仿宋" w:eastAsia="仿宋" w:cs="仿宋"/>
          <w:sz w:val="32"/>
          <w:szCs w:val="32"/>
        </w:rPr>
        <w:t>业务培训力度，</w:t>
      </w:r>
      <w:r>
        <w:rPr>
          <w:rFonts w:hint="eastAsia" w:ascii="仿宋" w:hAnsi="仿宋" w:eastAsia="仿宋" w:cs="仿宋"/>
          <w:sz w:val="32"/>
          <w:szCs w:val="32"/>
          <w:lang w:val="en-US" w:eastAsia="zh-CN"/>
        </w:rPr>
        <w:t>进一步加强</w:t>
      </w:r>
      <w:r>
        <w:rPr>
          <w:rFonts w:hint="eastAsia" w:ascii="仿宋" w:hAnsi="仿宋" w:eastAsia="仿宋" w:cs="仿宋"/>
          <w:sz w:val="32"/>
          <w:szCs w:val="32"/>
        </w:rPr>
        <w:t>推行村级财务</w:t>
      </w:r>
      <w:r>
        <w:rPr>
          <w:rFonts w:hint="eastAsia" w:ascii="仿宋" w:hAnsi="仿宋" w:eastAsia="仿宋" w:cs="仿宋"/>
          <w:sz w:val="32"/>
          <w:szCs w:val="32"/>
          <w:lang w:val="en-US" w:eastAsia="zh-CN"/>
        </w:rPr>
        <w:t>乡财政所</w:t>
      </w:r>
      <w:r>
        <w:rPr>
          <w:rFonts w:hint="eastAsia" w:ascii="仿宋" w:hAnsi="仿宋" w:eastAsia="仿宋" w:cs="仿宋"/>
          <w:sz w:val="32"/>
          <w:szCs w:val="32"/>
        </w:rPr>
        <w:t>代理记账工作。</w:t>
      </w:r>
      <w:r>
        <w:rPr>
          <w:rFonts w:hint="eastAsia" w:ascii="仿宋" w:hAnsi="仿宋" w:eastAsia="仿宋" w:cs="仿宋"/>
          <w:sz w:val="32"/>
          <w:szCs w:val="32"/>
          <w:lang w:val="en-US" w:eastAsia="zh-CN"/>
        </w:rPr>
        <w:t>农村集体经费</w:t>
      </w:r>
      <w:r>
        <w:rPr>
          <w:rFonts w:hint="eastAsia" w:ascii="仿宋" w:hAnsi="仿宋" w:eastAsia="仿宋" w:cs="仿宋"/>
          <w:sz w:val="32"/>
          <w:szCs w:val="32"/>
        </w:rPr>
        <w:t>工作头绪多、任务重、责任大，需要各乡镇财政所的同志们同心同向，奋力推进。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w:t>
      </w:r>
      <w:r>
        <w:rPr>
          <w:rFonts w:hint="eastAsia" w:ascii="仿宋" w:hAnsi="仿宋" w:eastAsia="仿宋" w:cs="仿宋"/>
          <w:b/>
          <w:bCs/>
          <w:sz w:val="32"/>
          <w:szCs w:val="32"/>
        </w:rPr>
        <w:t>继续加大民生保障投入，持续改善民生福祉</w:t>
      </w:r>
      <w:r>
        <w:rPr>
          <w:rFonts w:hint="eastAsia" w:ascii="仿宋" w:hAnsi="仿宋" w:eastAsia="仿宋" w:cs="仿宋"/>
          <w:sz w:val="32"/>
          <w:szCs w:val="32"/>
        </w:rPr>
        <w:t>。落实社会保障事业发展的资金需要，千方百计把民生资金管好用好，增强民生政策的公平性和可持续性。保障常态化疫情防控资金需求，加快推进社会养老服务体系建设，落实困难群众救助政策，推动公立医院高质量发展。加大职业技能培训、公共就业服务的支持力度，发挥创业带动就业的倍增效应。完善不同教育类型的财政支持政策，努力做好教育建设资金保障，促进教育公平和质量提高，切实保障义务教育教师工资待遇，推动文化、体育、科技事业繁荣发展。支持法</w:t>
      </w:r>
      <w:r>
        <w:rPr>
          <w:rFonts w:hint="eastAsia" w:ascii="仿宋" w:hAnsi="仿宋" w:eastAsia="仿宋" w:cs="仿宋"/>
          <w:sz w:val="32"/>
          <w:szCs w:val="32"/>
          <w:lang w:val="en-US" w:eastAsia="zh-CN"/>
        </w:rPr>
        <w:t>治</w:t>
      </w:r>
      <w:r>
        <w:rPr>
          <w:rFonts w:hint="eastAsia" w:ascii="仿宋" w:hAnsi="仿宋" w:eastAsia="仿宋" w:cs="仿宋"/>
          <w:sz w:val="32"/>
          <w:szCs w:val="32"/>
        </w:rPr>
        <w:t>建设和社会管理创新工作，提升社会治理水平，促进各类社会事业和谐发展。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lang w:eastAsia="zh-CN"/>
        </w:rPr>
        <w:t>）</w:t>
      </w:r>
      <w:r>
        <w:rPr>
          <w:rFonts w:hint="eastAsia" w:ascii="仿宋" w:hAnsi="仿宋" w:eastAsia="仿宋" w:cs="仿宋"/>
          <w:b/>
          <w:bCs/>
          <w:sz w:val="32"/>
          <w:szCs w:val="32"/>
        </w:rPr>
        <w:t>继续倡导厉行节约，严格执行财经纪律</w:t>
      </w:r>
      <w:r>
        <w:rPr>
          <w:rFonts w:hint="eastAsia" w:ascii="仿宋" w:hAnsi="仿宋" w:eastAsia="仿宋" w:cs="仿宋"/>
          <w:b w:val="0"/>
          <w:bCs w:val="0"/>
          <w:sz w:val="32"/>
          <w:szCs w:val="32"/>
        </w:rPr>
        <w:t>。</w:t>
      </w:r>
      <w:r>
        <w:rPr>
          <w:rFonts w:hint="eastAsia" w:ascii="仿宋" w:hAnsi="仿宋" w:eastAsia="仿宋" w:cs="仿宋"/>
          <w:sz w:val="32"/>
          <w:szCs w:val="32"/>
        </w:rPr>
        <w:t>坚持量力而行、精打细算，增强预算支出的均衡性，提高预算执行的约束力</w:t>
      </w:r>
      <w:r>
        <w:rPr>
          <w:rFonts w:hint="eastAsia" w:ascii="仿宋" w:hAnsi="仿宋" w:eastAsia="仿宋" w:cs="仿宋"/>
          <w:sz w:val="32"/>
          <w:szCs w:val="32"/>
          <w:lang w:eastAsia="zh-CN"/>
        </w:rPr>
        <w:t>。</w:t>
      </w:r>
      <w:r>
        <w:rPr>
          <w:rFonts w:hint="eastAsia" w:ascii="仿宋" w:hAnsi="仿宋" w:eastAsia="仿宋" w:cs="仿宋"/>
          <w:sz w:val="32"/>
          <w:szCs w:val="32"/>
        </w:rPr>
        <w:t>进一步强化“节支就是增收”的理念，坚持节俭办事，开源节流。严格执行会议费、差旅费、培训费等管理办法，带头自觉遵守财经纪律。着力打造效率财政，进一步强化科学精细管理。大力推行第三方中介机构参与绩效评价、评审工作，充分发挥财政评审的定量基础和技术支撑作用，强化评审结果运用，不断提高财政资金使用绩效。完善专项资金绩效预算目标管理，健全项目支出管理办法，使专项资金使用更加规范、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四、</w:t>
      </w:r>
      <w:r>
        <w:rPr>
          <w:rFonts w:hint="eastAsia" w:ascii="仿宋" w:hAnsi="仿宋" w:eastAsia="仿宋" w:cs="仿宋"/>
          <w:b/>
          <w:sz w:val="32"/>
          <w:szCs w:val="32"/>
        </w:rPr>
        <w:t>坚持严抓监督管理，持续防范化解财政风险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b w:val="0"/>
          <w:bCs/>
          <w:sz w:val="32"/>
          <w:szCs w:val="32"/>
        </w:rPr>
        <w:t>统筹发展和安全，强化底线思维，加大财政运行风险研判和监管，确保财政平稳运行。加强政府债务监管</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管好用好政府债券资金，推进专项债券全生命周期管理，充分发挥政府债券资金稳增长、扩投资、补短板作用。强化到期债务常态化监控预警机制，做到潜在风险早发现、早处置。抓实隐性债务存量化解工作，强化多部门联合监管，严肃问责违法违规举债融资行为，牢牢守住不发生区域性、系统性风险的底线。</w:t>
      </w:r>
      <w:r>
        <w:rPr>
          <w:rFonts w:hint="eastAsia" w:ascii="仿宋" w:hAnsi="仿宋" w:eastAsia="仿宋" w:cs="仿宋"/>
          <w:sz w:val="32"/>
          <w:szCs w:val="32"/>
        </w:rPr>
        <w:t>持续做好财政暂付性款项清理消化工作，牢固树立“无预算不支出”的理念，按照“消化存量，严控增量，压减规模”的原则，切实加大清理消化力度，确保财政暂付性款项累计余额控制在当年一般公共预算和政府性基金预算本级支出之和限额比例范围内；严格预算执行，坚持“先有预算，后有支出”，严禁通过列示暂付性款项实现收支平衡或解决新增支出需求；做好预算收支统筹平衡，避免年末出现收支缺口导致新增暂付性款项的情况；开展预算单位往来款清理工作，解决预算单位往来款项长期不清理或清理不彻底、干部职工或其他单位长期借用公款不归还、不催收、应缴财政款项长期不上缴等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五、依托财政一体化系统，进一推进信息化系统建设纵深发展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持续深入用好预算管理一体化各业务模块的业务管理，结合一体化总会计模块，做好新制度下财政总会计日常核算工作。二是加强数据对比分析，2023年自治区在预算执行、财政决算、政府财务报告、直达资金监控等系统整合到预算管理一体化系统后，实际各业务模块数据共享，减少工作强度，提高数据的准确性，对业务质量提出更高要求，国库股将进一步提升决算和政府财务报告编审工作质量，决算和财报是预算执行和财务管理的结果反映，要进一步强化对预算单位会计核算指导和培训，提高数据质量，加强与资产、社会保险基金等其他有关报告报表的衔接对应，做好财政信息公开工作，不断丰富公开内容，指导和督促各部门继续依规有序推进所属单位决算公开。2022年上线的一体化银行账户管理模块，提升银行账户管理能力，预算单位银行账户申报核准和备案全部在一体化中完成，提供单位银行账户信息动态查询，真实可靠。根据工作需要，开展预算单位实有资金账户专项清理工作。</w:t>
      </w:r>
      <w:r>
        <w:rPr>
          <w:rFonts w:hint="eastAsia" w:ascii="仿宋" w:hAnsi="仿宋" w:eastAsia="仿宋" w:cs="仿宋"/>
          <w:b w:val="0"/>
          <w:bCs w:val="0"/>
          <w:sz w:val="32"/>
          <w:szCs w:val="32"/>
          <w:lang w:val="en-US" w:eastAsia="zh-CN"/>
        </w:rPr>
        <w:t>做好新财政总预算会计制度学习和衔接工作，提升财政总会计会计信息的利用率，使会计信息变成真正有用的东西更加清晰反映政府财政预算执行情况、财务状况、运行情况和现金流量等政府财政财务信息和预算执行信息</w:t>
      </w:r>
      <w:r>
        <w:rPr>
          <w:rFonts w:hint="eastAsia" w:ascii="仿宋" w:hAnsi="仿宋" w:eastAsia="仿宋" w:cs="仿宋"/>
          <w:sz w:val="32"/>
          <w:szCs w:val="32"/>
          <w:lang w:val="en-US" w:eastAsia="zh-CN"/>
        </w:rPr>
        <w:t>，多维度挖掘财务收支信息，为财政经济运行分析工作提供更强有力的数据支持。</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进一步加强财会监督工作</w:t>
      </w:r>
      <w:r>
        <w:rPr>
          <w:rFonts w:hint="eastAsia" w:ascii="仿宋" w:hAnsi="仿宋" w:eastAsia="仿宋" w:cs="仿宋"/>
          <w:b/>
          <w:bCs/>
          <w:sz w:val="32"/>
          <w:szCs w:val="32"/>
          <w:lang w:eastAsia="zh-CN"/>
        </w:rPr>
        <w:t>，</w:t>
      </w:r>
      <w:r>
        <w:rPr>
          <w:rFonts w:hint="eastAsia" w:ascii="仿宋" w:hAnsi="仿宋" w:eastAsia="仿宋" w:cs="仿宋"/>
          <w:b/>
          <w:bCs/>
          <w:sz w:val="32"/>
          <w:szCs w:val="32"/>
        </w:rPr>
        <w:t>加强财政监督检查。</w:t>
      </w:r>
      <w:r>
        <w:rPr>
          <w:rFonts w:hint="eastAsia" w:ascii="仿宋" w:hAnsi="仿宋" w:eastAsia="仿宋" w:cs="仿宋"/>
          <w:sz w:val="32"/>
          <w:szCs w:val="32"/>
        </w:rPr>
        <w:t>加大对重大政策执行、重大改革措施落实</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加大对</w:t>
      </w:r>
      <w:r>
        <w:rPr>
          <w:rFonts w:hint="eastAsia" w:ascii="仿宋" w:hAnsi="仿宋" w:eastAsia="仿宋" w:cs="仿宋"/>
          <w:sz w:val="32"/>
          <w:szCs w:val="32"/>
        </w:rPr>
        <w:t>《预算法》和《会计法》等重要财政法律法规实施等方面的监督检查力度</w:t>
      </w:r>
      <w:r>
        <w:rPr>
          <w:rFonts w:hint="eastAsia" w:ascii="仿宋" w:hAnsi="仿宋" w:eastAsia="仿宋" w:cs="仿宋"/>
          <w:sz w:val="32"/>
          <w:szCs w:val="32"/>
          <w:lang w:eastAsia="zh-CN"/>
        </w:rPr>
        <w:t>，</w:t>
      </w:r>
      <w:r>
        <w:rPr>
          <w:rFonts w:hint="eastAsia" w:ascii="仿宋" w:hAnsi="仿宋" w:eastAsia="仿宋" w:cs="仿宋"/>
          <w:sz w:val="32"/>
          <w:szCs w:val="32"/>
        </w:rPr>
        <w:t>进一步健全完善事前、事中、事后监管机制；</w:t>
      </w:r>
      <w:r>
        <w:rPr>
          <w:rFonts w:hint="eastAsia" w:ascii="仿宋" w:hAnsi="仿宋" w:eastAsia="仿宋" w:cs="仿宋"/>
          <w:sz w:val="32"/>
          <w:szCs w:val="32"/>
          <w:lang w:val="en-US" w:eastAsia="zh-CN"/>
        </w:rPr>
        <w:t>按照中共中央办公厅、国务院办公厅印发《关于进一步加强财会监督工作的意见》工作要求，开展财会监督工作；</w:t>
      </w:r>
      <w:r>
        <w:rPr>
          <w:rFonts w:hint="eastAsia" w:ascii="仿宋" w:hAnsi="仿宋" w:eastAsia="仿宋" w:cs="仿宋"/>
          <w:sz w:val="32"/>
          <w:szCs w:val="32"/>
        </w:rPr>
        <w:t>坚持“客观、公平、公正”的评审原则，积极践行“不唯增、不唯减、只唯实”的财政投资评审理念，通过规范、有序地开展投资评审工作，有效节约财政资金，提高财政资金使用效益</w:t>
      </w:r>
      <w:r>
        <w:rPr>
          <w:rFonts w:hint="eastAsia" w:ascii="仿宋" w:hAnsi="仿宋" w:eastAsia="仿宋" w:cs="仿宋"/>
          <w:sz w:val="32"/>
          <w:szCs w:val="32"/>
          <w:lang w:val="en-US" w:eastAsia="zh-CN"/>
        </w:rPr>
        <w:t>；</w:t>
      </w:r>
      <w:r>
        <w:rPr>
          <w:rFonts w:hint="eastAsia" w:ascii="仿宋" w:hAnsi="仿宋" w:eastAsia="仿宋" w:cs="仿宋"/>
          <w:sz w:val="32"/>
          <w:szCs w:val="32"/>
        </w:rPr>
        <w:t>加强财政投资项目评审管理，符合财政投资评审范围的政府投资项目要实现评审全覆盖，做到应评尽评</w:t>
      </w:r>
      <w:r>
        <w:rPr>
          <w:rFonts w:hint="eastAsia" w:ascii="仿宋" w:hAnsi="仿宋" w:eastAsia="仿宋" w:cs="仿宋"/>
          <w:sz w:val="32"/>
          <w:szCs w:val="32"/>
          <w:lang w:eastAsia="zh-CN"/>
        </w:rPr>
        <w:t>，</w:t>
      </w:r>
      <w:r>
        <w:rPr>
          <w:rFonts w:hint="eastAsia" w:ascii="仿宋" w:hAnsi="仿宋" w:eastAsia="仿宋" w:cs="仿宋"/>
          <w:sz w:val="32"/>
          <w:szCs w:val="32"/>
        </w:rPr>
        <w:t>不断完善评审机制、丰富评审手段，进一步提高评审工作科学化、规范化、精细化水平</w:t>
      </w:r>
      <w:r>
        <w:rPr>
          <w:rFonts w:hint="eastAsia" w:ascii="仿宋" w:hAnsi="仿宋" w:eastAsia="仿宋" w:cs="仿宋"/>
          <w:sz w:val="32"/>
          <w:szCs w:val="32"/>
          <w:lang w:val="en-US" w:eastAsia="zh-CN"/>
        </w:rPr>
        <w:t>；</w:t>
      </w:r>
      <w:r>
        <w:rPr>
          <w:rFonts w:hint="eastAsia" w:ascii="仿宋" w:hAnsi="仿宋" w:eastAsia="仿宋" w:cs="仿宋"/>
          <w:sz w:val="32"/>
          <w:szCs w:val="32"/>
        </w:rPr>
        <w:t>加大财政投资评审力度，将评审结论作为安排、调整和拨付项目资金的重要依据，有效发挥</w:t>
      </w:r>
      <w:bookmarkStart w:id="3" w:name="_GoBack"/>
      <w:bookmarkEnd w:id="3"/>
      <w:r>
        <w:rPr>
          <w:rFonts w:hint="eastAsia" w:ascii="仿宋" w:hAnsi="仿宋" w:eastAsia="仿宋" w:cs="仿宋"/>
          <w:sz w:val="32"/>
          <w:szCs w:val="32"/>
        </w:rPr>
        <w:t>评审节支作用。精打细算把好预算关，科学研判取费标准，严格控制建设成本，勤俭节约过好“紧日子”。</w:t>
      </w:r>
      <w:r>
        <w:rPr>
          <w:rFonts w:hint="eastAsia" w:ascii="仿宋" w:hAnsi="仿宋" w:eastAsia="仿宋" w:cs="仿宋"/>
          <w:sz w:val="32"/>
          <w:szCs w:val="32"/>
          <w:lang w:val="en-US" w:eastAsia="zh-CN"/>
        </w:rPr>
        <w:t>加强对</w:t>
      </w:r>
      <w:r>
        <w:rPr>
          <w:rFonts w:hint="eastAsia" w:ascii="仿宋" w:hAnsi="仿宋" w:eastAsia="仿宋" w:cs="仿宋"/>
          <w:sz w:val="32"/>
          <w:szCs w:val="32"/>
        </w:rPr>
        <w:t>单位预算编制、执行和专项资金、非税收入等财政重点资金实行有针对性的轮查制度，严肃财经纪律，确保各项财经纪律执行有力。</w:t>
      </w:r>
    </w:p>
    <w:p>
      <w:pPr>
        <w:pStyle w:val="2"/>
        <w:rPr>
          <w:rFonts w:hint="eastAsia"/>
        </w:rPr>
      </w:pP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jc w:val="right"/>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 xml:space="preserve">资源县财政局   </w:t>
      </w: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jc w:val="right"/>
        <w:textAlignment w:val="auto"/>
        <w:rPr>
          <w:rFonts w:hint="eastAsia"/>
          <w:lang w:val="en-US" w:eastAsia="zh-CN"/>
        </w:rPr>
      </w:pP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〇二三年三月十八日</w:t>
      </w:r>
      <w:r>
        <w:rPr>
          <w:rFonts w:hint="eastAsia" w:ascii="仿宋" w:hAnsi="仿宋" w:eastAsia="仿宋" w:cs="仿宋"/>
          <w:sz w:val="32"/>
          <w:szCs w:val="32"/>
          <w:lang w:val="en-US" w:eastAsia="zh-CN"/>
        </w:rPr>
        <w:t xml:space="preserve"> </w:t>
      </w:r>
    </w:p>
    <w:sectPr>
      <w:pgSz w:w="11905" w:h="16838"/>
      <w:pgMar w:top="1417" w:right="1587" w:bottom="1417" w:left="1587"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00"/>
    <w:family w:val=""/>
    <w:pitch w:val="default"/>
    <w:sig w:usb0="E0002EFF" w:usb1="C000785B" w:usb2="00000009" w:usb3="00000000" w:csb0="400001FF" w:csb1="FFFF0000"/>
  </w:font>
  <w:font w:name="Arial">
    <w:panose1 w:val="020B0604020202020204"/>
    <w:charset w:val="86"/>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71273"/>
    <w:multiLevelType w:val="singleLevel"/>
    <w:tmpl w:val="59771273"/>
    <w:lvl w:ilvl="0" w:tentative="0">
      <w:start w:val="1"/>
      <w:numFmt w:val="chineseCounting"/>
      <w:suff w:val="nothing"/>
      <w:lvlText w:val="（%1）"/>
      <w:lvlJc w:val="left"/>
      <w:rPr>
        <w:rFonts w:hint="eastAsia"/>
      </w:rPr>
    </w:lvl>
  </w:abstractNum>
  <w:abstractNum w:abstractNumId="1">
    <w:nsid w:val="66A8DD54"/>
    <w:multiLevelType w:val="singleLevel"/>
    <w:tmpl w:val="66A8DD54"/>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NWE5NGQ0MmRlYjM1MWIyYmNlZTA1ODg1MjY1MTEifQ=="/>
    <w:docVar w:name="KSO_WPS_MARK_KEY" w:val="b7ff6045-fab5-4de9-ba1f-57f6b791ad0f"/>
  </w:docVars>
  <w:rsids>
    <w:rsidRoot w:val="00172A27"/>
    <w:rsid w:val="00612345"/>
    <w:rsid w:val="00766F94"/>
    <w:rsid w:val="00B71F65"/>
    <w:rsid w:val="00CE3D17"/>
    <w:rsid w:val="012D2227"/>
    <w:rsid w:val="01B20120"/>
    <w:rsid w:val="02DF2F1D"/>
    <w:rsid w:val="03056415"/>
    <w:rsid w:val="03353DB2"/>
    <w:rsid w:val="03684CC7"/>
    <w:rsid w:val="03CE7CF1"/>
    <w:rsid w:val="03F71B69"/>
    <w:rsid w:val="03F90AE6"/>
    <w:rsid w:val="04071CA9"/>
    <w:rsid w:val="04B96B96"/>
    <w:rsid w:val="05BB42A5"/>
    <w:rsid w:val="063F6C84"/>
    <w:rsid w:val="06400C4E"/>
    <w:rsid w:val="06A63E36"/>
    <w:rsid w:val="07613623"/>
    <w:rsid w:val="077A1F3E"/>
    <w:rsid w:val="07AA2823"/>
    <w:rsid w:val="07D717D0"/>
    <w:rsid w:val="07E8334B"/>
    <w:rsid w:val="07F81CA6"/>
    <w:rsid w:val="07FB307F"/>
    <w:rsid w:val="0801503A"/>
    <w:rsid w:val="082F109E"/>
    <w:rsid w:val="08485B98"/>
    <w:rsid w:val="0865499C"/>
    <w:rsid w:val="09267753"/>
    <w:rsid w:val="0A316959"/>
    <w:rsid w:val="0AD100C7"/>
    <w:rsid w:val="0AFD0EBC"/>
    <w:rsid w:val="0B6E1DBA"/>
    <w:rsid w:val="0BFC73C5"/>
    <w:rsid w:val="0C004FC6"/>
    <w:rsid w:val="0C177D5B"/>
    <w:rsid w:val="0C6D4FE5"/>
    <w:rsid w:val="0C897A2A"/>
    <w:rsid w:val="0CEA6115"/>
    <w:rsid w:val="0DA07C14"/>
    <w:rsid w:val="0DB55A7E"/>
    <w:rsid w:val="0DB951E4"/>
    <w:rsid w:val="0DFB4F97"/>
    <w:rsid w:val="0E2857D8"/>
    <w:rsid w:val="0E896760"/>
    <w:rsid w:val="0FAE09D7"/>
    <w:rsid w:val="10615C99"/>
    <w:rsid w:val="10935697"/>
    <w:rsid w:val="10FF7000"/>
    <w:rsid w:val="11DB33B7"/>
    <w:rsid w:val="11E57B67"/>
    <w:rsid w:val="11EF525A"/>
    <w:rsid w:val="122136E2"/>
    <w:rsid w:val="124B075F"/>
    <w:rsid w:val="130D1A6F"/>
    <w:rsid w:val="13203999"/>
    <w:rsid w:val="137006A5"/>
    <w:rsid w:val="14070933"/>
    <w:rsid w:val="151C4634"/>
    <w:rsid w:val="15311E8E"/>
    <w:rsid w:val="158F225A"/>
    <w:rsid w:val="158F3058"/>
    <w:rsid w:val="15A83D50"/>
    <w:rsid w:val="15C6215D"/>
    <w:rsid w:val="15D62B87"/>
    <w:rsid w:val="16920812"/>
    <w:rsid w:val="172F4478"/>
    <w:rsid w:val="18185587"/>
    <w:rsid w:val="18301ACB"/>
    <w:rsid w:val="1887378A"/>
    <w:rsid w:val="189049B7"/>
    <w:rsid w:val="19524AC9"/>
    <w:rsid w:val="196E7E2F"/>
    <w:rsid w:val="1A312E6E"/>
    <w:rsid w:val="1A903AFB"/>
    <w:rsid w:val="1B132036"/>
    <w:rsid w:val="1B430B6D"/>
    <w:rsid w:val="1B6863CA"/>
    <w:rsid w:val="1C50581A"/>
    <w:rsid w:val="1C8256C5"/>
    <w:rsid w:val="1CD57751"/>
    <w:rsid w:val="1CFD1CD4"/>
    <w:rsid w:val="1DA43419"/>
    <w:rsid w:val="1DD4393A"/>
    <w:rsid w:val="1E827B47"/>
    <w:rsid w:val="1F8B1D63"/>
    <w:rsid w:val="1F8C0ACF"/>
    <w:rsid w:val="1FB11A9D"/>
    <w:rsid w:val="1FD862CB"/>
    <w:rsid w:val="20631369"/>
    <w:rsid w:val="206A7046"/>
    <w:rsid w:val="20987CF7"/>
    <w:rsid w:val="20B6727D"/>
    <w:rsid w:val="20C66F34"/>
    <w:rsid w:val="21153DC5"/>
    <w:rsid w:val="21B93937"/>
    <w:rsid w:val="233C22E0"/>
    <w:rsid w:val="239301B8"/>
    <w:rsid w:val="23D245E4"/>
    <w:rsid w:val="23FA7E6D"/>
    <w:rsid w:val="24997A50"/>
    <w:rsid w:val="24A11754"/>
    <w:rsid w:val="24A438C3"/>
    <w:rsid w:val="256353CA"/>
    <w:rsid w:val="262F2F49"/>
    <w:rsid w:val="26494ECA"/>
    <w:rsid w:val="265B4E97"/>
    <w:rsid w:val="26BC0139"/>
    <w:rsid w:val="28B409B4"/>
    <w:rsid w:val="29282DE3"/>
    <w:rsid w:val="294A6C02"/>
    <w:rsid w:val="29B53B9D"/>
    <w:rsid w:val="2A0C65CE"/>
    <w:rsid w:val="2A2A33BD"/>
    <w:rsid w:val="2A924740"/>
    <w:rsid w:val="2B711653"/>
    <w:rsid w:val="2BAE7A99"/>
    <w:rsid w:val="2CB04AF3"/>
    <w:rsid w:val="2CDA5AF8"/>
    <w:rsid w:val="2CFB12A7"/>
    <w:rsid w:val="2D0B5263"/>
    <w:rsid w:val="2D1759B5"/>
    <w:rsid w:val="2D1D7D25"/>
    <w:rsid w:val="2D482013"/>
    <w:rsid w:val="2DCD7106"/>
    <w:rsid w:val="2E1B3283"/>
    <w:rsid w:val="2E2C594D"/>
    <w:rsid w:val="2E965BA9"/>
    <w:rsid w:val="2F6D0E32"/>
    <w:rsid w:val="2FBC4D4D"/>
    <w:rsid w:val="309B06AC"/>
    <w:rsid w:val="30C22B15"/>
    <w:rsid w:val="30E53E11"/>
    <w:rsid w:val="30FA0A5F"/>
    <w:rsid w:val="311851D5"/>
    <w:rsid w:val="31222B4D"/>
    <w:rsid w:val="316D3DF6"/>
    <w:rsid w:val="31AB124D"/>
    <w:rsid w:val="31CC2FDA"/>
    <w:rsid w:val="32BD2B5B"/>
    <w:rsid w:val="33BB62A3"/>
    <w:rsid w:val="340D07CC"/>
    <w:rsid w:val="347A51A8"/>
    <w:rsid w:val="347B0F20"/>
    <w:rsid w:val="34D85CE0"/>
    <w:rsid w:val="34E46AC5"/>
    <w:rsid w:val="35036D30"/>
    <w:rsid w:val="351153E0"/>
    <w:rsid w:val="356F3FAB"/>
    <w:rsid w:val="359A7184"/>
    <w:rsid w:val="3665370B"/>
    <w:rsid w:val="366559E4"/>
    <w:rsid w:val="368C4D1E"/>
    <w:rsid w:val="36CD632E"/>
    <w:rsid w:val="37906A90"/>
    <w:rsid w:val="37945CD6"/>
    <w:rsid w:val="38207785"/>
    <w:rsid w:val="38424DAB"/>
    <w:rsid w:val="3914549F"/>
    <w:rsid w:val="39930ABA"/>
    <w:rsid w:val="3A213865"/>
    <w:rsid w:val="3A4F2C33"/>
    <w:rsid w:val="3B8C756F"/>
    <w:rsid w:val="3C1A4DAA"/>
    <w:rsid w:val="3C430575"/>
    <w:rsid w:val="3C74072E"/>
    <w:rsid w:val="3CEB6ED8"/>
    <w:rsid w:val="3D0C0967"/>
    <w:rsid w:val="3D1A1006"/>
    <w:rsid w:val="3D502363"/>
    <w:rsid w:val="3D982A90"/>
    <w:rsid w:val="3E171CB9"/>
    <w:rsid w:val="3E3068D7"/>
    <w:rsid w:val="3E366DDC"/>
    <w:rsid w:val="3E644D31"/>
    <w:rsid w:val="3EE002FD"/>
    <w:rsid w:val="3F014BD8"/>
    <w:rsid w:val="3F514D57"/>
    <w:rsid w:val="3F900AE0"/>
    <w:rsid w:val="3FCE45FA"/>
    <w:rsid w:val="40104F72"/>
    <w:rsid w:val="419C4335"/>
    <w:rsid w:val="41FB49C5"/>
    <w:rsid w:val="4283791D"/>
    <w:rsid w:val="429A6A15"/>
    <w:rsid w:val="42C910A8"/>
    <w:rsid w:val="42DA32B5"/>
    <w:rsid w:val="42E66EDA"/>
    <w:rsid w:val="4381605C"/>
    <w:rsid w:val="43A40AF2"/>
    <w:rsid w:val="44476729"/>
    <w:rsid w:val="44AD0C81"/>
    <w:rsid w:val="44B94053"/>
    <w:rsid w:val="44C3095A"/>
    <w:rsid w:val="44E421C9"/>
    <w:rsid w:val="46157788"/>
    <w:rsid w:val="47EA03B1"/>
    <w:rsid w:val="482074E7"/>
    <w:rsid w:val="48551120"/>
    <w:rsid w:val="48724537"/>
    <w:rsid w:val="49043360"/>
    <w:rsid w:val="490B3DC5"/>
    <w:rsid w:val="493C0826"/>
    <w:rsid w:val="49FE5ADB"/>
    <w:rsid w:val="4A023CFE"/>
    <w:rsid w:val="4B1A4B97"/>
    <w:rsid w:val="4B4C5754"/>
    <w:rsid w:val="4BEC5F7F"/>
    <w:rsid w:val="4BEE5272"/>
    <w:rsid w:val="4C124497"/>
    <w:rsid w:val="4C1A40B9"/>
    <w:rsid w:val="4D9A3D6D"/>
    <w:rsid w:val="4DF06083"/>
    <w:rsid w:val="4E2B2C17"/>
    <w:rsid w:val="4EF56C95"/>
    <w:rsid w:val="4F1B0EDE"/>
    <w:rsid w:val="4F7E3E6F"/>
    <w:rsid w:val="4FC500A2"/>
    <w:rsid w:val="4FE57280"/>
    <w:rsid w:val="4FFC114C"/>
    <w:rsid w:val="505D7A63"/>
    <w:rsid w:val="508D1967"/>
    <w:rsid w:val="50D3612E"/>
    <w:rsid w:val="50FF6F1E"/>
    <w:rsid w:val="517F5DD1"/>
    <w:rsid w:val="51816E51"/>
    <w:rsid w:val="520914C1"/>
    <w:rsid w:val="522462FB"/>
    <w:rsid w:val="523A6B73"/>
    <w:rsid w:val="529945F3"/>
    <w:rsid w:val="536A3507"/>
    <w:rsid w:val="546D455B"/>
    <w:rsid w:val="54A454D1"/>
    <w:rsid w:val="54E87AB4"/>
    <w:rsid w:val="54F40207"/>
    <w:rsid w:val="55823A64"/>
    <w:rsid w:val="561F7505"/>
    <w:rsid w:val="56795202"/>
    <w:rsid w:val="567F61F6"/>
    <w:rsid w:val="568923E9"/>
    <w:rsid w:val="574C432A"/>
    <w:rsid w:val="57C71CB3"/>
    <w:rsid w:val="57CA20E6"/>
    <w:rsid w:val="57D60097"/>
    <w:rsid w:val="59140BF0"/>
    <w:rsid w:val="596671F9"/>
    <w:rsid w:val="598156BD"/>
    <w:rsid w:val="5A0C7CAD"/>
    <w:rsid w:val="5A5654C0"/>
    <w:rsid w:val="5A8D6C47"/>
    <w:rsid w:val="5B5150EA"/>
    <w:rsid w:val="5B5F04BE"/>
    <w:rsid w:val="5C566F47"/>
    <w:rsid w:val="5C7B120D"/>
    <w:rsid w:val="5D1D07ED"/>
    <w:rsid w:val="5D1F2603"/>
    <w:rsid w:val="5DA6050C"/>
    <w:rsid w:val="5DFB3BF1"/>
    <w:rsid w:val="5E8E034B"/>
    <w:rsid w:val="5F576F82"/>
    <w:rsid w:val="5FF946E6"/>
    <w:rsid w:val="602F356E"/>
    <w:rsid w:val="60675917"/>
    <w:rsid w:val="60BB412A"/>
    <w:rsid w:val="60E90C3A"/>
    <w:rsid w:val="614670A0"/>
    <w:rsid w:val="619C03A7"/>
    <w:rsid w:val="61BB1D22"/>
    <w:rsid w:val="621243C2"/>
    <w:rsid w:val="622A5268"/>
    <w:rsid w:val="624125B1"/>
    <w:rsid w:val="624256AE"/>
    <w:rsid w:val="62712E97"/>
    <w:rsid w:val="63C90AB0"/>
    <w:rsid w:val="642223CF"/>
    <w:rsid w:val="6472739A"/>
    <w:rsid w:val="64762171"/>
    <w:rsid w:val="648D1ADE"/>
    <w:rsid w:val="64A50AA5"/>
    <w:rsid w:val="64C26584"/>
    <w:rsid w:val="65314BDF"/>
    <w:rsid w:val="6554084E"/>
    <w:rsid w:val="657C1360"/>
    <w:rsid w:val="66056182"/>
    <w:rsid w:val="66246472"/>
    <w:rsid w:val="662D41D7"/>
    <w:rsid w:val="663D2ED1"/>
    <w:rsid w:val="66705C12"/>
    <w:rsid w:val="683F0A82"/>
    <w:rsid w:val="68AF296B"/>
    <w:rsid w:val="68C54B2B"/>
    <w:rsid w:val="68D51CA5"/>
    <w:rsid w:val="692C53C1"/>
    <w:rsid w:val="69390486"/>
    <w:rsid w:val="69635E02"/>
    <w:rsid w:val="6B226630"/>
    <w:rsid w:val="6B99375A"/>
    <w:rsid w:val="6BBB1626"/>
    <w:rsid w:val="6BBF1117"/>
    <w:rsid w:val="6C0E5BFA"/>
    <w:rsid w:val="6DE244ED"/>
    <w:rsid w:val="6DE47554"/>
    <w:rsid w:val="6DF07E57"/>
    <w:rsid w:val="6E0F1600"/>
    <w:rsid w:val="6F1B797F"/>
    <w:rsid w:val="6F5D7020"/>
    <w:rsid w:val="6F6D49E6"/>
    <w:rsid w:val="6FA303CF"/>
    <w:rsid w:val="6FBA38B6"/>
    <w:rsid w:val="703F5A70"/>
    <w:rsid w:val="7060454A"/>
    <w:rsid w:val="71D15FE6"/>
    <w:rsid w:val="71F633B8"/>
    <w:rsid w:val="71FE226D"/>
    <w:rsid w:val="72102E30"/>
    <w:rsid w:val="72295B7C"/>
    <w:rsid w:val="72822E9E"/>
    <w:rsid w:val="72930C07"/>
    <w:rsid w:val="72CA214F"/>
    <w:rsid w:val="732142EA"/>
    <w:rsid w:val="74A25132"/>
    <w:rsid w:val="754833CD"/>
    <w:rsid w:val="759A5E6F"/>
    <w:rsid w:val="76041D8F"/>
    <w:rsid w:val="764372F6"/>
    <w:rsid w:val="76CE0460"/>
    <w:rsid w:val="770F11B3"/>
    <w:rsid w:val="77352DB4"/>
    <w:rsid w:val="77DF044B"/>
    <w:rsid w:val="781C51FB"/>
    <w:rsid w:val="784529A4"/>
    <w:rsid w:val="78632A79"/>
    <w:rsid w:val="78BB0EB8"/>
    <w:rsid w:val="78F82A4C"/>
    <w:rsid w:val="79535C2C"/>
    <w:rsid w:val="798759BE"/>
    <w:rsid w:val="79DE0D71"/>
    <w:rsid w:val="7A3D49EB"/>
    <w:rsid w:val="7A476A24"/>
    <w:rsid w:val="7A490096"/>
    <w:rsid w:val="7A4C2D4A"/>
    <w:rsid w:val="7B160627"/>
    <w:rsid w:val="7B4D4EAA"/>
    <w:rsid w:val="7BB557D8"/>
    <w:rsid w:val="7BD04C7A"/>
    <w:rsid w:val="7BFE1DCD"/>
    <w:rsid w:val="7C3C5E6C"/>
    <w:rsid w:val="7C53287A"/>
    <w:rsid w:val="7C616853"/>
    <w:rsid w:val="7CD80ACA"/>
    <w:rsid w:val="7D18743F"/>
    <w:rsid w:val="7DC97BD3"/>
    <w:rsid w:val="7EC46D37"/>
    <w:rsid w:val="7F8241DE"/>
    <w:rsid w:val="7FA52CBB"/>
    <w:rsid w:val="7FA97CBC"/>
    <w:rsid w:val="7FCC7507"/>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36130;&#25919;&#24635;&#20915;&#31639;\2022&#24180;\2022&#24180;&#36130;&#25919;&#24635;&#20915;&#31639;&#20998;&#26512;\12222.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36130;&#25919;&#24635;&#20915;&#31639;\2022&#24180;\2022&#24180;&#36130;&#25919;&#24635;&#20915;&#31639;&#20998;&#26512;\&#26032;&#24314;%20XLS%20&#24037;&#20316;&#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2"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36130;&#25919;&#24635;&#20915;&#31639;\&#24635;&#20915;&#31639;&#25991;&#23383;&#26448;&#26009;\2022&#24180;&#24635;&#20915;&#31639;&#25968;&#25454;&#20998;&#26512;.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36130;&#25919;&#24635;&#20915;&#31639;\&#24635;&#20915;&#31639;&#25991;&#23383;&#26448;&#26009;\2022&#24180;&#24635;&#20915;&#31639;&#25968;&#25454;&#20998;&#26512;.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36130;&#25919;&#24635;&#20915;&#31639;\&#24635;&#20915;&#31639;&#25991;&#23383;&#26448;&#26009;\2022&#24180;&#24635;&#20915;&#31639;&#25968;&#25454;&#20998;&#2651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60" b="1" i="0" u="none" strike="noStrike" kern="1200" baseline="0">
                <a:solidFill>
                  <a:schemeClr val="dk1">
                    <a:lumMod val="65000"/>
                    <a:lumOff val="35000"/>
                  </a:schemeClr>
                </a:solidFill>
                <a:latin typeface="+mn-lt"/>
                <a:ea typeface="+mn-ea"/>
                <a:cs typeface="+mn-cs"/>
              </a:defRPr>
            </a:pPr>
            <a:r>
              <a:rPr sz="1260" b="1"/>
              <a:t>一般公共预算收入构成分析图</a:t>
            </a:r>
            <a:endParaRPr sz="1260" b="1"/>
          </a:p>
        </c:rich>
      </c:tx>
      <c:layout>
        <c:manualLayout>
          <c:xMode val="edge"/>
          <c:yMode val="edge"/>
          <c:x val="0.270716635005304"/>
          <c:y val="0.00764525993883792"/>
        </c:manualLayout>
      </c:layout>
      <c:overlay val="0"/>
      <c:spPr>
        <a:noFill/>
        <a:ln>
          <a:noFill/>
        </a:ln>
        <a:effectLst/>
      </c:spPr>
    </c:title>
    <c:autoTitleDeleted val="0"/>
    <c:view3D>
      <c:rotX val="50"/>
      <c:rotY val="34"/>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9525"/>
          </c:spPr>
          <c:explosion val="0"/>
          <c:dPt>
            <c:idx val="0"/>
            <c:bubble3D val="0"/>
            <c:spPr>
              <a:solidFill>
                <a:schemeClr val="accent1"/>
              </a:solidFill>
              <a:ln>
                <a:noFill/>
              </a:ln>
              <a:effectLst>
                <a:outerShdw blurRad="88900" sx="102000" sy="102000" algn="ctr" rotWithShape="0">
                  <a:prstClr val="black">
                    <a:alpha val="20000"/>
                  </a:prstClr>
                </a:outerShdw>
              </a:effectLst>
            </c:spPr>
          </c:dPt>
          <c:dPt>
            <c:idx val="1"/>
            <c:bubble3D val="0"/>
            <c:spPr>
              <a:solidFill>
                <a:schemeClr val="accent2"/>
              </a:solidFill>
              <a:ln>
                <a:noFill/>
              </a:ln>
              <a:effectLst>
                <a:outerShdw blurRad="889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1"/>
                  <a:lstStyle/>
                  <a:p>
                    <a:pPr defTabSz="914400">
                      <a:defRPr lang="zh-CN" sz="1050" b="1" i="0" u="none" strike="noStrike" kern="1200" baseline="0">
                        <a:solidFill>
                          <a:schemeClr val="lt1"/>
                        </a:solidFill>
                        <a:latin typeface="+mn-lt"/>
                        <a:ea typeface="+mn-ea"/>
                        <a:cs typeface="+mn-cs"/>
                      </a:defRPr>
                    </a:pPr>
                    <a:r>
                      <a:rPr sz="1050"/>
                      <a:t>一、税收收入, 8,624, 59%</a:t>
                    </a:r>
                    <a:endParaRPr sz="1050"/>
                  </a:p>
                </c:rich>
              </c:tx>
              <c:dLblPos val="inEnd"/>
              <c:showLegendKey val="0"/>
              <c:showVal val="1"/>
              <c:showCatName val="1"/>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50" b="1" i="0" u="none" strike="noStrike" kern="1200" baseline="0">
                    <a:solidFill>
                      <a:schemeClr val="lt1"/>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[12222.xls]本级收入!$B$6:$B$22</c:f>
              <c:strCache>
                <c:ptCount val="2"/>
                <c:pt idx="0">
                  <c:v>一、税收收入</c:v>
                </c:pt>
                <c:pt idx="1">
                  <c:v>二、非税收入</c:v>
                </c:pt>
              </c:strCache>
            </c:strRef>
          </c:cat>
          <c:val>
            <c:numRef>
              <c:f>[12222.xls]本级收入!$C$6:$C$22</c:f>
              <c:numCache>
                <c:formatCode>#,##0</c:formatCode>
                <c:ptCount val="2"/>
                <c:pt idx="0">
                  <c:v>8624</c:v>
                </c:pt>
                <c:pt idx="1">
                  <c:v>6093</c:v>
                </c:pt>
              </c:numCache>
            </c:numRef>
          </c:val>
        </c:ser>
        <c:dLbls>
          <c:showLegendKey val="0"/>
          <c:showVal val="1"/>
          <c:showCatName val="0"/>
          <c:showSerName val="0"/>
          <c:showPercent val="0"/>
          <c:showBubbleSize val="0"/>
        </c:dLbls>
      </c:pie3DChart>
      <c:spPr>
        <a:noFill/>
        <a:ln>
          <a:noFill/>
        </a:ln>
        <a:effectLst/>
      </c:spPr>
    </c:plotArea>
    <c:legend>
      <c:legendPos val="b"/>
      <c:legendEntry>
        <c:idx val="0"/>
        <c:txPr>
          <a:bodyPr rot="0" spcFirstLastPara="0" vertOverflow="ellipsis" vert="horz" wrap="square" anchor="ctr" anchorCtr="1"/>
          <a:lstStyle/>
          <a:p>
            <a:pPr>
              <a:defRPr lang="zh-CN" sz="1050" b="1" i="0" u="none" strike="noStrike" kern="1200" baseline="0">
                <a:solidFill>
                  <a:schemeClr val="dk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050" b="1" i="0" u="none" strike="noStrike" kern="1200" baseline="0">
                <a:solidFill>
                  <a:schemeClr val="dk1">
                    <a:lumMod val="65000"/>
                    <a:lumOff val="35000"/>
                  </a:schemeClr>
                </a:solidFill>
                <a:latin typeface="+mn-lt"/>
                <a:ea typeface="+mn-ea"/>
                <a:cs typeface="+mn-cs"/>
              </a:defRPr>
            </a:pPr>
          </a:p>
        </c:txPr>
      </c:legendEntry>
      <c:layout/>
      <c:overlay val="0"/>
      <c:spPr>
        <a:solidFill>
          <a:schemeClr val="lt1">
            <a:alpha val="78000"/>
          </a:schemeClr>
        </a:solidFill>
        <a:ln>
          <a:noFill/>
        </a:ln>
        <a:effectLst/>
      </c:spPr>
      <c:txPr>
        <a:bodyPr rot="0" spcFirstLastPara="0" vertOverflow="ellipsis" vert="horz" wrap="square" anchor="ctr" anchorCtr="1"/>
        <a:lstStyle/>
        <a:p>
          <a:pPr>
            <a:defRPr lang="zh-CN" sz="1050" b="1"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sz="1050" b="1"/>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80" b="1" i="0" u="none" strike="noStrike" kern="1200" baseline="0">
                <a:solidFill>
                  <a:schemeClr val="tx2"/>
                </a:solidFill>
                <a:latin typeface="+mn-lt"/>
                <a:ea typeface="+mn-ea"/>
                <a:cs typeface="+mn-cs"/>
              </a:defRPr>
            </a:pPr>
            <a:r>
              <a:rPr lang="en-US" altLang="zh-CN" sz="1680"/>
              <a:t>2022</a:t>
            </a:r>
            <a:r>
              <a:rPr altLang="en-US" sz="1680"/>
              <a:t>年和</a:t>
            </a:r>
            <a:r>
              <a:rPr lang="en-US" altLang="zh-CN" sz="1680"/>
              <a:t>2021</a:t>
            </a:r>
            <a:r>
              <a:rPr altLang="en-US" sz="1680"/>
              <a:t>年</a:t>
            </a:r>
            <a:r>
              <a:rPr sz="1680"/>
              <a:t>组织财政收入对比分析</a:t>
            </a:r>
            <a:r>
              <a:rPr lang="en-US" altLang="zh-CN" sz="1680"/>
              <a:t> </a:t>
            </a:r>
            <a:endParaRPr lang="en-US" altLang="zh-CN" sz="1680"/>
          </a:p>
        </c:rich>
      </c:tx>
      <c:layout>
        <c:manualLayout>
          <c:xMode val="edge"/>
          <c:yMode val="edge"/>
          <c:x val="0.162345178840144"/>
          <c:y val="0.0178837555886736"/>
        </c:manualLayout>
      </c:layout>
      <c:overlay val="0"/>
      <c:spPr>
        <a:noFill/>
        <a:ln>
          <a:noFill/>
        </a:ln>
        <a:effectLst/>
      </c:spPr>
    </c:title>
    <c:autoTitleDeleted val="0"/>
    <c:plotArea>
      <c:layout>
        <c:manualLayout>
          <c:layoutTarget val="inner"/>
          <c:xMode val="edge"/>
          <c:yMode val="edge"/>
          <c:x val="0.124038573254328"/>
          <c:y val="0.243275129778197"/>
          <c:w val="0.872475891716045"/>
          <c:h val="0.658156363064338"/>
        </c:manualLayout>
      </c:layout>
      <c:barChart>
        <c:barDir val="col"/>
        <c:grouping val="clustered"/>
        <c:varyColors val="0"/>
        <c:ser>
          <c:idx val="0"/>
          <c:order val="0"/>
          <c:tx>
            <c:strRef>
              <c:f>'[新建 XLS 工作表.xls]本级收入'!$B$5</c:f>
              <c:strCache>
                <c:ptCount val="1"/>
                <c:pt idx="0">
                  <c:v>一般公共预算收入</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tx2"/>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'[新建 XLS 工作表.xls]本级收入'!$C$4:$D$4</c:f>
              <c:strCache>
                <c:ptCount val="2"/>
                <c:pt idx="0">
                  <c:v>2022年 </c:v>
                </c:pt>
                <c:pt idx="1">
                  <c:v>2021年</c:v>
                </c:pt>
              </c:strCache>
            </c:strRef>
          </c:cat>
          <c:val>
            <c:numRef>
              <c:f>'[新建 XLS 工作表.xls]本级收入'!$C$5:$D$5</c:f>
              <c:numCache>
                <c:formatCode>#,##0</c:formatCode>
                <c:ptCount val="2"/>
                <c:pt idx="0">
                  <c:v>14717</c:v>
                </c:pt>
                <c:pt idx="1">
                  <c:v>14615</c:v>
                </c:pt>
              </c:numCache>
            </c:numRef>
          </c:val>
        </c:ser>
        <c:ser>
          <c:idx val="1"/>
          <c:order val="1"/>
          <c:tx>
            <c:strRef>
              <c:f>"上划中央收入"</c:f>
              <c:strCache>
                <c:ptCount val="1"/>
                <c:pt idx="0">
                  <c:v>上划中央收入</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tx2"/>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'[新建 XLS 工作表.xls]本级收入'!$C$4:$D$4</c:f>
              <c:strCache>
                <c:ptCount val="2"/>
                <c:pt idx="0">
                  <c:v>2022年 </c:v>
                </c:pt>
                <c:pt idx="1">
                  <c:v>2021年</c:v>
                </c:pt>
              </c:strCache>
            </c:strRef>
          </c:cat>
          <c:val>
            <c:numRef>
              <c:f>'[新建 XLS 工作表.xls]本级收入'!$C$31:$D$31</c:f>
              <c:numCache>
                <c:formatCode>#,##0</c:formatCode>
                <c:ptCount val="2"/>
                <c:pt idx="0">
                  <c:v>5466</c:v>
                </c:pt>
                <c:pt idx="1">
                  <c:v>5690</c:v>
                </c:pt>
              </c:numCache>
            </c:numRef>
          </c:val>
        </c:ser>
        <c:ser>
          <c:idx val="2"/>
          <c:order val="2"/>
          <c:tx>
            <c:strRef>
              <c:f>'[新建 XLS 工作表.xls]本级收入'!$B$36</c:f>
              <c:strCache>
                <c:ptCount val="1"/>
                <c:pt idx="0">
                  <c:v>上划自治区收入</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tx2"/>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2">
                          <a:lumMod val="35000"/>
                          <a:lumOff val="65000"/>
                        </a:schemeClr>
                      </a:solidFill>
                    </a:ln>
                    <a:effectLst/>
                  </c:spPr>
                </c15:leaderLines>
              </c:ext>
            </c:extLst>
          </c:dLbls>
          <c:cat>
            <c:strRef>
              <c:f>'[新建 XLS 工作表.xls]本级收入'!$C$4:$D$4</c:f>
              <c:strCache>
                <c:ptCount val="2"/>
                <c:pt idx="0">
                  <c:v>2022年 </c:v>
                </c:pt>
                <c:pt idx="1">
                  <c:v>2021年</c:v>
                </c:pt>
              </c:strCache>
            </c:strRef>
          </c:cat>
          <c:val>
            <c:numRef>
              <c:f>'[新建 XLS 工作表.xls]本级收入'!$C$36:$D$36</c:f>
              <c:numCache>
                <c:formatCode>#,##0</c:formatCode>
                <c:ptCount val="2"/>
                <c:pt idx="0">
                  <c:v>2103</c:v>
                </c:pt>
                <c:pt idx="1">
                  <c:v>2118</c:v>
                </c:pt>
              </c:numCache>
            </c:numRef>
          </c:val>
        </c:ser>
        <c:dLbls>
          <c:showLegendKey val="0"/>
          <c:showVal val="1"/>
          <c:showCatName val="0"/>
          <c:showSerName val="0"/>
          <c:showPercent val="0"/>
          <c:showBubbleSize val="0"/>
        </c:dLbls>
        <c:gapWidth val="100"/>
        <c:overlap val="-24"/>
        <c:axId val="377444341"/>
        <c:axId val="623012224"/>
      </c:barChart>
      <c:catAx>
        <c:axId val="377444341"/>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0" vertOverflow="ellipsis" vert="horz" wrap="square" anchor="ctr" anchorCtr="1"/>
          <a:lstStyle/>
          <a:p>
            <a:pPr>
              <a:defRPr lang="zh-CN" sz="1400" b="0" i="0" u="none" strike="noStrike" kern="1200" baseline="0">
                <a:solidFill>
                  <a:schemeClr val="tx2"/>
                </a:solidFill>
                <a:latin typeface="+mn-lt"/>
                <a:ea typeface="+mn-ea"/>
                <a:cs typeface="+mn-cs"/>
              </a:defRPr>
            </a:pPr>
          </a:p>
        </c:txPr>
        <c:crossAx val="623012224"/>
        <c:crosses val="autoZero"/>
        <c:auto val="1"/>
        <c:lblAlgn val="ctr"/>
        <c:lblOffset val="100"/>
        <c:noMultiLvlLbl val="0"/>
      </c:catAx>
      <c:valAx>
        <c:axId val="623012224"/>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1400" b="0" i="0" u="none" strike="noStrike" kern="1200" baseline="0">
                <a:solidFill>
                  <a:schemeClr val="tx2"/>
                </a:solidFill>
                <a:latin typeface="+mn-lt"/>
                <a:ea typeface="+mn-ea"/>
                <a:cs typeface="+mn-cs"/>
              </a:defRPr>
            </a:pPr>
          </a:p>
        </c:txPr>
        <c:crossAx val="377444341"/>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400" b="0" i="0" u="none" strike="noStrike" kern="1200" baseline="0">
                <a:solidFill>
                  <a:schemeClr val="tx2"/>
                </a:solidFill>
                <a:latin typeface="+mn-lt"/>
                <a:ea typeface="+mn-ea"/>
                <a:cs typeface="+mn-cs"/>
              </a:defRPr>
            </a:pPr>
          </a:p>
        </c:txPr>
      </c:legendEntry>
      <c:legendEntry>
        <c:idx val="1"/>
        <c:txPr>
          <a:bodyPr rot="0" spcFirstLastPara="0" vertOverflow="ellipsis" vert="horz" wrap="square" anchor="ctr" anchorCtr="1"/>
          <a:lstStyle/>
          <a:p>
            <a:pPr>
              <a:defRPr lang="zh-CN" sz="1400" b="0" i="0" u="none" strike="noStrike" kern="1200" baseline="0">
                <a:solidFill>
                  <a:schemeClr val="tx2"/>
                </a:solidFill>
                <a:latin typeface="+mn-lt"/>
                <a:ea typeface="+mn-ea"/>
                <a:cs typeface="+mn-cs"/>
              </a:defRPr>
            </a:pPr>
          </a:p>
        </c:txPr>
      </c:legendEntry>
      <c:legendEntry>
        <c:idx val="2"/>
        <c:txPr>
          <a:bodyPr rot="0" spcFirstLastPara="0" vertOverflow="ellipsis" vert="horz" wrap="square" anchor="ctr" anchorCtr="1"/>
          <a:lstStyle/>
          <a:p>
            <a:pPr>
              <a:defRPr lang="zh-CN" sz="1400" b="0" i="0" u="none" strike="noStrike" kern="1200" baseline="0">
                <a:solidFill>
                  <a:schemeClr val="tx2"/>
                </a:solidFill>
                <a:latin typeface="+mn-lt"/>
                <a:ea typeface="+mn-ea"/>
                <a:cs typeface="+mn-cs"/>
              </a:defRPr>
            </a:pPr>
          </a:p>
        </c:txPr>
      </c:legendEntry>
      <c:layout>
        <c:manualLayout>
          <c:xMode val="edge"/>
          <c:yMode val="edge"/>
          <c:x val="0.0908669984951962"/>
          <c:y val="0.875625253481141"/>
          <c:w val="0.818381757147818"/>
          <c:h val="0.10815195349466"/>
        </c:manualLayout>
      </c:layout>
      <c:overlay val="0"/>
      <c:spPr>
        <a:noFill/>
        <a:ln>
          <a:noFill/>
        </a:ln>
        <a:effectLst/>
      </c:spPr>
      <c:txPr>
        <a:bodyPr rot="0" spcFirstLastPara="0" vertOverflow="ellipsis" vert="horz" wrap="square" anchor="ctr" anchorCtr="1"/>
        <a:lstStyle/>
        <a:p>
          <a:pPr>
            <a:defRPr lang="zh-CN" sz="14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sz="140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spc="0" normalizeH="0" baseline="0">
                <a:solidFill>
                  <a:schemeClr val="dk1">
                    <a:lumMod val="50000"/>
                    <a:lumOff val="50000"/>
                  </a:schemeClr>
                </a:solidFill>
                <a:latin typeface="+mj-lt"/>
                <a:ea typeface="+mj-ea"/>
                <a:cs typeface="+mj-cs"/>
              </a:defRPr>
            </a:pPr>
            <a:r>
              <a:t>资源县2022年一般预算财力构成</a:t>
            </a:r>
          </a:p>
        </c:rich>
      </c:tx>
      <c:layout/>
      <c:overlay val="0"/>
      <c:spPr>
        <a:noFill/>
        <a:ln>
          <a:noFill/>
        </a:ln>
        <a:effectLst/>
      </c:spPr>
    </c:title>
    <c:autoTitleDeleted val="0"/>
    <c:plotArea>
      <c:layout/>
      <c:ofPieChart>
        <c:ofPieType val="bar"/>
        <c:varyColors val="1"/>
        <c:ser>
          <c:idx val="0"/>
          <c:order val="0"/>
          <c:tx>
            <c:strRef>
              <c:f>[工作簿2]Sheet1!$B$1</c:f>
              <c:strCache>
                <c:ptCount val="1"/>
                <c:pt idx="0">
                  <c:v>金额</c:v>
                </c:pt>
              </c:strCache>
            </c:strRef>
          </c:tx>
          <c:spPr/>
          <c:explosion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showLeaderLines val="0"/>
            <c:extLst>
              <c:ext xmlns:c15="http://schemas.microsoft.com/office/drawing/2012/chart" uri="{CE6537A1-D6FC-4f65-9D91-7224C49458BB}">
                <c15:layout/>
                <c15:showLeaderLines val="0"/>
                <c15:leaderLines>
                  <c:spPr>
                    <a:ln w="9525" cap="flat" cmpd="sng" algn="ctr">
                      <a:solidFill>
                        <a:schemeClr val="dk1">
                          <a:lumMod val="35000"/>
                          <a:lumOff val="65000"/>
                        </a:schemeClr>
                      </a:solidFill>
                      <a:round/>
                    </a:ln>
                    <a:effectLst/>
                  </c:spPr>
                </c15:leaderLines>
              </c:ext>
            </c:extLst>
          </c:dLbls>
          <c:cat>
            <c:strRef>
              <c:f>[工作簿2]Sheet1!$A$2:$A$9</c:f>
              <c:strCache>
                <c:ptCount val="8"/>
                <c:pt idx="0">
                  <c:v>  一般公共预算预算收入</c:v>
                </c:pt>
                <c:pt idx="1">
                  <c:v>  返还性收入</c:v>
                </c:pt>
                <c:pt idx="2">
                  <c:v>  一般性转移支付收入</c:v>
                </c:pt>
                <c:pt idx="3">
                  <c:v>  专项转移支付收入</c:v>
                </c:pt>
                <c:pt idx="4">
                  <c:v>  上年结余</c:v>
                </c:pt>
                <c:pt idx="5">
                  <c:v>  调入资金</c:v>
                </c:pt>
                <c:pt idx="6">
                  <c:v>  债务转贷收入</c:v>
                </c:pt>
                <c:pt idx="7">
                  <c:v>  动用预算稳定调节基金</c:v>
                </c:pt>
              </c:strCache>
            </c:strRef>
          </c:cat>
          <c:val>
            <c:numRef>
              <c:f>[工作簿2]Sheet1!$B$2:$B$9</c:f>
              <c:numCache>
                <c:formatCode>#,##0</c:formatCode>
                <c:ptCount val="8"/>
                <c:pt idx="0">
                  <c:v>14717</c:v>
                </c:pt>
                <c:pt idx="1">
                  <c:v>3240</c:v>
                </c:pt>
                <c:pt idx="2">
                  <c:v>153417</c:v>
                </c:pt>
                <c:pt idx="3">
                  <c:v>14133</c:v>
                </c:pt>
                <c:pt idx="4">
                  <c:v>6873</c:v>
                </c:pt>
                <c:pt idx="5">
                  <c:v>8045</c:v>
                </c:pt>
                <c:pt idx="6">
                  <c:v>11977</c:v>
                </c:pt>
                <c:pt idx="7" c:formatCode="General">
                  <c:v>408</c:v>
                </c:pt>
              </c:numCache>
            </c:numRef>
          </c:val>
        </c:ser>
        <c:dLbls>
          <c:showLegendKey val="0"/>
          <c:showVal val="1"/>
          <c:showCatName val="0"/>
          <c:showSerName val="0"/>
          <c:showPercent val="0"/>
          <c:showBubbleSize val="0"/>
          <c:showLeaderLines val="0"/>
        </c:dLbls>
        <c:gapWidth val="100"/>
        <c:secondPieSize val="75"/>
        <c:serLines>
          <c:spPr>
            <a:ln w="9525" cap="flat" cmpd="sng" algn="ctr">
              <a:solidFill>
                <a:schemeClr val="dk1">
                  <a:lumMod val="35000"/>
                  <a:lumOff val="65000"/>
                </a:schemeClr>
              </a:solidFill>
              <a:round/>
            </a:ln>
            <a:effectLst/>
          </c:spPr>
        </c:serLines>
      </c:ofPieChart>
      <c:spPr>
        <a:noFill/>
        <a:ln>
          <a:noFill/>
        </a:ln>
        <a:effectLst/>
      </c:spPr>
    </c:plotArea>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4444722057637"/>
          <c:y val="0.0881357391017927"/>
          <c:w val="0.714913301399884"/>
          <c:h val="0.640679026547647"/>
        </c:manualLayout>
      </c:layout>
      <c:barChart>
        <c:barDir val="col"/>
        <c:grouping val="clustered"/>
        <c:varyColors val="0"/>
        <c:ser>
          <c:idx val="1"/>
          <c:order val="0"/>
          <c:tx>
            <c:strRef>
              <c:f>[2022年总决算数据分析.xls]收入年度对比!$A$2</c:f>
              <c:strCache>
                <c:ptCount val="1"/>
                <c:pt idx="0">
                  <c:v>组织财政收入</c:v>
                </c:pt>
              </c:strCache>
            </c:strRef>
          </c:tx>
          <c:spPr>
            <a:solidFill>
              <a:srgbClr val="993366">
                <a:alpha val="100000"/>
              </a:srgbClr>
            </a:solidFill>
            <a:ln w="12700">
              <a:solidFill>
                <a:srgbClr val="000000">
                  <a:alpha val="100000"/>
                </a:srgbClr>
              </a:solidFill>
              <a:prstDash val="solid"/>
            </a:ln>
          </c:spPr>
          <c:invertIfNegative val="0"/>
          <c:dLbls>
            <c:delete val="1"/>
          </c:dLbls>
          <c:cat>
            <c:strRef>
              <c:f>[2022年总决算数据分析.xls]收入年度对比!$B$1:$G$1</c:f>
              <c:strCache>
                <c:ptCount val="6"/>
                <c:pt idx="0">
                  <c:v>2017年</c:v>
                </c:pt>
                <c:pt idx="1">
                  <c:v>2018年</c:v>
                </c:pt>
                <c:pt idx="2">
                  <c:v>2019年</c:v>
                </c:pt>
                <c:pt idx="3">
                  <c:v>2020年</c:v>
                </c:pt>
                <c:pt idx="4">
                  <c:v>2021年</c:v>
                </c:pt>
                <c:pt idx="5">
                  <c:v>2022年</c:v>
                </c:pt>
              </c:strCache>
            </c:strRef>
          </c:cat>
          <c:val>
            <c:numRef>
              <c:f>[2022年总决算数据分析.xls]收入年度对比!$B$2:$G$2</c:f>
              <c:numCache>
                <c:formatCode>General</c:formatCode>
                <c:ptCount val="6"/>
                <c:pt idx="0">
                  <c:v>32011</c:v>
                </c:pt>
                <c:pt idx="1">
                  <c:v>34247</c:v>
                </c:pt>
                <c:pt idx="2">
                  <c:v>31023</c:v>
                </c:pt>
                <c:pt idx="3">
                  <c:v>27158</c:v>
                </c:pt>
                <c:pt idx="4">
                  <c:v>22425</c:v>
                </c:pt>
                <c:pt idx="5">
                  <c:v>22286</c:v>
                </c:pt>
              </c:numCache>
            </c:numRef>
          </c:val>
        </c:ser>
        <c:dLbls>
          <c:showLegendKey val="0"/>
          <c:showVal val="0"/>
          <c:showCatName val="0"/>
          <c:showSerName val="0"/>
          <c:showPercent val="0"/>
          <c:showBubbleSize val="0"/>
        </c:dLbls>
        <c:gapWidth val="150"/>
        <c:overlap val="0"/>
        <c:axId val="550097617"/>
        <c:axId val="41292397"/>
      </c:barChart>
      <c:lineChart>
        <c:grouping val="standard"/>
        <c:varyColors val="0"/>
        <c:ser>
          <c:idx val="0"/>
          <c:order val="1"/>
          <c:tx>
            <c:strRef>
              <c:f>[2022年总决算数据分析.xls]收入年度对比!$A$3</c:f>
              <c:strCache>
                <c:ptCount val="1"/>
                <c:pt idx="0">
                  <c:v>增长幅度</c:v>
                </c:pt>
              </c:strCache>
            </c:strRef>
          </c:tx>
          <c:spPr>
            <a:ln w="12700" cap="rnd" cmpd="sng" algn="ctr">
              <a:solidFill>
                <a:srgbClr val="000080">
                  <a:alpha val="100000"/>
                </a:srgbClr>
              </a:solidFill>
              <a:prstDash val="solid"/>
              <a:round/>
            </a:ln>
          </c:spPr>
          <c:marker>
            <c:symbol val="diamond"/>
            <c:size val="5"/>
            <c:spPr>
              <a:solidFill>
                <a:srgbClr val="000080">
                  <a:alpha val="100000"/>
                </a:srgbClr>
              </a:solidFill>
              <a:ln w="9525" cap="flat" cmpd="sng" algn="ctr">
                <a:solidFill>
                  <a:srgbClr val="000080">
                    <a:alpha val="100000"/>
                  </a:srgbClr>
                </a:solidFill>
                <a:prstDash val="solid"/>
                <a:round/>
              </a:ln>
            </c:spPr>
          </c:marker>
          <c:dLbls>
            <c:delete val="1"/>
          </c:dLbls>
          <c:cat>
            <c:strRef>
              <c:f>[2022年总决算数据分析.xls]收入年度对比!$B$1:$G$1</c:f>
              <c:strCache>
                <c:ptCount val="6"/>
                <c:pt idx="0">
                  <c:v>2017年</c:v>
                </c:pt>
                <c:pt idx="1">
                  <c:v>2018年</c:v>
                </c:pt>
                <c:pt idx="2">
                  <c:v>2019年</c:v>
                </c:pt>
                <c:pt idx="3">
                  <c:v>2020年</c:v>
                </c:pt>
                <c:pt idx="4">
                  <c:v>2021年</c:v>
                </c:pt>
                <c:pt idx="5">
                  <c:v>2022年</c:v>
                </c:pt>
              </c:strCache>
            </c:strRef>
          </c:cat>
          <c:val>
            <c:numRef>
              <c:f>[2022年总决算数据分析.xls]收入年度对比!$B$3:$G$3</c:f>
              <c:numCache>
                <c:formatCode>0.0_ </c:formatCode>
                <c:ptCount val="6"/>
                <c:pt idx="0">
                  <c:v>7.93377840717513</c:v>
                </c:pt>
                <c:pt idx="1">
                  <c:v>6.98509887226266</c:v>
                </c:pt>
                <c:pt idx="2">
                  <c:v>-9.41396326685549</c:v>
                </c:pt>
                <c:pt idx="3">
                  <c:v>-12.4584985333462</c:v>
                </c:pt>
                <c:pt idx="4">
                  <c:v>-17.4276456292805</c:v>
                </c:pt>
                <c:pt idx="5">
                  <c:v>-0.6</c:v>
                </c:pt>
              </c:numCache>
            </c:numRef>
          </c:val>
          <c:smooth val="0"/>
        </c:ser>
        <c:dLbls>
          <c:showLegendKey val="0"/>
          <c:showVal val="0"/>
          <c:showCatName val="0"/>
          <c:showSerName val="0"/>
          <c:showPercent val="0"/>
          <c:showBubbleSize val="0"/>
        </c:dLbls>
        <c:marker val="1"/>
        <c:smooth val="0"/>
        <c:axId val="120711564"/>
        <c:axId val="907538347"/>
      </c:lineChart>
      <c:catAx>
        <c:axId val="550097617"/>
        <c:scaling>
          <c:orientation val="minMax"/>
        </c:scaling>
        <c:delete val="0"/>
        <c:axPos val="b"/>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41292397"/>
        <c:crosses val="autoZero"/>
        <c:auto val="0"/>
        <c:lblAlgn val="ctr"/>
        <c:lblOffset val="100"/>
        <c:noMultiLvlLbl val="0"/>
      </c:catAx>
      <c:valAx>
        <c:axId val="41292397"/>
        <c:scaling>
          <c:orientation val="minMax"/>
        </c:scaling>
        <c:delete val="0"/>
        <c:axPos val="l"/>
        <c:numFmt formatCode="General" sourceLinked="1"/>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Arial" panose="020B0604020202020204" pitchFamily="7" charset="0"/>
                <a:ea typeface="Arial" panose="020B0604020202020204" pitchFamily="7" charset="0"/>
                <a:cs typeface="Arial" panose="020B0604020202020204" pitchFamily="7" charset="0"/>
              </a:defRPr>
            </a:pPr>
          </a:p>
        </c:txPr>
        <c:crossAx val="550097617"/>
        <c:crosses val="autoZero"/>
        <c:crossBetween val="between"/>
      </c:valAx>
      <c:catAx>
        <c:axId val="120711564"/>
        <c:scaling>
          <c:orientation val="minMax"/>
        </c:scaling>
        <c:delete val="1"/>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Arial" panose="020B0604020202020204" charset="-122"/>
                <a:ea typeface="Arial" panose="020B0604020202020204" charset="-122"/>
                <a:cs typeface="Arial" panose="020B0604020202020204" charset="-122"/>
              </a:defRPr>
            </a:pPr>
          </a:p>
        </c:txPr>
        <c:crossAx val="907538347"/>
        <c:crosses val="autoZero"/>
        <c:auto val="0"/>
        <c:lblAlgn val="ctr"/>
        <c:lblOffset val="100"/>
        <c:noMultiLvlLbl val="0"/>
      </c:catAx>
      <c:valAx>
        <c:axId val="907538347"/>
        <c:scaling>
          <c:orientation val="minMax"/>
        </c:scaling>
        <c:delete val="0"/>
        <c:axPos val="r"/>
        <c:numFmt formatCode="0.0_ " sourceLinked="1"/>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Arial" panose="020B0604020202020204" pitchFamily="7" charset="0"/>
                <a:ea typeface="Arial" panose="020B0604020202020204" pitchFamily="7" charset="0"/>
                <a:cs typeface="Arial" panose="020B0604020202020204" pitchFamily="7" charset="0"/>
              </a:defRPr>
            </a:pPr>
          </a:p>
        </c:txPr>
        <c:crossAx val="120711564"/>
        <c:crosses val="max"/>
        <c:crossBetween val="between"/>
      </c:valAx>
      <c:dTable>
        <c:showHorzBorder val="1"/>
        <c:showVertBorder val="1"/>
        <c:showOutline val="1"/>
        <c:showKeys val="1"/>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Arial" panose="020B0604020202020204" charset="-122"/>
                <a:ea typeface="Arial" panose="020B0604020202020204" charset="-122"/>
                <a:cs typeface="Arial" panose="020B0604020202020204" charset="-122"/>
              </a:defRPr>
            </a:pPr>
          </a:p>
        </c:txPr>
      </c:dTable>
      <c:spPr>
        <a:solidFill>
          <a:srgbClr val="C0C0C0">
            <a:alpha val="100000"/>
          </a:srgbClr>
        </a:solidFill>
        <a:ln w="12700">
          <a:solidFill>
            <a:srgbClr val="808080">
              <a:alpha val="100000"/>
            </a:srgbClr>
          </a:solidFill>
          <a:prstDash val="solid"/>
        </a:ln>
      </c:spPr>
    </c:plotArea>
    <c:plotVisOnly val="1"/>
    <c:dispBlanksAs val="gap"/>
    <c:showDLblsOverMax val="0"/>
  </c:chart>
  <c:spPr>
    <a:solidFill>
      <a:srgbClr val="FFFFFF">
        <a:alpha val="100000"/>
      </a:srgbClr>
    </a:solidFill>
    <a:ln w="12700" cap="flat" cmpd="sng" algn="ctr">
      <a:solidFill>
        <a:srgbClr val="000000">
          <a:alpha val="100000"/>
        </a:srgbClr>
      </a:solidFill>
      <a:prstDash val="solid"/>
      <a:round/>
    </a:ln>
  </c:spPr>
  <c:txPr>
    <a:bodyPr rot="0" wrap="square" anchor="ctr" anchorCtr="1"/>
    <a:lstStyle/>
    <a:p>
      <a:pPr>
        <a:defRPr lang="zh-CN" sz="1000" b="0" i="0" u="none" strike="noStrike" baseline="0">
          <a:solidFill>
            <a:srgbClr val="000000"/>
          </a:solidFill>
          <a:latin typeface="Arial" panose="020B0604020202020204" charset="-122"/>
          <a:ea typeface="Arial" panose="020B0604020202020204" charset="-122"/>
          <a:cs typeface="Arial" panose="020B0604020202020204"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2378048780488"/>
          <c:y val="0.0881357391017927"/>
          <c:w val="0.664634146341463"/>
          <c:h val="0.569492468042353"/>
        </c:manualLayout>
      </c:layout>
      <c:lineChart>
        <c:grouping val="standard"/>
        <c:varyColors val="0"/>
        <c:ser>
          <c:idx val="1"/>
          <c:order val="0"/>
          <c:tx>
            <c:strRef>
              <c:f>[2022年总决算数据分析.xls]收入年度对比!$A$28</c:f>
              <c:strCache>
                <c:ptCount val="1"/>
                <c:pt idx="0">
                  <c:v>占财政收入的比重</c:v>
                </c:pt>
              </c:strCache>
            </c:strRef>
          </c:tx>
          <c:spPr>
            <a:ln w="12700" cap="rnd" cmpd="sng" algn="ctr">
              <a:solidFill>
                <a:srgbClr val="FF00FF">
                  <a:alpha val="100000"/>
                </a:srgbClr>
              </a:solidFill>
              <a:prstDash val="solid"/>
              <a:round/>
            </a:ln>
          </c:spPr>
          <c:marker>
            <c:symbol val="square"/>
            <c:size val="5"/>
            <c:spPr>
              <a:solidFill>
                <a:srgbClr val="FF00FF">
                  <a:alpha val="100000"/>
                </a:srgbClr>
              </a:solidFill>
              <a:ln w="9525" cap="flat" cmpd="sng" algn="ctr">
                <a:solidFill>
                  <a:srgbClr val="FF00FF">
                    <a:alpha val="100000"/>
                  </a:srgbClr>
                </a:solidFill>
                <a:prstDash val="solid"/>
                <a:round/>
              </a:ln>
            </c:spPr>
          </c:marker>
          <c:dLbls>
            <c:delete val="1"/>
          </c:dLbls>
          <c:cat>
            <c:strRef>
              <c:f>[2022年总决算数据分析.xls]收入年度对比!$B$27:$G$27</c:f>
              <c:strCache>
                <c:ptCount val="6"/>
                <c:pt idx="0">
                  <c:v>2017年</c:v>
                </c:pt>
                <c:pt idx="1">
                  <c:v>2018年</c:v>
                </c:pt>
                <c:pt idx="2">
                  <c:v>2019年</c:v>
                </c:pt>
                <c:pt idx="3">
                  <c:v>2020年</c:v>
                </c:pt>
                <c:pt idx="4">
                  <c:v>2021年</c:v>
                </c:pt>
                <c:pt idx="5">
                  <c:v>2022年</c:v>
                </c:pt>
              </c:strCache>
            </c:strRef>
          </c:cat>
          <c:val>
            <c:numRef>
              <c:f>[2022年总决算数据分析.xls]收入年度对比!$B$28:$G$28</c:f>
              <c:numCache>
                <c:formatCode>0.0_ </c:formatCode>
                <c:ptCount val="6"/>
                <c:pt idx="0">
                  <c:v>68.2452906813283</c:v>
                </c:pt>
                <c:pt idx="1">
                  <c:v>68.438111367419</c:v>
                </c:pt>
                <c:pt idx="2">
                  <c:v>59.5235792798891</c:v>
                </c:pt>
                <c:pt idx="3">
                  <c:v>72.5163855954047</c:v>
                </c:pt>
                <c:pt idx="4">
                  <c:v>70.4749163879599</c:v>
                </c:pt>
                <c:pt idx="5">
                  <c:v>72.6599658978731</c:v>
                </c:pt>
              </c:numCache>
            </c:numRef>
          </c:val>
          <c:smooth val="0"/>
        </c:ser>
        <c:ser>
          <c:idx val="0"/>
          <c:order val="1"/>
          <c:tx>
            <c:strRef>
              <c:f>[2022年总决算数据分析.xls]收入年度对比!$A$29</c:f>
              <c:strCache>
                <c:ptCount val="1"/>
                <c:pt idx="0">
                  <c:v>增长幅度</c:v>
                </c:pt>
              </c:strCache>
            </c:strRef>
          </c:tx>
          <c:spPr>
            <a:ln w="12700" cap="rnd" cmpd="sng" algn="ctr">
              <a:solidFill>
                <a:srgbClr val="000080">
                  <a:alpha val="100000"/>
                </a:srgbClr>
              </a:solidFill>
              <a:prstDash val="solid"/>
              <a:round/>
            </a:ln>
          </c:spPr>
          <c:marker>
            <c:symbol val="diamond"/>
            <c:size val="5"/>
            <c:spPr>
              <a:solidFill>
                <a:srgbClr val="000080">
                  <a:alpha val="100000"/>
                </a:srgbClr>
              </a:solidFill>
              <a:ln w="9525" cap="flat" cmpd="sng" algn="ctr">
                <a:solidFill>
                  <a:srgbClr val="000080">
                    <a:alpha val="100000"/>
                  </a:srgbClr>
                </a:solidFill>
                <a:prstDash val="solid"/>
                <a:round/>
              </a:ln>
            </c:spPr>
          </c:marker>
          <c:dLbls>
            <c:delete val="1"/>
          </c:dLbls>
          <c:cat>
            <c:strRef>
              <c:f>[2022年总决算数据分析.xls]收入年度对比!$B$27:$G$27</c:f>
              <c:strCache>
                <c:ptCount val="6"/>
                <c:pt idx="0">
                  <c:v>2017年</c:v>
                </c:pt>
                <c:pt idx="1">
                  <c:v>2018年</c:v>
                </c:pt>
                <c:pt idx="2">
                  <c:v>2019年</c:v>
                </c:pt>
                <c:pt idx="3">
                  <c:v>2020年</c:v>
                </c:pt>
                <c:pt idx="4">
                  <c:v>2021年</c:v>
                </c:pt>
                <c:pt idx="5">
                  <c:v>2022年</c:v>
                </c:pt>
              </c:strCache>
            </c:strRef>
          </c:cat>
          <c:val>
            <c:numRef>
              <c:f>[2022年总决算数据分析.xls]收入年度对比!$B$29:$G$29</c:f>
              <c:numCache>
                <c:formatCode>0.0_ </c:formatCode>
                <c:ptCount val="6"/>
                <c:pt idx="0">
                  <c:v>34.9101463595381</c:v>
                </c:pt>
                <c:pt idx="1">
                  <c:v>7.28737526320608</c:v>
                </c:pt>
                <c:pt idx="2">
                  <c:v>-21.2134141138322</c:v>
                </c:pt>
                <c:pt idx="3">
                  <c:v>6.65005956893751</c:v>
                </c:pt>
                <c:pt idx="4">
                  <c:v>-19.7522087945567</c:v>
                </c:pt>
                <c:pt idx="5">
                  <c:v>2.46140217666414</c:v>
                </c:pt>
              </c:numCache>
            </c:numRef>
          </c:val>
          <c:smooth val="0"/>
        </c:ser>
        <c:dLbls>
          <c:showLegendKey val="0"/>
          <c:showVal val="0"/>
          <c:showCatName val="0"/>
          <c:showSerName val="0"/>
          <c:showPercent val="0"/>
          <c:showBubbleSize val="0"/>
        </c:dLbls>
        <c:marker val="1"/>
        <c:smooth val="0"/>
        <c:axId val="437379289"/>
        <c:axId val="86135149"/>
      </c:lineChart>
      <c:lineChart>
        <c:grouping val="standard"/>
        <c:varyColors val="0"/>
        <c:ser>
          <c:idx val="2"/>
          <c:order val="2"/>
          <c:tx>
            <c:strRef>
              <c:f>[2022年总决算数据分析.xls]收入年度对比!$A$30</c:f>
              <c:strCache>
                <c:ptCount val="1"/>
                <c:pt idx="0">
                  <c:v>税收收入</c:v>
                </c:pt>
              </c:strCache>
            </c:strRef>
          </c:tx>
          <c:spPr>
            <a:ln w="12700" cap="rnd" cmpd="sng" algn="ctr">
              <a:solidFill>
                <a:srgbClr val="FFFF00">
                  <a:alpha val="100000"/>
                </a:srgbClr>
              </a:solidFill>
              <a:prstDash val="solid"/>
              <a:round/>
            </a:ln>
          </c:spPr>
          <c:marker>
            <c:symbol val="triangle"/>
            <c:size val="5"/>
            <c:spPr>
              <a:solidFill>
                <a:srgbClr val="FFFF00">
                  <a:alpha val="100000"/>
                </a:srgbClr>
              </a:solidFill>
              <a:ln w="9525" cap="flat" cmpd="sng" algn="ctr">
                <a:solidFill>
                  <a:srgbClr val="FFFF00">
                    <a:alpha val="100000"/>
                  </a:srgbClr>
                </a:solidFill>
                <a:prstDash val="solid"/>
                <a:round/>
              </a:ln>
            </c:spPr>
          </c:marker>
          <c:dLbls>
            <c:delete val="1"/>
          </c:dLbls>
          <c:cat>
            <c:strRef>
              <c:f>[2022年总决算数据分析.xls]收入年度对比!$B$27:$G$27</c:f>
              <c:strCache>
                <c:ptCount val="6"/>
                <c:pt idx="0">
                  <c:v>2017年</c:v>
                </c:pt>
                <c:pt idx="1">
                  <c:v>2018年</c:v>
                </c:pt>
                <c:pt idx="2">
                  <c:v>2019年</c:v>
                </c:pt>
                <c:pt idx="3">
                  <c:v>2020年</c:v>
                </c:pt>
                <c:pt idx="4">
                  <c:v>2021年</c:v>
                </c:pt>
                <c:pt idx="5">
                  <c:v>2022年</c:v>
                </c:pt>
              </c:strCache>
            </c:strRef>
          </c:cat>
          <c:val>
            <c:numRef>
              <c:f>[2022年总决算数据分析.xls]收入年度对比!$B$30:$G$30</c:f>
              <c:numCache>
                <c:formatCode>General</c:formatCode>
                <c:ptCount val="6"/>
                <c:pt idx="0">
                  <c:v>21846</c:v>
                </c:pt>
                <c:pt idx="1">
                  <c:v>23438</c:v>
                </c:pt>
                <c:pt idx="2">
                  <c:v>18466</c:v>
                </c:pt>
                <c:pt idx="3">
                  <c:v>19694</c:v>
                </c:pt>
                <c:pt idx="4">
                  <c:v>15804</c:v>
                </c:pt>
                <c:pt idx="5">
                  <c:v>16193</c:v>
                </c:pt>
              </c:numCache>
            </c:numRef>
          </c:val>
          <c:smooth val="0"/>
        </c:ser>
        <c:dLbls>
          <c:showLegendKey val="0"/>
          <c:showVal val="0"/>
          <c:showCatName val="0"/>
          <c:showSerName val="0"/>
          <c:showPercent val="0"/>
          <c:showBubbleSize val="0"/>
        </c:dLbls>
        <c:marker val="1"/>
        <c:smooth val="0"/>
        <c:axId val="110856847"/>
        <c:axId val="44429602"/>
      </c:lineChart>
      <c:catAx>
        <c:axId val="437379289"/>
        <c:scaling>
          <c:orientation val="minMax"/>
        </c:scaling>
        <c:delete val="0"/>
        <c:axPos val="b"/>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86135149"/>
        <c:crosses val="autoZero"/>
        <c:auto val="0"/>
        <c:lblAlgn val="ctr"/>
        <c:lblOffset val="100"/>
        <c:noMultiLvlLbl val="0"/>
      </c:catAx>
      <c:valAx>
        <c:axId val="86135149"/>
        <c:scaling>
          <c:orientation val="minMax"/>
        </c:scaling>
        <c:delete val="0"/>
        <c:axPos val="l"/>
        <c:numFmt formatCode="0.0_ " sourceLinked="1"/>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Arial" panose="020B0604020202020204" pitchFamily="7" charset="0"/>
                <a:ea typeface="Arial" panose="020B0604020202020204" pitchFamily="7" charset="0"/>
                <a:cs typeface="Arial" panose="020B0604020202020204" pitchFamily="7" charset="0"/>
              </a:defRPr>
            </a:pPr>
          </a:p>
        </c:txPr>
        <c:crossAx val="437379289"/>
        <c:crosses val="autoZero"/>
        <c:crossBetween val="between"/>
      </c:valAx>
      <c:catAx>
        <c:axId val="110856847"/>
        <c:scaling>
          <c:orientation val="minMax"/>
        </c:scaling>
        <c:delete val="1"/>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Arial" panose="020B0604020202020204" charset="-122"/>
                <a:ea typeface="Arial" panose="020B0604020202020204" charset="-122"/>
                <a:cs typeface="Arial" panose="020B0604020202020204" charset="-122"/>
              </a:defRPr>
            </a:pPr>
          </a:p>
        </c:txPr>
        <c:crossAx val="44429602"/>
        <c:crosses val="autoZero"/>
        <c:auto val="0"/>
        <c:lblAlgn val="ctr"/>
        <c:lblOffset val="100"/>
        <c:noMultiLvlLbl val="0"/>
      </c:catAx>
      <c:valAx>
        <c:axId val="44429602"/>
        <c:scaling>
          <c:orientation val="minMax"/>
        </c:scaling>
        <c:delete val="0"/>
        <c:axPos val="r"/>
        <c:numFmt formatCode="General" sourceLinked="1"/>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Arial" panose="020B0604020202020204" pitchFamily="7" charset="0"/>
                <a:ea typeface="Arial" panose="020B0604020202020204" pitchFamily="7" charset="0"/>
                <a:cs typeface="Arial" panose="020B0604020202020204" pitchFamily="7" charset="0"/>
              </a:defRPr>
            </a:pPr>
          </a:p>
        </c:txPr>
        <c:crossAx val="110856847"/>
        <c:crosses val="max"/>
        <c:crossBetween val="between"/>
      </c:valAx>
      <c:dTable>
        <c:showHorzBorder val="1"/>
        <c:showVertBorder val="1"/>
        <c:showOutline val="1"/>
        <c:showKeys val="1"/>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200" b="0" i="0" u="none" strike="noStrike" kern="1200" baseline="0">
                <a:solidFill>
                  <a:srgbClr val="000000">
                    <a:alpha val="100000"/>
                  </a:srgbClr>
                </a:solidFill>
                <a:latin typeface="Arial" panose="020B0604020202020204" charset="-122"/>
                <a:ea typeface="Arial" panose="020B0604020202020204" charset="-122"/>
                <a:cs typeface="Arial" panose="020B0604020202020204" charset="-122"/>
              </a:defRPr>
            </a:pPr>
          </a:p>
        </c:txPr>
      </c:dTable>
      <c:spPr>
        <a:solidFill>
          <a:srgbClr val="C0C0C0">
            <a:alpha val="100000"/>
          </a:srgbClr>
        </a:solidFill>
        <a:ln w="12700">
          <a:solidFill>
            <a:srgbClr val="808080">
              <a:alpha val="100000"/>
            </a:srgbClr>
          </a:solidFill>
          <a:prstDash val="solid"/>
        </a:ln>
      </c:spPr>
    </c:plotArea>
    <c:plotVisOnly val="1"/>
    <c:dispBlanksAs val="gap"/>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000" b="0" i="0" u="none" strike="noStrike" baseline="0">
          <a:solidFill>
            <a:srgbClr val="000000"/>
          </a:solidFill>
          <a:latin typeface="Arial" panose="020B0604020202020204" charset="-122"/>
          <a:ea typeface="Arial" panose="020B0604020202020204" charset="-122"/>
          <a:cs typeface="Arial" panose="020B060402020202020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4160722343124"/>
          <c:y val="0.0878378378378378"/>
          <c:w val="0.715328977053616"/>
          <c:h val="0.641891891891892"/>
        </c:manualLayout>
      </c:layout>
      <c:barChart>
        <c:barDir val="col"/>
        <c:grouping val="clustered"/>
        <c:varyColors val="0"/>
        <c:ser>
          <c:idx val="1"/>
          <c:order val="0"/>
          <c:tx>
            <c:strRef>
              <c:f>[2022年总决算数据分析.xls]收入年度对比!$A$60</c:f>
              <c:strCache>
                <c:ptCount val="1"/>
                <c:pt idx="0">
                  <c:v>上级补助收入</c:v>
                </c:pt>
              </c:strCache>
            </c:strRef>
          </c:tx>
          <c:spPr>
            <a:solidFill>
              <a:srgbClr val="993366">
                <a:alpha val="100000"/>
              </a:srgbClr>
            </a:solidFill>
            <a:ln w="12700">
              <a:solidFill>
                <a:srgbClr val="000000">
                  <a:alpha val="100000"/>
                </a:srgbClr>
              </a:solidFill>
              <a:prstDash val="solid"/>
            </a:ln>
          </c:spPr>
          <c:invertIfNegative val="0"/>
          <c:dLbls>
            <c:delete val="1"/>
          </c:dLbls>
          <c:cat>
            <c:strRef>
              <c:f>[2022年总决算数据分析.xls]收入年度对比!$B$59:$G$59</c:f>
              <c:strCache>
                <c:ptCount val="6"/>
                <c:pt idx="0">
                  <c:v>2017年</c:v>
                </c:pt>
                <c:pt idx="1">
                  <c:v>2018年</c:v>
                </c:pt>
                <c:pt idx="2">
                  <c:v>2019年</c:v>
                </c:pt>
                <c:pt idx="3">
                  <c:v>2020年</c:v>
                </c:pt>
                <c:pt idx="4">
                  <c:v>2021年</c:v>
                </c:pt>
                <c:pt idx="5">
                  <c:v>2022年</c:v>
                </c:pt>
              </c:strCache>
            </c:strRef>
          </c:cat>
          <c:val>
            <c:numRef>
              <c:f>[2022年总决算数据分析.xls]收入年度对比!$B$60:$G$60</c:f>
              <c:numCache>
                <c:formatCode>General</c:formatCode>
                <c:ptCount val="6"/>
                <c:pt idx="0">
                  <c:v>141206</c:v>
                </c:pt>
                <c:pt idx="1" c:formatCode="#,##0">
                  <c:v>150942</c:v>
                </c:pt>
                <c:pt idx="2" c:formatCode="#,##0">
                  <c:v>165454</c:v>
                </c:pt>
                <c:pt idx="3" c:formatCode="#,##0">
                  <c:v>207675</c:v>
                </c:pt>
                <c:pt idx="4" c:formatCode="#,##0">
                  <c:v>187876</c:v>
                </c:pt>
                <c:pt idx="5">
                  <c:v>172149</c:v>
                </c:pt>
              </c:numCache>
            </c:numRef>
          </c:val>
        </c:ser>
        <c:dLbls>
          <c:showLegendKey val="0"/>
          <c:showVal val="0"/>
          <c:showCatName val="0"/>
          <c:showSerName val="0"/>
          <c:showPercent val="0"/>
          <c:showBubbleSize val="0"/>
        </c:dLbls>
        <c:gapWidth val="150"/>
        <c:overlap val="0"/>
        <c:axId val="41431089"/>
        <c:axId val="675865341"/>
      </c:barChart>
      <c:lineChart>
        <c:grouping val="standard"/>
        <c:varyColors val="0"/>
        <c:ser>
          <c:idx val="0"/>
          <c:order val="1"/>
          <c:tx>
            <c:strRef>
              <c:f>[2022年总决算数据分析.xls]收入年度对比!$A$61</c:f>
              <c:strCache>
                <c:ptCount val="1"/>
                <c:pt idx="0">
                  <c:v>增长幅度</c:v>
                </c:pt>
              </c:strCache>
            </c:strRef>
          </c:tx>
          <c:spPr>
            <a:ln w="12700" cap="rnd" cmpd="sng" algn="ctr">
              <a:solidFill>
                <a:srgbClr val="000080">
                  <a:alpha val="100000"/>
                </a:srgbClr>
              </a:solidFill>
              <a:prstDash val="solid"/>
              <a:round/>
            </a:ln>
          </c:spPr>
          <c:marker>
            <c:symbol val="diamond"/>
            <c:size val="5"/>
            <c:spPr>
              <a:solidFill>
                <a:srgbClr val="000080">
                  <a:alpha val="100000"/>
                </a:srgbClr>
              </a:solidFill>
              <a:ln w="9525" cap="flat" cmpd="sng" algn="ctr">
                <a:solidFill>
                  <a:srgbClr val="000080">
                    <a:alpha val="100000"/>
                  </a:srgbClr>
                </a:solidFill>
                <a:prstDash val="solid"/>
                <a:round/>
              </a:ln>
            </c:spPr>
          </c:marker>
          <c:dLbls>
            <c:delete val="1"/>
          </c:dLbls>
          <c:cat>
            <c:strRef>
              <c:f>[2022年总决算数据分析.xls]收入年度对比!$B$59:$G$59</c:f>
              <c:strCache>
                <c:ptCount val="6"/>
                <c:pt idx="0">
                  <c:v>2017年</c:v>
                </c:pt>
                <c:pt idx="1">
                  <c:v>2018年</c:v>
                </c:pt>
                <c:pt idx="2">
                  <c:v>2019年</c:v>
                </c:pt>
                <c:pt idx="3">
                  <c:v>2020年</c:v>
                </c:pt>
                <c:pt idx="4">
                  <c:v>2021年</c:v>
                </c:pt>
                <c:pt idx="5">
                  <c:v>2022年</c:v>
                </c:pt>
              </c:strCache>
            </c:strRef>
          </c:cat>
          <c:val>
            <c:numRef>
              <c:f>[2022年总决算数据分析.xls]收入年度对比!$B$61:$G$61</c:f>
              <c:numCache>
                <c:formatCode>0.00%</c:formatCode>
                <c:ptCount val="6"/>
                <c:pt idx="0">
                  <c:v>0.042</c:v>
                </c:pt>
                <c:pt idx="1">
                  <c:v>0.0689489115193405</c:v>
                </c:pt>
                <c:pt idx="2">
                  <c:v>0.0961428893217262</c:v>
                </c:pt>
                <c:pt idx="3">
                  <c:v>0.255182709393547</c:v>
                </c:pt>
                <c:pt idx="4">
                  <c:v>-0.0953364632237872</c:v>
                </c:pt>
                <c:pt idx="5">
                  <c:v>-0.0837094679469438</c:v>
                </c:pt>
              </c:numCache>
            </c:numRef>
          </c:val>
          <c:smooth val="0"/>
        </c:ser>
        <c:dLbls>
          <c:showLegendKey val="0"/>
          <c:showVal val="0"/>
          <c:showCatName val="0"/>
          <c:showSerName val="0"/>
          <c:showPercent val="0"/>
          <c:showBubbleSize val="0"/>
        </c:dLbls>
        <c:marker val="1"/>
        <c:smooth val="0"/>
        <c:axId val="282645974"/>
        <c:axId val="622442172"/>
      </c:lineChart>
      <c:catAx>
        <c:axId val="41431089"/>
        <c:scaling>
          <c:orientation val="minMax"/>
        </c:scaling>
        <c:delete val="0"/>
        <c:axPos val="b"/>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675865341"/>
        <c:crosses val="autoZero"/>
        <c:auto val="0"/>
        <c:lblAlgn val="ctr"/>
        <c:lblOffset val="100"/>
        <c:noMultiLvlLbl val="0"/>
      </c:catAx>
      <c:valAx>
        <c:axId val="675865341"/>
        <c:scaling>
          <c:orientation val="minMax"/>
        </c:scaling>
        <c:delete val="0"/>
        <c:axPos val="l"/>
        <c:numFmt formatCode="General" sourceLinked="1"/>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Arial" panose="020B0604020202020204" pitchFamily="7" charset="0"/>
                <a:ea typeface="Arial" panose="020B0604020202020204" pitchFamily="7" charset="0"/>
                <a:cs typeface="Arial" panose="020B0604020202020204" pitchFamily="7" charset="0"/>
              </a:defRPr>
            </a:pPr>
          </a:p>
        </c:txPr>
        <c:crossAx val="41431089"/>
        <c:crosses val="autoZero"/>
        <c:crossBetween val="between"/>
      </c:valAx>
      <c:catAx>
        <c:axId val="282645974"/>
        <c:scaling>
          <c:orientation val="minMax"/>
        </c:scaling>
        <c:delete val="1"/>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Arial" panose="020B0604020202020204" charset="-122"/>
                <a:ea typeface="Arial" panose="020B0604020202020204" charset="-122"/>
                <a:cs typeface="Arial" panose="020B0604020202020204" charset="-122"/>
              </a:defRPr>
            </a:pPr>
          </a:p>
        </c:txPr>
        <c:crossAx val="622442172"/>
        <c:crosses val="autoZero"/>
        <c:auto val="0"/>
        <c:lblAlgn val="ctr"/>
        <c:lblOffset val="100"/>
        <c:noMultiLvlLbl val="0"/>
      </c:catAx>
      <c:valAx>
        <c:axId val="622442172"/>
        <c:scaling>
          <c:orientation val="minMax"/>
        </c:scaling>
        <c:delete val="0"/>
        <c:axPos val="r"/>
        <c:numFmt formatCode="0.00%" sourceLinked="1"/>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Arial" panose="020B0604020202020204" pitchFamily="7" charset="0"/>
                <a:ea typeface="Arial" panose="020B0604020202020204" pitchFamily="7" charset="0"/>
                <a:cs typeface="Arial" panose="020B0604020202020204" pitchFamily="7" charset="0"/>
              </a:defRPr>
            </a:pPr>
          </a:p>
        </c:txPr>
        <c:crossAx val="282645974"/>
        <c:crosses val="max"/>
        <c:crossBetween val="between"/>
      </c:valAx>
      <c:dTable>
        <c:showHorzBorder val="1"/>
        <c:showVertBorder val="1"/>
        <c:showOutline val="1"/>
        <c:showKeys val="1"/>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200" b="0" i="0" u="none" strike="noStrike" kern="1200" baseline="0">
                <a:solidFill>
                  <a:srgbClr val="000000">
                    <a:alpha val="100000"/>
                  </a:srgbClr>
                </a:solidFill>
                <a:latin typeface="Arial" panose="020B0604020202020204" charset="-122"/>
                <a:ea typeface="Arial" panose="020B0604020202020204" charset="-122"/>
                <a:cs typeface="Arial" panose="020B0604020202020204" charset="-122"/>
              </a:defRPr>
            </a:pPr>
          </a:p>
        </c:txPr>
      </c:dTable>
      <c:spPr>
        <a:solidFill>
          <a:srgbClr val="C0C0C0">
            <a:alpha val="100000"/>
          </a:srgbClr>
        </a:solidFill>
        <a:ln w="12700">
          <a:solidFill>
            <a:srgbClr val="808080">
              <a:alpha val="100000"/>
            </a:srgbClr>
          </a:solidFill>
          <a:prstDash val="solid"/>
        </a:ln>
      </c:spPr>
    </c:plotArea>
    <c:plotVisOnly val="1"/>
    <c:dispBlanksAs val="gap"/>
    <c:showDLblsOverMax val="0"/>
  </c:chart>
  <c:spPr>
    <a:solidFill>
      <a:srgbClr val="FFFFFF">
        <a:alpha val="100000"/>
      </a:srgbClr>
    </a:solidFill>
    <a:ln w="12700" cap="flat" cmpd="sng" algn="ctr">
      <a:solidFill>
        <a:srgbClr val="000000">
          <a:alpha val="100000"/>
        </a:srgbClr>
      </a:solidFill>
      <a:prstDash val="solid"/>
      <a:round/>
    </a:ln>
  </c:spPr>
  <c:txPr>
    <a:bodyPr rot="0" wrap="square" anchor="ctr" anchorCtr="1"/>
    <a:lstStyle/>
    <a:p>
      <a:pPr>
        <a:defRPr lang="zh-CN" sz="1000" b="0" i="0" u="none" strike="noStrike" baseline="0">
          <a:solidFill>
            <a:srgbClr val="000000"/>
          </a:solidFill>
          <a:latin typeface="Arial" panose="020B0604020202020204" charset="-122"/>
          <a:ea typeface="Arial" panose="020B0604020202020204" charset="-122"/>
          <a:cs typeface="Arial" panose="020B0604020202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13382</Words>
  <Characters>15221</Characters>
  <Lines>0</Lines>
  <Paragraphs>0</Paragraphs>
  <TotalTime>14</TotalTime>
  <ScaleCrop>false</ScaleCrop>
  <LinksUpToDate>false</LinksUpToDate>
  <CharactersWithSpaces>15233</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2023-02-11T12:59:00Z</dcterms:created>
  <dc:creator>Administrator</dc:creator>
  <cp:lastModifiedBy>马小清</cp:lastModifiedBy>
  <dcterms:modified xsi:type="dcterms:W3CDTF">2024-01-12T01:51:51Z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953CE1A17E644E8A9E2A6585FEE6C1A2</vt:lpwstr>
  </property>
</Properties>
</file>