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附件4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资源县2019年“三公”经费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决算</w:t>
      </w:r>
      <w:r>
        <w:rPr>
          <w:rFonts w:hint="eastAsia" w:ascii="黑体" w:hAnsi="黑体" w:eastAsia="黑体" w:cs="黑体"/>
          <w:sz w:val="44"/>
          <w:szCs w:val="44"/>
        </w:rPr>
        <w:t>执行情况说明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资源县2019年“三公”经费支出975万元，完成年初预算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1151</w:t>
      </w:r>
      <w:r>
        <w:rPr>
          <w:rFonts w:hint="eastAsia" w:ascii="仿宋" w:hAnsi="仿宋" w:eastAsia="仿宋" w:cs="仿宋"/>
          <w:sz w:val="32"/>
          <w:szCs w:val="32"/>
        </w:rPr>
        <w:t>万元的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84.71</w:t>
      </w:r>
      <w:r>
        <w:rPr>
          <w:rFonts w:hint="eastAsia" w:ascii="仿宋" w:hAnsi="仿宋" w:eastAsia="仿宋" w:cs="仿宋"/>
          <w:sz w:val="32"/>
          <w:szCs w:val="32"/>
        </w:rPr>
        <w:t>%，同比下降23.94%，其中：1、因公出国经费6.5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万元，同比下降6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.04</w:t>
      </w:r>
      <w:r>
        <w:rPr>
          <w:rFonts w:hint="eastAsia" w:ascii="仿宋" w:hAnsi="仿宋" w:eastAsia="仿宋" w:cs="仿宋"/>
          <w:sz w:val="32"/>
          <w:szCs w:val="32"/>
        </w:rPr>
        <w:t>%。2、公务用车购置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57.51万元，同比下降67.01%，公务用车</w:t>
      </w:r>
      <w:r>
        <w:rPr>
          <w:rFonts w:hint="eastAsia" w:ascii="仿宋" w:hAnsi="仿宋" w:eastAsia="仿宋" w:cs="仿宋"/>
          <w:sz w:val="32"/>
          <w:szCs w:val="32"/>
        </w:rPr>
        <w:t>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448</w:t>
      </w:r>
      <w:r>
        <w:rPr>
          <w:rFonts w:hint="eastAsia" w:ascii="仿宋" w:hAnsi="仿宋" w:eastAsia="仿宋" w:cs="仿宋"/>
          <w:sz w:val="32"/>
          <w:szCs w:val="32"/>
        </w:rPr>
        <w:t>万元，同比下降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29.38</w:t>
      </w:r>
      <w:r>
        <w:rPr>
          <w:rFonts w:hint="eastAsia" w:ascii="仿宋" w:hAnsi="仿宋" w:eastAsia="仿宋" w:cs="仿宋"/>
          <w:sz w:val="32"/>
          <w:szCs w:val="32"/>
        </w:rPr>
        <w:t>%；3、公务接待费完成463.3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万元，同比下降0.7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我县2019年“三公”经费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z w:val="32"/>
          <w:szCs w:val="32"/>
        </w:rPr>
        <w:t>年初预算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减少的主要原因是全县各部门严格执行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中央八项规定相关文件，同时纪检、财政、审计等部门定期对各单位的“三公”经费执行使用情况进行检查，发现问题及时纠正，保证全年“三公”经费零增长</w:t>
      </w:r>
      <w:r>
        <w:rPr>
          <w:rFonts w:hint="eastAsia" w:ascii="仿宋" w:hAnsi="仿宋" w:eastAsia="仿宋" w:cs="仿宋"/>
          <w:sz w:val="32"/>
          <w:szCs w:val="32"/>
        </w:rPr>
        <w:t>。2019年“三公”经费预算执行比上年减少主要原因是公务用车购置费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116.82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加上各单位严格控制公务用车，公务用车使用量减少，使得公务用车运行维护费同比减少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186.39万元。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</w:rPr>
        <w:t>因公出国出境1人，国内公务接待批次5443个，接待人数63452人次；公务用车购置4辆，年底公务用车保有量209辆。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0695D46"/>
    <w:rsid w:val="0035462D"/>
    <w:rsid w:val="004A049D"/>
    <w:rsid w:val="004E0D88"/>
    <w:rsid w:val="00695D46"/>
    <w:rsid w:val="00A757DA"/>
    <w:rsid w:val="00EC1D9A"/>
    <w:rsid w:val="0EBA0DA3"/>
    <w:rsid w:val="10E41E65"/>
    <w:rsid w:val="117C3DDB"/>
    <w:rsid w:val="1D0F031D"/>
    <w:rsid w:val="31066F63"/>
    <w:rsid w:val="42B73D28"/>
    <w:rsid w:val="471C101A"/>
    <w:rsid w:val="4D33497C"/>
    <w:rsid w:val="55490277"/>
    <w:rsid w:val="664E55B6"/>
    <w:rsid w:val="6C296282"/>
    <w:rsid w:val="6CC16081"/>
    <w:rsid w:val="6E640F96"/>
    <w:rsid w:val="7B182545"/>
    <w:rsid w:val="7FE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354</Characters>
  <Lines>2</Lines>
  <Paragraphs>1</Paragraphs>
  <TotalTime>6</TotalTime>
  <ScaleCrop>false</ScaleCrop>
  <LinksUpToDate>false</LinksUpToDate>
  <CharactersWithSpaces>414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此生随梦追</cp:lastModifiedBy>
  <dcterms:modified xsi:type="dcterms:W3CDTF">2023-12-28T09:42:31Z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DDF602B8EC64499785ED0450548CF962</vt:lpwstr>
  </property>
</Properties>
</file>