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资源县2019年转移支付执行情况说明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资源县2019全年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转移支付</w:t>
      </w:r>
      <w:r>
        <w:rPr>
          <w:rFonts w:hint="eastAsia" w:ascii="仿宋" w:hAnsi="仿宋" w:eastAsia="仿宋" w:cs="仿宋"/>
          <w:sz w:val="32"/>
          <w:szCs w:val="32"/>
        </w:rPr>
        <w:t>补助收入165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451万元，同比增加14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509万元，增长9.6%，其中：税收返还收入324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一般性转移支付收入142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823万元，专项转移支付收入19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387万元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</w:t>
      </w:r>
      <w:r>
        <w:rPr>
          <w:rFonts w:hint="eastAsia" w:ascii="仿宋" w:hAnsi="仿宋" w:eastAsia="仿宋" w:cs="仿宋"/>
          <w:sz w:val="32"/>
          <w:szCs w:val="32"/>
        </w:rPr>
        <w:t>县转移支付收入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同比</w:t>
      </w:r>
      <w:r>
        <w:rPr>
          <w:rFonts w:hint="eastAsia" w:ascii="仿宋" w:hAnsi="仿宋" w:eastAsia="仿宋" w:cs="仿宋"/>
          <w:sz w:val="32"/>
          <w:szCs w:val="32"/>
        </w:rPr>
        <w:t>增加是根据国家的相关财政政策增加贫困地区转移支付的补助。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上级转移支付补助主要用于我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保工资、保运转、保民生支出。以上资金极大地缓解了我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财政困难，为全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黑体" w:eastAsia="仿宋_GB2312"/>
          <w:sz w:val="32"/>
          <w:szCs w:val="32"/>
        </w:rPr>
        <w:t>经济建设和各项社会事业发展提供了有力保障。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B2"/>
    <w:rsid w:val="0011117D"/>
    <w:rsid w:val="001511B2"/>
    <w:rsid w:val="001578A8"/>
    <w:rsid w:val="00461B1A"/>
    <w:rsid w:val="00A44196"/>
    <w:rsid w:val="00CF2A3D"/>
    <w:rsid w:val="08960CF0"/>
    <w:rsid w:val="20AA320C"/>
    <w:rsid w:val="23E20B4D"/>
    <w:rsid w:val="2A9759D5"/>
    <w:rsid w:val="2E97211A"/>
    <w:rsid w:val="55A7187C"/>
    <w:rsid w:val="62421206"/>
    <w:rsid w:val="68D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9</TotalTime>
  <ScaleCrop>false</ScaleCrop>
  <LinksUpToDate>false</LinksUpToDate>
  <CharactersWithSpaces>237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2021-05-18T08:16:41Z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B13D7530EBED46A0B5CF275DF6F69F87</vt:lpwstr>
  </property>
</Properties>
</file>