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中峰镇党群和政务服务中心整体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201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5"/>
                <w:szCs w:val="15"/>
              </w:rPr>
              <w:t>年度）：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资源县中峰镇党群和政务服务中心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基本支出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肖巧莉18177302113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>
            <w:pPr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  <w:lang w:val="en-US" w:eastAsia="zh-CN"/>
              </w:rPr>
              <w:t>中峰镇人民政府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656.17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目标1：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抓好精神文明建设，丰富</w:t>
            </w:r>
            <w:bookmarkStart w:id="0" w:name="_GoBack"/>
            <w:bookmarkEnd w:id="0"/>
            <w:r>
              <w:rPr>
                <w:rFonts w:hint="eastAsia"/>
                <w:kern w:val="0"/>
                <w:sz w:val="15"/>
                <w:szCs w:val="15"/>
              </w:rPr>
              <w:t>群众文化生活，提倡移风易俗，反对封建迷信，破除陈规陋习，树立社会主义新风尚。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目标2：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负责本行政区域内的计划生育、卫生、等社会公益事业的综合性工作，维护一切经济单位个人的正当经济权益，取缔非法经济活动，调解和处理民事纠纷。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目标3：制定并组织实施村镇建设规划，部署重点工程建设，地方道路建设及公共设施，水利设施的管理，负责土地、林木、水等自然资源和生态环境的保护，做好护林防火工作</w:t>
            </w:r>
          </w:p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目标4：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按计划组织本级财政收入和地方税的征收，完成国家财政计划，不断培植税源，管好财政资金，增强财政实力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30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办理林业砍伐证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大于50次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养老保险认证次数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大于4500次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退役军人服务次数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大于50次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问题线索处置率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低保核验率高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严格按照标准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采购设备验收合格率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经费拨入及时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走访工作完成率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基本经费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656.17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通过政府职能运转，保障工作顺利，正常履行工作职责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保障了政府工作职能的正常运转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提高了党员的服务意识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群众满意度高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243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GM1MmJiOGYxMjM5ZjJmZWNjMTVhNzZlYzUxOTI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D233AF"/>
    <w:rsid w:val="03E5328D"/>
    <w:rsid w:val="04F411EF"/>
    <w:rsid w:val="09B657B9"/>
    <w:rsid w:val="2B15795E"/>
    <w:rsid w:val="43A35D9D"/>
    <w:rsid w:val="44357BD3"/>
    <w:rsid w:val="45862102"/>
    <w:rsid w:val="48460FDF"/>
    <w:rsid w:val="5DA5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331</Characters>
  <Lines>4</Lines>
  <Paragraphs>1</Paragraphs>
  <TotalTime>5</TotalTime>
  <ScaleCrop>false</ScaleCrop>
  <LinksUpToDate>false</LinksUpToDate>
  <CharactersWithSpaces>457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莫辉飞</cp:lastModifiedBy>
  <dcterms:modified xsi:type="dcterms:W3CDTF">2024-03-26T07:54:58Z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7ECB75DC9532446A99A5548F7EED9CE4</vt:lpwstr>
  </property>
</Properties>
</file>