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两水苗族乡党群和政务服务中心整体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资源县两水苗族乡党群和政务服务中心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基本支出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刘桂凤15277732962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  <w:lang w:val="en-US" w:eastAsia="zh-CN"/>
              </w:rPr>
              <w:t>两水苗族乡人民政府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461.02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抓好精神文明建设，丰富群众文化生活，提倡移风易俗，反对封建迷信，破除陈规陋习，树立社会主义新风尚。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负责本行政区域内的计划生育、卫生、等社会公益事业的综合性工作，维护一切经济单位个人的正当经济权益，取缔非法经济活动，调解和处理民事纠纷。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目标3：制定并组织实施村镇建设规划，部署重点工程建设，地方道路建设及公共设施，水利设施的管理，负责土地、林木、水等自然资源和生态环境的保护，做好护林防火工作</w:t>
            </w:r>
          </w:p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目标4：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按计划组织本级财政收入和地方税的征收，完成国家财政计划，不断培植税源，管好财政资金，增强财政实力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办理林业砍伐证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大于20次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养老保险认证次数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大于500次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退役军人服务次数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大于50次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问题线索处置率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低保核验率高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严格按照标准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采购设备验收合格率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经费拨入及时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走访工作完成率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基本经费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461.02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通过政府职能运转，保障工作顺利，正常履行工作职责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保障了政府工作职能的正常运转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提高了党员的服务意识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群众满意度高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GM1MmJiOGYxMjM5ZjJmZWNjMTVhNzZlYzUxOTI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4F411EF"/>
    <w:rsid w:val="0750372A"/>
    <w:rsid w:val="09B657B9"/>
    <w:rsid w:val="2B15795E"/>
    <w:rsid w:val="43A35D9D"/>
    <w:rsid w:val="44357BD3"/>
    <w:rsid w:val="45862102"/>
    <w:rsid w:val="48460FDF"/>
    <w:rsid w:val="5DA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331</Characters>
  <Lines>4</Lines>
  <Paragraphs>1</Paragraphs>
  <TotalTime>299</TotalTime>
  <ScaleCrop>false</ScaleCrop>
  <LinksUpToDate>false</LinksUpToDate>
  <CharactersWithSpaces>457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倥/倥</cp:lastModifiedBy>
  <dcterms:modified xsi:type="dcterms:W3CDTF">2024-03-28T02:18:07Z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207E2F53756C437A9419C9398692147A</vt:lpwstr>
  </property>
</Properties>
</file>