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Cs w:val="21"/>
        </w:rPr>
      </w:pPr>
      <w:r>
        <w:rPr>
          <w:rFonts w:hint="eastAsia" w:ascii="Calibri" w:hAnsi="Calibri"/>
          <w:b/>
          <w:szCs w:val="21"/>
        </w:rPr>
        <w:t>绩效目标申报表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93"/>
        <w:gridCol w:w="1694"/>
        <w:gridCol w:w="170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绩效目标申报单位（20 2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Calibri" w:hAnsi="Calibri"/>
                <w:sz w:val="18"/>
                <w:szCs w:val="18"/>
              </w:rPr>
              <w:t xml:space="preserve">  年度）：资源县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梅溪镇财政所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预算改革业务经费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易忠胜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 xml:space="preserve">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资源县财政局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实施单位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资源县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梅溪镇财政所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资金情况</w:t>
            </w:r>
          </w:p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Calibri" w:hAnsi="Calibri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123.11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54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贯彻执行国家有关财政税收等方面的法律法规和规章；管理财政票据；负责全镇财政收支管理工作，承担乡级财政收支管理的责任；负责编制年度乡级财政预决算草案和年度决断，受镇政府委托，项镇人民代表大会报告全镇和乡级预算执行情况；负责全镇村级公益事业“一事一议”财政奖补项目的组织实施及资金的管理工作；代理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14个村村级财务。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二级指标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三级指标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产出指标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数量指标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保证工资支出和工作正常运转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质量指标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保证财政资金使用到位，在制度范围内规范使用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时效指标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严格按照资金拨付进度完成相关绩效目标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成本指标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用于人员公用方面支出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不断降低各项支出成本，提高机关服务效能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提高全向财政预算执行水平，满足全乡经济需求，提升财政资金使用质量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确保乡域经济健康发展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可持续影响数年以上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54" w:type="dxa"/>
            <w:vMerge w:val="continue"/>
          </w:tcPr>
          <w:p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</w:tcPr>
          <w:p>
            <w:pPr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满意</w:t>
            </w:r>
          </w:p>
        </w:tc>
        <w:tc>
          <w:tcPr>
            <w:tcW w:w="1758" w:type="dxa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rFonts w:ascii="Calibri" w:hAnsi="Calibri"/>
                <w:sz w:val="15"/>
                <w:szCs w:val="15"/>
              </w:rPr>
            </w:pPr>
            <w:r>
              <w:rPr>
                <w:rFonts w:hint="eastAsia" w:ascii="Calibri" w:hAnsi="Calibri"/>
                <w:sz w:val="15"/>
                <w:szCs w:val="15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="Calibri" w:hAnsi="Calibri"/>
                <w:sz w:val="15"/>
                <w:szCs w:val="15"/>
              </w:rPr>
            </w:pPr>
            <w:r>
              <w:rPr>
                <w:rFonts w:hint="eastAsia" w:ascii="Calibri" w:hAnsi="Calibri"/>
                <w:sz w:val="15"/>
                <w:szCs w:val="15"/>
              </w:rPr>
              <w:t>2、各地请根据实际情况，选择适合的二级指标进行填报，并细化为三级指标和指标值。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="Calibri" w:hAnsi="Calibri"/>
                <w:sz w:val="20"/>
                <w:szCs w:val="21"/>
              </w:rPr>
            </w:pPr>
            <w:r>
              <w:rPr>
                <w:rFonts w:hint="eastAsia" w:ascii="Calibri" w:hAnsi="Calibri"/>
                <w:sz w:val="15"/>
                <w:szCs w:val="15"/>
              </w:rPr>
              <w:t>“财政拨款”，项目涉及的全部财政资金投入。</w:t>
            </w:r>
          </w:p>
        </w:tc>
      </w:tr>
    </w:tbl>
    <w:p>
      <w:pPr>
        <w:rPr>
          <w:rFonts w:ascii="仿宋_GB2312" w:hAnsi="Calibri" w:eastAsia="仿宋_GB2312"/>
          <w:szCs w:val="21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A5362"/>
    <w:rsid w:val="00681A67"/>
    <w:rsid w:val="007C1620"/>
    <w:rsid w:val="008B7726"/>
    <w:rsid w:val="00D31D50"/>
    <w:rsid w:val="211A0975"/>
    <w:rsid w:val="44E726ED"/>
    <w:rsid w:val="52A1147E"/>
    <w:rsid w:val="5FFC6E31"/>
    <w:rsid w:val="6D18395C"/>
    <w:rsid w:val="7B9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524</Characters>
  <Lines>4</Lines>
  <Paragraphs>1</Paragraphs>
  <TotalTime>3</TotalTime>
  <ScaleCrop>false</ScaleCrop>
  <LinksUpToDate>false</LinksUpToDate>
  <CharactersWithSpaces>614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2022-03-30T13:02:38Z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7BB69D7678AC427DA9963A53D8A5D2B8</vt:lpwstr>
  </property>
</Properties>
</file>