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5"/>
        <w:gridCol w:w="1680"/>
        <w:gridCol w:w="2010"/>
        <w:gridCol w:w="28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资源县车田苗族乡村民委员会支出绩效目标申报表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10"/>
                <w:lang w:val="en-US" w:eastAsia="zh-CN" w:bidi="ar"/>
              </w:rPr>
              <w:t>21年度）：车田苗族乡村民委员会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0773-4431018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298.98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127.38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2"/>
              </w:rPr>
              <w:t>宣传贯彻宪法、法律、法规和国家的政策，维护村民合法权益，教育和推动村民履行法律、法规规定的义务，发展文化教育，普及科技知识，促进村和村之间的团结、互助，开展多种形式的社会主义精神文明建设活动；依照法律规定，管理本村属于村农民集体所有的土地和其他财产，教育村民合理利用自然资源，保护和改善生态环境；支持和组织村民依法发展各种形式的合作经济和其他经济，承担本村生产的服务和协调工作，促进农村生产和社会主义市场经济的发展；尊重村集体经济组织依法独立进行经济活动的自主权，维护以家庭承包经营为基础，统分结合的双层经营体制，保障集体经济组织和村民、承包经营户、联户或者合伙的合法的财产权和其他合法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2"/>
                <w:lang w:eastAsia="zh-CN"/>
              </w:rPr>
              <w:t>权力和利益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2"/>
              </w:rPr>
              <w:t>；举办和管理本村的公共事务和公益事业；组织实施本村的建设规划，兴修水利、道路等基础设施，指导村民建设住宅；依法调解民间纠纷，协助维护本村的社会治安，向人民政府反映村民的意见要求和提出建议；向村民会议或者村民代表会议报告工作并接受评议，执行村民会议或者村民代表会议的决议、议定；建立健全村务公开和民主管理制度；法律、法规规定的其它职责</w:t>
            </w:r>
            <w:r>
              <w:rPr>
                <w:rFonts w:hint="eastAsia" w:ascii="仿宋_GB2312" w:hAnsi="仿宋_GB2312" w:cs="仿宋_GB2312"/>
                <w:b w:val="0"/>
                <w:bCs w:val="0"/>
                <w:szCs w:val="32"/>
                <w:lang w:eastAsia="zh-CN"/>
              </w:rPr>
              <w:t>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严格控制支出，财务规章制度，在预算内按进度支出，合理使用资金。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用于人员方面的支出：127.38万元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用于公用方面的支出：0万元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用于项目方面的支出：171.6万元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不断降低各项支出成本，提高服务效能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提高全乡财政预算执行水平，满足全乡经济需求，提升财政资金 使用质量。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确保乡经济健康发展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NTZiZTFmYzM1YTUxYjJmZTQxMmM4ZGJjYzk1MDU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AE92A67"/>
    <w:rsid w:val="21EE400D"/>
    <w:rsid w:val="2CB27C2D"/>
    <w:rsid w:val="37263A48"/>
    <w:rsid w:val="372A3146"/>
    <w:rsid w:val="595753C0"/>
    <w:rsid w:val="6F8111C5"/>
    <w:rsid w:val="702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869</Words>
  <Characters>905</Characters>
  <Lines>8</Lines>
  <Paragraphs>2</Paragraphs>
  <TotalTime>2</TotalTime>
  <ScaleCrop>false</ScaleCrop>
  <LinksUpToDate>false</LinksUpToDate>
  <CharactersWithSpaces>1043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提拉米书</cp:lastModifiedBy>
  <dcterms:modified xsi:type="dcterms:W3CDTF">2023-01-31T07:10:13Z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808D5C07EF08438AB894FA72E66F7A99</vt:lpwstr>
  </property>
</Properties>
</file>