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资源县资源镇人民政府支出绩效目标申报表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0"/>
                <w:lang w:val="en-US" w:eastAsia="zh-CN" w:bidi="ar"/>
              </w:rPr>
              <w:t>21年度）：资源镇人民政府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魏玉国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0773-4311219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788.81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726.01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行本级人民代表大会的决议和上级国家行政机关的决定和命令，发布决定和命令；执行本行政区域内的经济和社会发展计划、预算，管理本行政区域内的经济、教育、科学、文化、卫生、体育事业和财政、民政、公安、司法行政、计生等行政工作；保护社会主义全民所有的财产和劳动群众集体所有的财产，保护公民私人所有的合法财产，维护社会秩序，保护公民的人身权利、民主权利和其它权利；保护各种经济组织的合法权益；办理上级人民政府交办的其它事项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用于人员方面的支出：639.53万元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用于公用方面的支出：:86.48万元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用于项目方面的支出：62.8万元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不断降低各项支出成本，提高机关服务效能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提高全镇财政预算执行水平，满足全镇经济需求，提升财政资金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确保镇经济健康发展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2CB27C2D"/>
    <w:rsid w:val="685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609</Words>
  <Characters>648</Characters>
  <Lines>8</Lines>
  <Paragraphs>2</Paragraphs>
  <TotalTime>39</TotalTime>
  <ScaleCrop>false</ScaleCrop>
  <LinksUpToDate>false</LinksUpToDate>
  <CharactersWithSpaces>787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2023-01-31T07:23:05Z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