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资源县梅溪镇财政所</w:t>
      </w:r>
      <w:r>
        <w:rPr>
          <w:rFonts w:hint="eastAsia" w:ascii="宋体" w:hAnsi="宋体" w:eastAsia="宋体" w:cs="宋体"/>
          <w:spacing w:val="-15"/>
          <w:sz w:val="44"/>
          <w:szCs w:val="44"/>
        </w:rPr>
        <w:t>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宋体" w:hAnsi="宋体" w:eastAsia="宋体" w:cs="宋体"/>
          <w:sz w:val="32"/>
          <w:szCs w:val="32"/>
          <w:lang w:val="en-US"/>
        </w:rPr>
      </w:pPr>
      <w:r>
        <w:rPr>
          <w:rFonts w:hint="eastAsia" w:ascii="宋体" w:hAnsi="宋体" w:eastAsia="宋体" w:cs="宋体"/>
          <w:sz w:val="32"/>
          <w:szCs w:val="32"/>
        </w:rPr>
        <w:t>为了适应农村经济体制改革，发展商品经济，加强财政扶持农村资金管理和逐步建立公共财政的需要，</w:t>
      </w:r>
      <w:r>
        <w:rPr>
          <w:rFonts w:hint="eastAsia" w:ascii="宋体" w:hAnsi="宋体" w:eastAsia="宋体" w:cs="宋体"/>
          <w:sz w:val="32"/>
          <w:szCs w:val="32"/>
          <w:lang w:val="en-US" w:eastAsia="zh-CN"/>
        </w:rPr>
        <w:t>1984年</w:t>
      </w:r>
      <w:r>
        <w:rPr>
          <w:rFonts w:hint="eastAsia" w:ascii="宋体" w:hAnsi="宋体" w:eastAsia="宋体" w:cs="宋体"/>
          <w:sz w:val="32"/>
          <w:szCs w:val="32"/>
          <w:lang w:eastAsia="zh-CN"/>
        </w:rPr>
        <w:t>成立了资源县梅溪镇财政所</w:t>
      </w:r>
      <w:r>
        <w:rPr>
          <w:rFonts w:hint="eastAsia" w:ascii="宋体" w:hAnsi="宋体" w:eastAsia="宋体" w:cs="宋体"/>
          <w:sz w:val="32"/>
          <w:szCs w:val="32"/>
        </w:rPr>
        <w:t>，目前有参照公务员管理编制</w:t>
      </w:r>
      <w:r>
        <w:rPr>
          <w:rFonts w:hint="eastAsia" w:ascii="宋体" w:hAnsi="宋体" w:eastAsia="宋体" w:cs="宋体"/>
          <w:sz w:val="32"/>
          <w:szCs w:val="32"/>
          <w:lang w:val="en-US" w:eastAsia="zh-CN"/>
        </w:rPr>
        <w:t>8</w:t>
      </w:r>
      <w:r>
        <w:rPr>
          <w:rFonts w:hint="eastAsia" w:ascii="宋体" w:hAnsi="宋体" w:eastAsia="宋体" w:cs="宋体"/>
          <w:sz w:val="32"/>
          <w:szCs w:val="32"/>
        </w:rPr>
        <w:t>人，2021年在编在职</w:t>
      </w:r>
      <w:r>
        <w:rPr>
          <w:rFonts w:hint="eastAsia" w:ascii="宋体" w:hAnsi="宋体" w:eastAsia="宋体" w:cs="宋体"/>
          <w:sz w:val="32"/>
          <w:szCs w:val="32"/>
          <w:lang w:val="en-US" w:eastAsia="zh-CN"/>
        </w:rPr>
        <w:t>5</w:t>
      </w:r>
      <w:r>
        <w:rPr>
          <w:rFonts w:hint="eastAsia" w:ascii="宋体" w:hAnsi="宋体" w:eastAsia="宋体" w:cs="宋体"/>
          <w:sz w:val="32"/>
          <w:szCs w:val="32"/>
        </w:rPr>
        <w:t>人。</w:t>
      </w:r>
      <w:r>
        <w:rPr>
          <w:rFonts w:hint="eastAsia" w:ascii="宋体" w:hAnsi="宋体" w:eastAsia="宋体" w:cs="宋体"/>
          <w:i w:val="0"/>
          <w:iCs w:val="0"/>
          <w:caps w:val="0"/>
          <w:color w:val="333333"/>
          <w:spacing w:val="0"/>
          <w:sz w:val="32"/>
          <w:szCs w:val="32"/>
          <w:shd w:val="clear" w:fill="FFFFFF"/>
          <w:lang w:eastAsia="zh-CN"/>
        </w:rPr>
        <w:t>本年度下达全年预算数</w:t>
      </w:r>
      <w:r>
        <w:rPr>
          <w:rFonts w:hint="eastAsia" w:ascii="宋体" w:hAnsi="宋体" w:eastAsia="宋体" w:cs="宋体"/>
          <w:i w:val="0"/>
          <w:iCs w:val="0"/>
          <w:caps w:val="0"/>
          <w:color w:val="333333"/>
          <w:spacing w:val="0"/>
          <w:sz w:val="32"/>
          <w:szCs w:val="32"/>
          <w:shd w:val="clear" w:fill="FFFFFF"/>
          <w:lang w:val="en-US" w:eastAsia="zh-CN"/>
        </w:rPr>
        <w:t>123.11万元，</w:t>
      </w: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32"/>
          <w:szCs w:val="32"/>
          <w:lang w:eastAsia="zh-CN"/>
        </w:rPr>
        <w:t>全年执行数</w:t>
      </w:r>
      <w:r>
        <w:rPr>
          <w:rFonts w:hint="eastAsia" w:ascii="宋体" w:hAnsi="宋体" w:eastAsia="宋体" w:cs="宋体"/>
          <w:color w:val="000000"/>
          <w:kern w:val="0"/>
          <w:sz w:val="32"/>
          <w:szCs w:val="32"/>
          <w:lang w:val="en-US" w:eastAsia="zh-CN"/>
        </w:rPr>
        <w:t xml:space="preserve">773.79万元，执行率628.54%。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、负责组织和管理财政收入和支出，编制执行年度财政预算，监督单位预算执行，编制财政决算；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、负责“一事一议”财政奖补工作；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、负责</w:t>
      </w:r>
      <w:r>
        <w:rPr>
          <w:rFonts w:hint="eastAsia" w:ascii="宋体" w:hAnsi="宋体" w:eastAsia="宋体" w:cs="宋体"/>
          <w:sz w:val="32"/>
          <w:szCs w:val="32"/>
          <w:lang w:eastAsia="zh-CN"/>
        </w:rPr>
        <w:t>预算单位的财务管理和核算</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w:t>
      </w:r>
      <w:r>
        <w:rPr>
          <w:rFonts w:hint="eastAsia" w:ascii="宋体" w:hAnsi="宋体" w:eastAsia="宋体" w:cs="宋体"/>
          <w:sz w:val="32"/>
          <w:szCs w:val="32"/>
          <w:lang w:val="en-US" w:eastAsia="zh-CN"/>
        </w:rPr>
        <w:t>14个村级财务会计、村集体经济会计委托代理及监管</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333333"/>
          <w:spacing w:val="0"/>
          <w:sz w:val="32"/>
          <w:szCs w:val="32"/>
          <w:shd w:val="clear" w:fill="FFFFFF"/>
          <w:lang w:val="en-US" w:eastAsia="zh-CN"/>
        </w:rPr>
        <w:t>资金的监督管理</w:t>
      </w:r>
      <w:r>
        <w:rPr>
          <w:rFonts w:hint="eastAsia" w:ascii="宋体" w:hAnsi="宋体" w:eastAsia="宋体" w:cs="宋体"/>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645" w:right="0"/>
        <w:jc w:val="both"/>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、严格完成上级主管部门和政府交办的其他事项。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完成财政总收入</w:t>
      </w:r>
      <w:r>
        <w:rPr>
          <w:rFonts w:hint="eastAsia" w:ascii="宋体" w:hAnsi="宋体" w:eastAsia="宋体" w:cs="宋体"/>
          <w:sz w:val="32"/>
          <w:szCs w:val="32"/>
          <w:lang w:val="en-US" w:eastAsia="zh-CN"/>
        </w:rPr>
        <w:t>773.79</w:t>
      </w:r>
      <w:r>
        <w:rPr>
          <w:rFonts w:hint="eastAsia" w:ascii="宋体" w:hAnsi="宋体" w:eastAsia="宋体" w:cs="宋体"/>
          <w:sz w:val="32"/>
          <w:szCs w:val="32"/>
        </w:rPr>
        <w:t>万元，</w:t>
      </w:r>
      <w:r>
        <w:rPr>
          <w:rFonts w:hint="eastAsia" w:ascii="宋体" w:hAnsi="宋体" w:eastAsia="宋体" w:cs="宋体"/>
          <w:sz w:val="32"/>
          <w:szCs w:val="32"/>
          <w:lang w:eastAsia="zh-CN"/>
        </w:rPr>
        <w:t>其中：一般公共预算财政拨款收入</w:t>
      </w:r>
      <w:r>
        <w:rPr>
          <w:rFonts w:hint="eastAsia" w:ascii="宋体" w:hAnsi="宋体" w:eastAsia="宋体" w:cs="宋体"/>
          <w:sz w:val="32"/>
          <w:szCs w:val="32"/>
          <w:lang w:val="en-US" w:eastAsia="zh-CN"/>
        </w:rPr>
        <w:t>688.79万元；</w:t>
      </w:r>
      <w:r>
        <w:rPr>
          <w:rFonts w:hint="eastAsia" w:ascii="宋体" w:hAnsi="宋体" w:eastAsia="宋体" w:cs="宋体"/>
          <w:sz w:val="32"/>
          <w:szCs w:val="32"/>
        </w:rPr>
        <w:t>政府性基金</w:t>
      </w:r>
      <w:r>
        <w:rPr>
          <w:rFonts w:hint="eastAsia" w:ascii="宋体" w:hAnsi="宋体" w:eastAsia="宋体" w:cs="宋体"/>
          <w:sz w:val="32"/>
          <w:szCs w:val="32"/>
          <w:lang w:eastAsia="zh-CN"/>
        </w:rPr>
        <w:t>预算财政拨款收入</w:t>
      </w:r>
      <w:r>
        <w:rPr>
          <w:rFonts w:hint="eastAsia" w:ascii="宋体" w:hAnsi="宋体" w:eastAsia="宋体" w:cs="宋体"/>
          <w:sz w:val="32"/>
          <w:szCs w:val="32"/>
          <w:lang w:val="en-US" w:eastAsia="zh-CN"/>
        </w:rPr>
        <w:t>25万元，其他收入60万元。</w:t>
      </w:r>
      <w:r>
        <w:rPr>
          <w:rFonts w:hint="eastAsia" w:ascii="宋体" w:hAnsi="宋体" w:eastAsia="宋体" w:cs="宋体"/>
          <w:sz w:val="32"/>
          <w:szCs w:val="32"/>
          <w:lang w:eastAsia="zh-CN"/>
        </w:rPr>
        <w:t>年初结转和</w:t>
      </w:r>
      <w:r>
        <w:rPr>
          <w:rFonts w:hint="eastAsia" w:ascii="宋体" w:hAnsi="宋体" w:eastAsia="宋体" w:cs="宋体"/>
          <w:sz w:val="32"/>
          <w:szCs w:val="32"/>
        </w:rPr>
        <w:t>结余</w:t>
      </w:r>
      <w:r>
        <w:rPr>
          <w:rFonts w:hint="eastAsia" w:ascii="宋体" w:hAnsi="宋体" w:eastAsia="宋体" w:cs="宋体"/>
          <w:sz w:val="32"/>
          <w:szCs w:val="32"/>
          <w:lang w:val="en-US" w:eastAsia="zh-CN"/>
        </w:rPr>
        <w:t>0</w:t>
      </w:r>
      <w:r>
        <w:rPr>
          <w:rFonts w:hint="eastAsia" w:ascii="宋体" w:hAnsi="宋体" w:eastAsia="宋体" w:cs="宋体"/>
          <w:sz w:val="32"/>
          <w:szCs w:val="32"/>
        </w:rPr>
        <w:t>万元，本年支出共计为</w:t>
      </w:r>
      <w:r>
        <w:rPr>
          <w:rFonts w:hint="eastAsia" w:ascii="宋体" w:hAnsi="宋体" w:eastAsia="宋体" w:cs="宋体"/>
          <w:sz w:val="32"/>
          <w:szCs w:val="32"/>
          <w:lang w:val="en-US" w:eastAsia="zh-CN"/>
        </w:rPr>
        <w:t>773.79</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24"/>
        </w:rPr>
        <w:t>“三公”经费</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2021年</w:t>
      </w:r>
      <w:r>
        <w:rPr>
          <w:rFonts w:hint="eastAsia" w:ascii="宋体" w:hAnsi="宋体" w:eastAsia="宋体" w:cs="宋体"/>
          <w:sz w:val="32"/>
          <w:szCs w:val="24"/>
        </w:rPr>
        <w:t>“三公”经费</w:t>
      </w:r>
      <w:r>
        <w:rPr>
          <w:rFonts w:hint="eastAsia" w:ascii="宋体" w:hAnsi="宋体" w:eastAsia="宋体" w:cs="宋体"/>
          <w:sz w:val="32"/>
          <w:szCs w:val="32"/>
        </w:rPr>
        <w:t>总计金额为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宋体" w:hAnsi="宋体" w:eastAsia="宋体" w:cs="宋体"/>
          <w:sz w:val="32"/>
          <w:szCs w:val="32"/>
        </w:rPr>
      </w:pPr>
      <w:r>
        <w:rPr>
          <w:rFonts w:hint="eastAsia" w:ascii="宋体" w:hAnsi="宋体" w:eastAsia="宋体" w:cs="宋体"/>
          <w:sz w:val="32"/>
          <w:szCs w:val="32"/>
        </w:rPr>
        <w:t>2021年政府性基金</w:t>
      </w:r>
      <w:r>
        <w:rPr>
          <w:rFonts w:hint="eastAsia" w:ascii="宋体" w:hAnsi="宋体" w:eastAsia="宋体" w:cs="宋体"/>
          <w:sz w:val="32"/>
          <w:szCs w:val="32"/>
          <w:lang w:eastAsia="zh-CN"/>
        </w:rPr>
        <w:t>预算财政拨款收入支出</w:t>
      </w:r>
      <w:r>
        <w:rPr>
          <w:rFonts w:hint="eastAsia" w:ascii="宋体" w:hAnsi="宋体" w:eastAsia="宋体" w:cs="宋体"/>
          <w:sz w:val="32"/>
          <w:szCs w:val="32"/>
        </w:rPr>
        <w:t>总额为</w:t>
      </w:r>
      <w:r>
        <w:rPr>
          <w:rFonts w:hint="eastAsia" w:ascii="宋体" w:hAnsi="宋体" w:eastAsia="宋体" w:cs="宋体"/>
          <w:sz w:val="32"/>
          <w:szCs w:val="32"/>
          <w:lang w:val="en-US" w:eastAsia="zh-CN"/>
        </w:rPr>
        <w:t>25</w:t>
      </w:r>
      <w:r>
        <w:rPr>
          <w:rFonts w:hint="eastAsia" w:ascii="宋体" w:hAnsi="宋体" w:eastAsia="宋体" w:cs="宋体"/>
          <w:sz w:val="32"/>
          <w:szCs w:val="32"/>
        </w:rPr>
        <w:t>万元，其中：</w:t>
      </w:r>
      <w:r>
        <w:rPr>
          <w:rFonts w:hint="eastAsia" w:ascii="宋体" w:hAnsi="宋体" w:eastAsia="宋体" w:cs="宋体"/>
          <w:sz w:val="32"/>
          <w:szCs w:val="32"/>
          <w:lang w:eastAsia="zh-CN"/>
        </w:rPr>
        <w:t>征地和拆迁补偿支出</w:t>
      </w:r>
      <w:r>
        <w:rPr>
          <w:rFonts w:hint="eastAsia" w:ascii="宋体" w:hAnsi="宋体" w:eastAsia="宋体" w:cs="宋体"/>
          <w:sz w:val="32"/>
          <w:szCs w:val="32"/>
          <w:lang w:val="en-US" w:eastAsia="zh-CN"/>
        </w:rPr>
        <w:t>25</w:t>
      </w:r>
      <w:r>
        <w:rPr>
          <w:rFonts w:hint="eastAsia" w:ascii="宋体" w:hAnsi="宋体" w:eastAsia="宋体" w:cs="宋体"/>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完成全年</w:t>
      </w:r>
      <w:r>
        <w:rPr>
          <w:rFonts w:hint="eastAsia" w:ascii="宋体" w:hAnsi="宋体" w:eastAsia="宋体" w:cs="宋体"/>
          <w:color w:val="000000"/>
          <w:sz w:val="32"/>
          <w:szCs w:val="32"/>
        </w:rPr>
        <w:t>工作职能范畴内</w:t>
      </w:r>
      <w:r>
        <w:rPr>
          <w:rFonts w:hint="eastAsia" w:ascii="宋体" w:hAnsi="宋体" w:eastAsia="宋体" w:cs="宋体"/>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  为进一步加强预算绩效管理，强化支出责任，提高财政资金使用效益，进项绩效自评。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宋体" w:hAnsi="宋体" w:eastAsia="宋体" w:cs="宋体"/>
          <w:sz w:val="32"/>
          <w:szCs w:val="32"/>
        </w:rPr>
      </w:pPr>
      <w:r>
        <w:rPr>
          <w:rFonts w:hint="eastAsia" w:ascii="宋体" w:hAnsi="宋体" w:eastAsia="宋体" w:cs="宋体"/>
          <w:sz w:val="32"/>
          <w:szCs w:val="32"/>
        </w:rPr>
        <w:t>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本单位此次评价未发现有文件规定的项目，在整体评价中获得</w:t>
      </w:r>
      <w:r>
        <w:rPr>
          <w:rFonts w:hint="eastAsia" w:ascii="宋体" w:hAnsi="宋体" w:eastAsia="宋体" w:cs="宋体"/>
          <w:sz w:val="32"/>
          <w:szCs w:val="32"/>
          <w:lang w:val="en-US" w:eastAsia="zh-CN"/>
        </w:rPr>
        <w:t>85</w:t>
      </w:r>
      <w:r>
        <w:rPr>
          <w:rFonts w:hint="eastAsia" w:ascii="宋体" w:hAnsi="宋体" w:eastAsia="宋体" w:cs="宋体"/>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财政预算基本围绕保人员经费，公务经费少，难维持运转。下步工作中积极配合各项工作，制定合理有效的绩效目标监控机制，加强各部门衔接，及时争取上级补助资金，保证各预算绩效指标的顺利实施。严格执行</w:t>
      </w:r>
      <w:r>
        <w:rPr>
          <w:rFonts w:hint="eastAsia" w:ascii="宋体" w:hAnsi="宋体" w:eastAsia="宋体" w:cs="宋体"/>
          <w:sz w:val="32"/>
          <w:szCs w:val="32"/>
          <w:lang w:eastAsia="zh-CN"/>
        </w:rPr>
        <w:t>上</w:t>
      </w:r>
      <w:r>
        <w:rPr>
          <w:rFonts w:hint="eastAsia" w:ascii="宋体" w:hAnsi="宋体" w:eastAsia="宋体" w:cs="宋体"/>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改进措施：</w:t>
      </w:r>
      <w:r>
        <w:rPr>
          <w:rFonts w:hint="eastAsia" w:ascii="宋体" w:hAnsi="宋体" w:eastAsia="宋体" w:cs="宋体"/>
          <w:sz w:val="32"/>
          <w:szCs w:val="32"/>
          <w:lang w:eastAsia="zh-CN"/>
        </w:rPr>
        <w:t>资源县梅溪镇财政所</w:t>
      </w:r>
      <w:r>
        <w:rPr>
          <w:rFonts w:hint="eastAsia" w:ascii="宋体" w:hAnsi="宋体" w:eastAsia="宋体" w:cs="宋体"/>
          <w:sz w:val="32"/>
          <w:szCs w:val="32"/>
        </w:rPr>
        <w:t>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宋体" w:hAnsi="宋体" w:eastAsia="宋体" w:cs="宋体"/>
          <w:sz w:val="32"/>
          <w:szCs w:val="32"/>
        </w:rPr>
      </w:pPr>
      <w:r>
        <w:rPr>
          <w:rFonts w:hint="eastAsia" w:ascii="宋体" w:hAnsi="宋体" w:eastAsia="宋体" w:cs="宋体"/>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r>
        <w:rPr>
          <w:rFonts w:hint="eastAsia" w:ascii="宋体" w:hAnsi="宋体" w:eastAsia="宋体" w:cs="宋体"/>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想关</w:t>
      </w:r>
      <w:r>
        <w:rPr>
          <w:rFonts w:hint="eastAsia" w:ascii="宋体" w:hAnsi="宋体" w:eastAsia="宋体" w:cs="宋体"/>
          <w:sz w:val="32"/>
          <w:szCs w:val="32"/>
          <w:lang w:eastAsia="zh-CN"/>
        </w:rPr>
        <w:t>内</w:t>
      </w:r>
      <w:r>
        <w:rPr>
          <w:rFonts w:hint="eastAsia" w:ascii="宋体" w:hAnsi="宋体" w:eastAsia="宋体" w:cs="宋体"/>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附表：</w:t>
      </w:r>
    </w:p>
    <w:p>
      <w:pPr>
        <w:ind w:firstLine="645"/>
        <w:jc w:val="center"/>
        <w:rPr>
          <w:rFonts w:ascii="仿宋_GB2312" w:hAnsi="Calibri" w:eastAsia="仿宋_GB2312" w:cs="Times New Roman"/>
          <w:b/>
          <w:sz w:val="44"/>
          <w:szCs w:val="44"/>
        </w:rPr>
      </w:pPr>
      <w:r>
        <w:rPr>
          <w:rFonts w:hint="eastAsia" w:ascii="仿宋_GB2312" w:hAnsi="Calibri" w:eastAsia="仿宋_GB2312" w:cs="Times New Roman"/>
          <w:b/>
          <w:sz w:val="44"/>
          <w:szCs w:val="44"/>
        </w:rPr>
        <w:t>项目绩效自评表</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52"/>
        <w:gridCol w:w="1500"/>
        <w:gridCol w:w="1176"/>
        <w:gridCol w:w="1048"/>
        <w:gridCol w:w="789"/>
        <w:gridCol w:w="622"/>
        <w:gridCol w:w="113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32" w:type="dxa"/>
            <w:gridSpan w:val="9"/>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绩效目标申报自我预测单位（20</w:t>
            </w:r>
            <w:r>
              <w:rPr>
                <w:rFonts w:hint="eastAsia" w:ascii="Calibri" w:hAnsi="Calibri" w:cs="Times New Roman"/>
                <w:kern w:val="0"/>
                <w:sz w:val="20"/>
                <w:szCs w:val="21"/>
                <w:lang w:val="en-US" w:eastAsia="zh-CN"/>
              </w:rPr>
              <w:t>22</w:t>
            </w:r>
            <w:r>
              <w:rPr>
                <w:rFonts w:hint="eastAsia" w:ascii="Calibri" w:hAnsi="Calibri" w:eastAsia="宋体" w:cs="Times New Roman"/>
                <w:kern w:val="0"/>
                <w:sz w:val="20"/>
                <w:szCs w:val="21"/>
                <w:lang w:eastAsia="zh-CN"/>
              </w:rPr>
              <w:t>年度）：资源县</w:t>
            </w:r>
            <w:r>
              <w:rPr>
                <w:rFonts w:hint="eastAsia" w:ascii="Calibri" w:hAnsi="Calibri" w:cs="Times New Roman"/>
                <w:kern w:val="0"/>
                <w:sz w:val="20"/>
                <w:szCs w:val="21"/>
                <w:lang w:eastAsia="zh-CN"/>
              </w:rPr>
              <w:t>梅溪镇</w:t>
            </w:r>
            <w:r>
              <w:rPr>
                <w:rFonts w:hint="eastAsia" w:ascii="Calibri" w:hAnsi="Calibri" w:eastAsia="宋体" w:cs="Times New Roman"/>
                <w:kern w:val="0"/>
                <w:sz w:val="20"/>
                <w:szCs w:val="21"/>
                <w:lang w:eastAsia="zh-CN"/>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项目名称</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val="en-US" w:eastAsia="zh-CN"/>
              </w:rPr>
              <w:t>梅溪</w:t>
            </w:r>
            <w:r>
              <w:rPr>
                <w:rFonts w:hint="eastAsia" w:ascii="Calibri" w:hAnsi="Calibri" w:eastAsia="宋体" w:cs="Times New Roman"/>
                <w:kern w:val="0"/>
                <w:sz w:val="20"/>
                <w:szCs w:val="21"/>
                <w:lang w:val="en-US" w:eastAsia="zh-CN"/>
              </w:rPr>
              <w:t>财政所整体项目支出</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项目负责人及电话</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eastAsiaTheme="minorEastAsia"/>
                <w:sz w:val="21"/>
                <w:szCs w:val="21"/>
                <w:lang w:val="en-US" w:eastAsia="zh-CN"/>
              </w:rPr>
              <w:t>易忠胜 13597318629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67"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主管部门</w:t>
            </w:r>
          </w:p>
        </w:tc>
        <w:tc>
          <w:tcPr>
            <w:tcW w:w="2596"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资源县财政局</w:t>
            </w:r>
          </w:p>
        </w:tc>
        <w:tc>
          <w:tcPr>
            <w:tcW w:w="1862" w:type="dxa"/>
            <w:gridSpan w:val="2"/>
            <w:noWrap w:val="0"/>
            <w:vAlign w:val="top"/>
          </w:tcPr>
          <w:p>
            <w:pPr>
              <w:rPr>
                <w:rFonts w:hint="eastAsia" w:ascii="Calibri" w:hAnsi="Calibri" w:eastAsia="宋体" w:cs="Times New Roman"/>
                <w:kern w:val="0"/>
                <w:sz w:val="20"/>
                <w:szCs w:val="21"/>
                <w:lang w:eastAsia="zh-CN"/>
              </w:rPr>
            </w:pPr>
            <w:r>
              <w:rPr>
                <w:rFonts w:hint="eastAsia" w:ascii="Calibri" w:hAnsi="Calibri" w:eastAsia="宋体" w:cs="Times New Roman"/>
                <w:kern w:val="0"/>
                <w:sz w:val="20"/>
                <w:szCs w:val="21"/>
                <w:lang w:eastAsia="zh-CN"/>
              </w:rPr>
              <w:t>实施单位</w:t>
            </w:r>
          </w:p>
        </w:tc>
        <w:tc>
          <w:tcPr>
            <w:tcW w:w="2607" w:type="dxa"/>
            <w:gridSpan w:val="3"/>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资源县梅溪镇财政所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667" w:type="dxa"/>
            <w:gridSpan w:val="2"/>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资金情况（万元）</w:t>
            </w:r>
          </w:p>
        </w:tc>
        <w:tc>
          <w:tcPr>
            <w:tcW w:w="1540"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全年预算数（A）</w:t>
            </w:r>
          </w:p>
        </w:tc>
        <w:tc>
          <w:tcPr>
            <w:tcW w:w="1862"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全年执行数（B）</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147"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执行率（B/A）</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年度资金总额：</w:t>
            </w:r>
          </w:p>
        </w:tc>
        <w:tc>
          <w:tcPr>
            <w:tcW w:w="1056" w:type="dxa"/>
            <w:noWrap w:val="0"/>
            <w:vAlign w:val="center"/>
          </w:tcPr>
          <w:p>
            <w:pPr>
              <w:jc w:val="center"/>
              <w:rPr>
                <w:rFonts w:hint="default" w:ascii="Calibri" w:hAnsi="Calibri" w:eastAsia="宋体" w:cs="Times New Roman"/>
                <w:kern w:val="0"/>
                <w:sz w:val="20"/>
                <w:szCs w:val="21"/>
                <w:lang w:val="en-US" w:eastAsia="zh-CN"/>
              </w:rPr>
            </w:pPr>
            <w:r>
              <w:rPr>
                <w:rFonts w:hint="eastAsia" w:ascii="宋体" w:hAnsi="宋体" w:cs="宋体"/>
                <w:b w:val="0"/>
                <w:bCs w:val="0"/>
                <w:i w:val="0"/>
                <w:iCs w:val="0"/>
                <w:caps w:val="0"/>
                <w:color w:val="333333"/>
                <w:spacing w:val="0"/>
                <w:sz w:val="24"/>
                <w:szCs w:val="24"/>
                <w:shd w:val="clear" w:fill="FFFFFF"/>
                <w:lang w:val="en-US" w:eastAsia="zh-CN"/>
              </w:rPr>
              <w:t>123.11</w:t>
            </w: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pPr>
              <w:jc w:val="center"/>
              <w:rPr>
                <w:rFonts w:hint="default" w:ascii="Calibri" w:hAnsi="Calibri" w:cs="Times New Roman"/>
                <w:kern w:val="0"/>
                <w:sz w:val="20"/>
                <w:szCs w:val="21"/>
                <w:lang w:val="en-US" w:eastAsia="zh-CN"/>
              </w:rPr>
            </w:pPr>
            <w:r>
              <w:rPr>
                <w:rFonts w:hint="eastAsia" w:ascii="宋体" w:hAnsi="宋体" w:cs="宋体"/>
                <w:i w:val="0"/>
                <w:iCs w:val="0"/>
                <w:color w:val="000000"/>
                <w:kern w:val="0"/>
                <w:sz w:val="22"/>
                <w:szCs w:val="22"/>
                <w:u w:val="none"/>
                <w:lang w:val="en-US" w:eastAsia="zh-CN" w:bidi="ar"/>
              </w:rPr>
              <w:t>773.79</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1147"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628.54%</w:t>
            </w:r>
          </w:p>
        </w:tc>
        <w:tc>
          <w:tcPr>
            <w:tcW w:w="829"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其中：本年财政拨款</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cs="宋体"/>
                <w:b w:val="0"/>
                <w:bCs w:val="0"/>
                <w:i w:val="0"/>
                <w:iCs w:val="0"/>
                <w:caps w:val="0"/>
                <w:color w:val="333333"/>
                <w:spacing w:val="0"/>
                <w:sz w:val="24"/>
                <w:szCs w:val="24"/>
                <w:shd w:val="clear" w:fill="FFFFFF"/>
                <w:lang w:val="en-US" w:eastAsia="zh-CN"/>
              </w:rPr>
              <w:t>123.11</w:t>
            </w:r>
            <w:r>
              <w:rPr>
                <w:rFonts w:hint="eastAsia" w:ascii="宋体" w:hAnsi="宋体" w:eastAsia="宋体" w:cs="宋体"/>
                <w:b w:val="0"/>
                <w:bCs w:val="0"/>
                <w:i w:val="0"/>
                <w:iCs w:val="0"/>
                <w:caps w:val="0"/>
                <w:color w:val="333333"/>
                <w:spacing w:val="0"/>
                <w:sz w:val="24"/>
                <w:szCs w:val="24"/>
                <w:shd w:val="clear" w:fill="FFFFFF"/>
              </w:rPr>
              <w:t> </w:t>
            </w:r>
          </w:p>
        </w:tc>
        <w:tc>
          <w:tcPr>
            <w:tcW w:w="1056" w:type="dxa"/>
            <w:noWrap w:val="0"/>
            <w:vAlign w:val="center"/>
          </w:tcPr>
          <w:p>
            <w:pPr>
              <w:jc w:val="center"/>
              <w:rPr>
                <w:rFonts w:hint="default" w:ascii="Calibri" w:hAnsi="Calibri" w:eastAsia="宋体" w:cs="Times New Roman"/>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773.79</w:t>
            </w: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r>
              <w:rPr>
                <w:rFonts w:hint="eastAsia" w:ascii="Calibri" w:hAnsi="Calibri" w:cs="Times New Roman"/>
                <w:kern w:val="0"/>
                <w:sz w:val="20"/>
                <w:szCs w:val="21"/>
                <w:lang w:val="en-US" w:eastAsia="zh-CN"/>
              </w:rPr>
              <w:t>628.54%</w:t>
            </w: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67" w:type="dxa"/>
            <w:gridSpan w:val="2"/>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 xml:space="preserve">     其他资金</w:t>
            </w:r>
          </w:p>
        </w:tc>
        <w:tc>
          <w:tcPr>
            <w:tcW w:w="1056" w:type="dxa"/>
            <w:noWrap w:val="0"/>
            <w:vAlign w:val="top"/>
          </w:tcPr>
          <w:p>
            <w:pPr>
              <w:rPr>
                <w:rFonts w:ascii="Calibri" w:hAnsi="Calibri" w:eastAsia="宋体" w:cs="Times New Roman"/>
                <w:kern w:val="0"/>
                <w:sz w:val="20"/>
                <w:szCs w:val="21"/>
              </w:rPr>
            </w:pPr>
          </w:p>
        </w:tc>
        <w:tc>
          <w:tcPr>
            <w:tcW w:w="1056" w:type="dxa"/>
            <w:noWrap w:val="0"/>
            <w:vAlign w:val="top"/>
          </w:tcPr>
          <w:p>
            <w:pPr>
              <w:rPr>
                <w:rFonts w:ascii="Calibri" w:hAnsi="Calibri" w:eastAsia="宋体" w:cs="Times New Roman"/>
                <w:kern w:val="0"/>
                <w:sz w:val="20"/>
                <w:szCs w:val="21"/>
              </w:rPr>
            </w:pPr>
          </w:p>
        </w:tc>
        <w:tc>
          <w:tcPr>
            <w:tcW w:w="806" w:type="dxa"/>
            <w:noWrap w:val="0"/>
            <w:vAlign w:val="top"/>
          </w:tcPr>
          <w:p>
            <w:pPr>
              <w:rPr>
                <w:rFonts w:ascii="Calibri" w:hAnsi="Calibri" w:eastAsia="宋体" w:cs="Times New Roman"/>
                <w:kern w:val="0"/>
                <w:sz w:val="20"/>
                <w:szCs w:val="21"/>
              </w:rPr>
            </w:pP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w:t>
            </w:r>
          </w:p>
        </w:tc>
        <w:tc>
          <w:tcPr>
            <w:tcW w:w="3459" w:type="dxa"/>
            <w:gridSpan w:val="3"/>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年初设定目标</w:t>
            </w:r>
          </w:p>
        </w:tc>
        <w:tc>
          <w:tcPr>
            <w:tcW w:w="4469" w:type="dxa"/>
            <w:gridSpan w:val="5"/>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3459" w:type="dxa"/>
            <w:gridSpan w:val="3"/>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p>
          <w:p>
            <w:pPr>
              <w:rPr>
                <w:rFonts w:ascii="Calibri" w:hAnsi="Calibri" w:eastAsia="宋体" w:cs="Times New Roman"/>
                <w:kern w:val="0"/>
                <w:sz w:val="20"/>
                <w:szCs w:val="21"/>
              </w:rPr>
            </w:pPr>
          </w:p>
        </w:tc>
        <w:tc>
          <w:tcPr>
            <w:tcW w:w="4469" w:type="dxa"/>
            <w:gridSpan w:val="5"/>
            <w:noWrap w:val="0"/>
            <w:vAlign w:val="top"/>
          </w:tcPr>
          <w:p>
            <w:pPr>
              <w:rPr>
                <w:rFonts w:ascii="Calibri" w:hAnsi="Calibri"/>
                <w:sz w:val="18"/>
                <w:szCs w:val="18"/>
              </w:rPr>
            </w:pPr>
            <w:r>
              <w:rPr>
                <w:rFonts w:hint="eastAsia" w:ascii="Calibri" w:hAnsi="Calibri"/>
                <w:sz w:val="18"/>
                <w:szCs w:val="18"/>
              </w:rPr>
              <w:t xml:space="preserve"> 强化行政过程，达成更有效率的财务控制，达成资源的更佳利用</w:t>
            </w:r>
            <w:r>
              <w:rPr>
                <w:rFonts w:hint="eastAsia" w:ascii="Calibri" w:hAnsi="Calibri"/>
                <w:sz w:val="18"/>
                <w:szCs w:val="18"/>
                <w:lang w:eastAsia="zh-CN"/>
              </w:rPr>
              <w:t>，完成年初设定目标</w:t>
            </w:r>
            <w:r>
              <w:rPr>
                <w:rFonts w:hint="eastAsia" w:ascii="Calibri" w:hAnsi="Calibri"/>
                <w:sz w:val="18"/>
                <w:szCs w:val="18"/>
              </w:rPr>
              <w:t>。</w:t>
            </w:r>
          </w:p>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绩效指标</w:t>
            </w: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一级指标</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二级指标</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分值</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年度指标值</w:t>
            </w:r>
          </w:p>
        </w:tc>
        <w:tc>
          <w:tcPr>
            <w:tcW w:w="80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全年实际值</w:t>
            </w:r>
          </w:p>
        </w:tc>
        <w:tc>
          <w:tcPr>
            <w:tcW w:w="631"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自评得分</w:t>
            </w:r>
          </w:p>
        </w:tc>
        <w:tc>
          <w:tcPr>
            <w:tcW w:w="1976" w:type="dxa"/>
            <w:gridSpan w:val="2"/>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未完成原因及拟采取的改进措施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产出指标（50分）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数量指标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20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20</w:t>
            </w:r>
          </w:p>
        </w:tc>
        <w:tc>
          <w:tcPr>
            <w:tcW w:w="1147" w:type="dxa"/>
            <w:noWrap w:val="0"/>
            <w:vAlign w:val="top"/>
          </w:tcPr>
          <w:p>
            <w:pPr>
              <w:rPr>
                <w:rFonts w:hint="eastAsia" w:ascii="Calibri" w:hAnsi="Calibri" w:eastAsia="宋体" w:cs="Times New Roman"/>
                <w:kern w:val="0"/>
                <w:sz w:val="20"/>
                <w:szCs w:val="21"/>
                <w:lang w:eastAsia="zh-CN"/>
              </w:rPr>
            </w:pPr>
          </w:p>
        </w:tc>
        <w:tc>
          <w:tcPr>
            <w:tcW w:w="829" w:type="dxa"/>
            <w:noWrap w:val="0"/>
            <w:vAlign w:val="top"/>
          </w:tcPr>
          <w:p>
            <w:pPr>
              <w:rPr>
                <w:rFonts w:hint="eastAsia" w:ascii="Calibri" w:hAnsi="Calibri" w:eastAsia="宋体" w:cs="Times New Roman"/>
                <w:kern w:val="0"/>
                <w:sz w:val="2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质量指标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时效指标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成本指标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restart"/>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效益指标（30分）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经济效益指标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尚未压减支出成本</w:t>
            </w:r>
          </w:p>
        </w:tc>
        <w:tc>
          <w:tcPr>
            <w:tcW w:w="829" w:type="dxa"/>
            <w:noWrap w:val="0"/>
            <w:vAlign w:val="top"/>
          </w:tcPr>
          <w:p>
            <w:pPr>
              <w:rPr>
                <w:rFonts w:hint="eastAsia" w:ascii="Calibri" w:hAnsi="Calibri" w:cs="Times New Roman"/>
                <w:kern w:val="0"/>
                <w:sz w:val="15"/>
                <w:szCs w:val="15"/>
                <w:lang w:eastAsia="zh-CN"/>
              </w:rPr>
            </w:pPr>
            <w:r>
              <w:rPr>
                <w:rFonts w:hint="eastAsia" w:ascii="Calibri" w:hAnsi="Calibri" w:cs="Times New Roman"/>
                <w:kern w:val="0"/>
                <w:sz w:val="15"/>
                <w:szCs w:val="15"/>
                <w:lang w:val="en-US" w:eastAsia="zh-CN"/>
              </w:rPr>
              <w:t>不断降低各项支出成本，提高机关服务效能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社会效益指标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生态效益指标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631"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04" w:type="dxa"/>
            <w:vMerge w:val="continue"/>
            <w:noWrap w:val="0"/>
            <w:vAlign w:val="top"/>
          </w:tcPr>
          <w:p>
            <w:pPr>
              <w:rPr>
                <w:rFonts w:ascii="Calibri" w:hAnsi="Calibri" w:eastAsia="宋体" w:cs="Times New Roman"/>
                <w:kern w:val="0"/>
                <w:sz w:val="20"/>
                <w:szCs w:val="21"/>
              </w:rPr>
            </w:pPr>
          </w:p>
        </w:tc>
        <w:tc>
          <w:tcPr>
            <w:tcW w:w="863" w:type="dxa"/>
            <w:vMerge w:val="continue"/>
            <w:noWrap w:val="0"/>
            <w:vAlign w:val="top"/>
          </w:tcPr>
          <w:p>
            <w:pPr>
              <w:rPr>
                <w:rFonts w:ascii="Calibri" w:hAnsi="Calibri" w:eastAsia="宋体" w:cs="Times New Roman"/>
                <w:kern w:val="0"/>
                <w:sz w:val="20"/>
                <w:szCs w:val="21"/>
              </w:rPr>
            </w:pP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可持续影响指标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项目使用年限需加强</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增加使用年限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04" w:type="dxa"/>
            <w:vMerge w:val="continue"/>
            <w:noWrap w:val="0"/>
            <w:vAlign w:val="top"/>
          </w:tcPr>
          <w:p>
            <w:pPr>
              <w:rPr>
                <w:rFonts w:ascii="Calibri" w:hAnsi="Calibri" w:eastAsia="宋体" w:cs="Times New Roman"/>
                <w:kern w:val="0"/>
                <w:sz w:val="20"/>
                <w:szCs w:val="21"/>
              </w:rPr>
            </w:pPr>
          </w:p>
        </w:tc>
        <w:tc>
          <w:tcPr>
            <w:tcW w:w="863"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满意度指标（10分）</w:t>
            </w:r>
          </w:p>
        </w:tc>
        <w:tc>
          <w:tcPr>
            <w:tcW w:w="1540"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服务对象满意度指标</w:t>
            </w:r>
          </w:p>
        </w:tc>
        <w:tc>
          <w:tcPr>
            <w:tcW w:w="105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10</w:t>
            </w:r>
          </w:p>
        </w:tc>
        <w:tc>
          <w:tcPr>
            <w:tcW w:w="1056" w:type="dxa"/>
            <w:noWrap w:val="0"/>
            <w:vAlign w:val="top"/>
          </w:tcPr>
          <w:p>
            <w:pPr>
              <w:rPr>
                <w:rFonts w:hint="default"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10</w:t>
            </w:r>
          </w:p>
        </w:tc>
        <w:tc>
          <w:tcPr>
            <w:tcW w:w="806" w:type="dxa"/>
            <w:noWrap w:val="0"/>
            <w:vAlign w:val="top"/>
          </w:tcPr>
          <w:p>
            <w:pPr>
              <w:rPr>
                <w:rFonts w:hint="eastAsia"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5</w:t>
            </w:r>
          </w:p>
        </w:tc>
        <w:tc>
          <w:tcPr>
            <w:tcW w:w="631" w:type="dxa"/>
            <w:noWrap w:val="0"/>
            <w:vAlign w:val="top"/>
          </w:tcPr>
          <w:p>
            <w:pPr>
              <w:rPr>
                <w:rFonts w:hint="eastAsia" w:ascii="Calibri" w:hAnsi="Calibri" w:eastAsia="宋体" w:cs="Times New Roman"/>
                <w:kern w:val="0"/>
                <w:sz w:val="20"/>
                <w:szCs w:val="21"/>
                <w:lang w:val="en-US" w:eastAsia="zh-CN" w:bidi="ar-SA"/>
              </w:rPr>
            </w:pPr>
            <w:r>
              <w:rPr>
                <w:rFonts w:hint="eastAsia" w:ascii="Calibri" w:hAnsi="Calibri" w:cs="Times New Roman"/>
                <w:kern w:val="0"/>
                <w:sz w:val="20"/>
                <w:szCs w:val="21"/>
                <w:lang w:val="en-US" w:eastAsia="zh-CN"/>
              </w:rPr>
              <w:t>5</w:t>
            </w:r>
          </w:p>
        </w:tc>
        <w:tc>
          <w:tcPr>
            <w:tcW w:w="1147"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项目使用年限需提高</w:t>
            </w:r>
          </w:p>
        </w:tc>
        <w:tc>
          <w:tcPr>
            <w:tcW w:w="829" w:type="dxa"/>
            <w:noWrap w:val="0"/>
            <w:vAlign w:val="top"/>
          </w:tcPr>
          <w:p>
            <w:pPr>
              <w:rPr>
                <w:rFonts w:hint="eastAsia" w:ascii="Calibri" w:hAnsi="Calibri" w:eastAsia="宋体" w:cs="Times New Roman"/>
                <w:kern w:val="0"/>
                <w:sz w:val="20"/>
                <w:szCs w:val="21"/>
                <w:lang w:eastAsia="zh-CN"/>
              </w:rPr>
            </w:pPr>
            <w:r>
              <w:rPr>
                <w:rFonts w:hint="eastAsia" w:ascii="Calibri" w:hAnsi="Calibri" w:cs="Times New Roman"/>
                <w:kern w:val="0"/>
                <w:sz w:val="20"/>
                <w:szCs w:val="21"/>
                <w:lang w:eastAsia="zh-CN"/>
              </w:rPr>
              <w:t>提高项目使用年限，服务群众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3" w:type="dxa"/>
            <w:gridSpan w:val="4"/>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总分</w:t>
            </w:r>
          </w:p>
        </w:tc>
        <w:tc>
          <w:tcPr>
            <w:tcW w:w="1056" w:type="dxa"/>
            <w:noWrap w:val="0"/>
            <w:vAlign w:val="top"/>
          </w:tcPr>
          <w:p>
            <w:pPr>
              <w:rPr>
                <w:rFonts w:ascii="Calibri" w:hAnsi="Calibri" w:eastAsia="宋体" w:cs="Times New Roman"/>
                <w:kern w:val="0"/>
                <w:sz w:val="20"/>
                <w:szCs w:val="21"/>
              </w:rPr>
            </w:pPr>
            <w:r>
              <w:rPr>
                <w:rFonts w:hint="eastAsia" w:ascii="Calibri" w:hAnsi="Calibri" w:eastAsia="宋体" w:cs="Times New Roman"/>
                <w:kern w:val="0"/>
                <w:sz w:val="20"/>
                <w:szCs w:val="21"/>
              </w:rPr>
              <w:t>100</w:t>
            </w:r>
          </w:p>
        </w:tc>
        <w:tc>
          <w:tcPr>
            <w:tcW w:w="806"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631" w:type="dxa"/>
            <w:noWrap w:val="0"/>
            <w:vAlign w:val="top"/>
          </w:tcPr>
          <w:p>
            <w:pPr>
              <w:rPr>
                <w:rFonts w:hint="default" w:ascii="Calibri" w:hAnsi="Calibri" w:eastAsia="宋体" w:cs="Times New Roman"/>
                <w:kern w:val="0"/>
                <w:sz w:val="20"/>
                <w:szCs w:val="21"/>
                <w:lang w:val="en-US" w:eastAsia="zh-CN"/>
              </w:rPr>
            </w:pPr>
            <w:r>
              <w:rPr>
                <w:rFonts w:hint="eastAsia" w:ascii="Calibri" w:hAnsi="Calibri" w:cs="Times New Roman"/>
                <w:kern w:val="0"/>
                <w:sz w:val="20"/>
                <w:szCs w:val="21"/>
                <w:lang w:val="en-US" w:eastAsia="zh-CN"/>
              </w:rPr>
              <w:t>85</w:t>
            </w:r>
          </w:p>
        </w:tc>
        <w:tc>
          <w:tcPr>
            <w:tcW w:w="1147" w:type="dxa"/>
            <w:noWrap w:val="0"/>
            <w:vAlign w:val="top"/>
          </w:tcPr>
          <w:p>
            <w:pPr>
              <w:rPr>
                <w:rFonts w:ascii="Calibri" w:hAnsi="Calibri" w:eastAsia="宋体" w:cs="Times New Roman"/>
                <w:kern w:val="0"/>
                <w:sz w:val="20"/>
                <w:szCs w:val="21"/>
              </w:rPr>
            </w:pPr>
          </w:p>
        </w:tc>
        <w:tc>
          <w:tcPr>
            <w:tcW w:w="829" w:type="dxa"/>
            <w:noWrap w:val="0"/>
            <w:vAlign w:val="top"/>
          </w:tcPr>
          <w:p>
            <w:pPr>
              <w:rPr>
                <w:rFonts w:ascii="Calibri" w:hAnsi="Calibri" w:eastAsia="宋体" w:cs="Times New Roman"/>
                <w:kern w:val="0"/>
                <w:sz w:val="20"/>
                <w:szCs w:val="21"/>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NTYxN2FkYzQ5ZWJhNDc0YjAzN2M1ODRlOTU3NWYifQ=="/>
  </w:docVars>
  <w:rsids>
    <w:rsidRoot w:val="4E762EA2"/>
    <w:rsid w:val="091575C1"/>
    <w:rsid w:val="1DBB5D1D"/>
    <w:rsid w:val="1DBC46B6"/>
    <w:rsid w:val="429F2B9E"/>
    <w:rsid w:val="4E762EA2"/>
    <w:rsid w:val="644076B7"/>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2497</Words>
  <Characters>2666</Characters>
  <Lines>0</Lines>
  <Paragraphs>0</Paragraphs>
  <TotalTime>0</TotalTime>
  <ScaleCrop>false</ScaleCrop>
  <LinksUpToDate>false</LinksUpToDate>
  <CharactersWithSpaces>2683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Young♚C</cp:lastModifiedBy>
  <dcterms:modified xsi:type="dcterms:W3CDTF">2023-12-20T09:35:57Z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5A085F8B82884485B6DBD594B870A038_13</vt:lpwstr>
  </property>
</Properties>
</file>