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Theme="minorEastAsia" w:hAnsiTheme="minorEastAsia" w:eastAsiaTheme="minorEastAsia" w:cstheme="minorEastAsia"/>
          <w:sz w:val="44"/>
          <w:szCs w:val="44"/>
        </w:rPr>
      </w:pPr>
      <w:r>
        <w:rPr>
          <w:rFonts w:hint="eastAsia" w:ascii="宋体" w:hAnsi="宋体" w:eastAsia="宋体" w:cs="宋体"/>
          <w:spacing w:val="-15"/>
          <w:sz w:val="44"/>
          <w:szCs w:val="44"/>
          <w:lang w:eastAsia="zh-CN"/>
        </w:rPr>
        <w:t>资源县财政局</w:t>
      </w:r>
      <w:r>
        <w:rPr>
          <w:rFonts w:hint="eastAsia" w:ascii="宋体" w:hAnsi="宋体" w:eastAsia="宋体" w:cs="宋体"/>
          <w:spacing w:val="-15"/>
          <w:sz w:val="44"/>
          <w:szCs w:val="44"/>
          <w:lang w:val="en-US" w:eastAsia="zh-CN"/>
        </w:rPr>
        <w:t>两水</w:t>
      </w:r>
      <w:r>
        <w:rPr>
          <w:rFonts w:hint="eastAsia" w:ascii="宋体" w:hAnsi="宋体" w:eastAsia="宋体" w:cs="宋体"/>
          <w:spacing w:val="-15"/>
          <w:sz w:val="44"/>
          <w:szCs w:val="44"/>
        </w:rPr>
        <w:t>财政所202</w:t>
      </w:r>
      <w:r>
        <w:rPr>
          <w:rFonts w:hint="eastAsia" w:ascii="宋体" w:hAnsi="宋体" w:eastAsia="宋体" w:cs="宋体"/>
          <w:spacing w:val="-15"/>
          <w:sz w:val="44"/>
          <w:szCs w:val="44"/>
          <w:lang w:val="en-US" w:eastAsia="zh-CN"/>
        </w:rPr>
        <w:t>2</w:t>
      </w:r>
      <w:r>
        <w:rPr>
          <w:rFonts w:hint="eastAsia" w:ascii="宋体" w:hAnsi="宋体" w:eastAsia="宋体" w:cs="宋体"/>
          <w:spacing w:val="-15"/>
          <w:sz w:val="44"/>
          <w:szCs w:val="44"/>
        </w:rPr>
        <w:t>年度部门整体支出绩效评价报告</w:t>
      </w:r>
    </w:p>
    <w:p>
      <w:pPr>
        <w:autoSpaceDE w:val="0"/>
        <w:autoSpaceDN w:val="0"/>
        <w:adjustRightInd w:val="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一、</w:t>
      </w:r>
      <w:r>
        <w:rPr>
          <w:rFonts w:hint="eastAsia" w:asciiTheme="minorEastAsia" w:hAnsiTheme="minorEastAsia" w:eastAsiaTheme="minorEastAsia" w:cstheme="minorEastAsia"/>
          <w:color w:val="000000"/>
          <w:kern w:val="0"/>
          <w:sz w:val="32"/>
          <w:szCs w:val="32"/>
          <w:lang w:val="en-US" w:eastAsia="zh-CN"/>
        </w:rPr>
        <w:t>部门</w:t>
      </w:r>
      <w:r>
        <w:rPr>
          <w:rFonts w:hint="eastAsia" w:asciiTheme="minorEastAsia" w:hAnsiTheme="minorEastAsia" w:eastAsiaTheme="minorEastAsia" w:cstheme="minorEastAsia"/>
          <w:color w:val="000000"/>
          <w:kern w:val="0"/>
          <w:sz w:val="32"/>
          <w:szCs w:val="32"/>
        </w:rPr>
        <w:t xml:space="preserve">概况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right="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（一）</w:t>
      </w:r>
      <w:r>
        <w:rPr>
          <w:rFonts w:hint="eastAsia" w:asciiTheme="minorEastAsia" w:hAnsiTheme="minorEastAsia" w:cstheme="minorEastAsia"/>
          <w:color w:val="000000"/>
          <w:kern w:val="0"/>
          <w:sz w:val="32"/>
          <w:szCs w:val="32"/>
          <w:lang w:val="en-US" w:eastAsia="zh-CN"/>
        </w:rPr>
        <w:t>部门</w:t>
      </w:r>
      <w:r>
        <w:rPr>
          <w:rFonts w:hint="eastAsia" w:asciiTheme="minorEastAsia" w:hAnsiTheme="minorEastAsia" w:eastAsiaTheme="minorEastAsia" w:cstheme="minorEastAsia"/>
          <w:color w:val="000000"/>
          <w:kern w:val="0"/>
          <w:sz w:val="32"/>
          <w:szCs w:val="32"/>
        </w:rPr>
        <w:t>基本情况</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Theme="minorEastAsia" w:hAnsiTheme="minorEastAsia" w:eastAsiaTheme="minorEastAsia" w:cstheme="minorEastAsia"/>
          <w:i w:val="0"/>
          <w:iCs w:val="0"/>
          <w:caps w:val="0"/>
          <w:color w:val="FF0000"/>
          <w:spacing w:val="0"/>
          <w:sz w:val="32"/>
          <w:szCs w:val="32"/>
          <w:shd w:val="clear" w:color="auto" w:fill="FFFFFF"/>
          <w:lang w:val="en-US" w:eastAsia="zh-CN"/>
        </w:rPr>
      </w:pPr>
      <w:r>
        <w:rPr>
          <w:rFonts w:hint="eastAsia" w:asciiTheme="minorEastAsia" w:hAnsiTheme="minorEastAsia" w:eastAsiaTheme="minorEastAsia" w:cstheme="minorEastAsia"/>
          <w:i w:val="0"/>
          <w:iCs w:val="0"/>
          <w:caps w:val="0"/>
          <w:color w:val="auto"/>
          <w:spacing w:val="0"/>
          <w:sz w:val="32"/>
          <w:szCs w:val="32"/>
          <w:shd w:val="clear" w:color="auto" w:fill="FFFFFF"/>
        </w:rPr>
        <w:t>资源县财政局</w:t>
      </w:r>
      <w:r>
        <w:rPr>
          <w:rFonts w:hint="eastAsia" w:asciiTheme="minorEastAsia" w:hAnsiTheme="minorEastAsia" w:cstheme="minorEastAsia"/>
          <w:i w:val="0"/>
          <w:iCs w:val="0"/>
          <w:caps w:val="0"/>
          <w:color w:val="auto"/>
          <w:spacing w:val="0"/>
          <w:sz w:val="32"/>
          <w:szCs w:val="32"/>
          <w:shd w:val="clear" w:color="auto" w:fill="FFFFFF"/>
          <w:lang w:eastAsia="zh-CN"/>
        </w:rPr>
        <w:t>两水</w:t>
      </w:r>
      <w:r>
        <w:rPr>
          <w:rFonts w:hint="eastAsia" w:asciiTheme="minorEastAsia" w:hAnsiTheme="minorEastAsia" w:eastAsiaTheme="minorEastAsia" w:cstheme="minorEastAsia"/>
          <w:i w:val="0"/>
          <w:iCs w:val="0"/>
          <w:caps w:val="0"/>
          <w:color w:val="auto"/>
          <w:spacing w:val="0"/>
          <w:sz w:val="32"/>
          <w:szCs w:val="32"/>
          <w:shd w:val="clear" w:color="auto" w:fill="FFFFFF"/>
        </w:rPr>
        <w:t>财政所</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办公地位于资源县</w:t>
      </w:r>
      <w:r>
        <w:rPr>
          <w:rFonts w:hint="eastAsia" w:asciiTheme="minorEastAsia" w:hAnsiTheme="minorEastAsia" w:cstheme="minorEastAsia"/>
          <w:i w:val="0"/>
          <w:iCs w:val="0"/>
          <w:caps w:val="0"/>
          <w:color w:val="auto"/>
          <w:spacing w:val="0"/>
          <w:sz w:val="32"/>
          <w:szCs w:val="32"/>
          <w:shd w:val="clear" w:color="auto" w:fill="FFFFFF"/>
          <w:lang w:val="en-US" w:eastAsia="zh-CN"/>
        </w:rPr>
        <w:t>两水</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乡</w:t>
      </w:r>
      <w:r>
        <w:rPr>
          <w:rFonts w:hint="eastAsia" w:asciiTheme="minorEastAsia" w:hAnsiTheme="minorEastAsia" w:cstheme="minorEastAsia"/>
          <w:i w:val="0"/>
          <w:iCs w:val="0"/>
          <w:caps w:val="0"/>
          <w:color w:val="auto"/>
          <w:spacing w:val="0"/>
          <w:sz w:val="32"/>
          <w:szCs w:val="32"/>
          <w:shd w:val="clear" w:color="auto" w:fill="FFFFFF"/>
          <w:lang w:val="en-US" w:eastAsia="zh-CN"/>
        </w:rPr>
        <w:t>两水</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街，</w:t>
      </w:r>
      <w:r>
        <w:rPr>
          <w:rFonts w:hint="eastAsia" w:asciiTheme="minorEastAsia" w:hAnsiTheme="minorEastAsia" w:eastAsiaTheme="minorEastAsia" w:cstheme="minorEastAsia"/>
          <w:i w:val="0"/>
          <w:iCs w:val="0"/>
          <w:caps w:val="0"/>
          <w:color w:val="auto"/>
          <w:spacing w:val="0"/>
          <w:sz w:val="32"/>
          <w:szCs w:val="32"/>
          <w:shd w:val="clear" w:color="auto" w:fill="FFFFFF"/>
        </w:rPr>
        <w:t>总编制数为5名，其中:在</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编</w:t>
      </w:r>
      <w:r>
        <w:rPr>
          <w:rFonts w:hint="eastAsia" w:asciiTheme="minorEastAsia" w:hAnsiTheme="minorEastAsia" w:eastAsiaTheme="minorEastAsia" w:cstheme="minorEastAsia"/>
          <w:i w:val="0"/>
          <w:iCs w:val="0"/>
          <w:caps w:val="0"/>
          <w:color w:val="auto"/>
          <w:spacing w:val="0"/>
          <w:sz w:val="32"/>
          <w:szCs w:val="32"/>
          <w:shd w:val="clear" w:color="auto" w:fill="FFFFFF"/>
        </w:rPr>
        <w:t>实有</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人</w:t>
      </w:r>
      <w:r>
        <w:rPr>
          <w:rFonts w:hint="eastAsia" w:asciiTheme="minorEastAsia" w:hAnsiTheme="minorEastAsia" w:eastAsiaTheme="minorEastAsia" w:cstheme="minorEastAsia"/>
          <w:i w:val="0"/>
          <w:iCs w:val="0"/>
          <w:caps w:val="0"/>
          <w:color w:val="auto"/>
          <w:spacing w:val="0"/>
          <w:sz w:val="32"/>
          <w:szCs w:val="32"/>
          <w:shd w:val="clear" w:color="auto" w:fill="FFFFFF"/>
        </w:rPr>
        <w:t>数</w:t>
      </w:r>
      <w:r>
        <w:rPr>
          <w:rFonts w:hint="eastAsia" w:asciiTheme="minorEastAsia" w:hAnsiTheme="minorEastAsia" w:cstheme="minorEastAsia"/>
          <w:i w:val="0"/>
          <w:iCs w:val="0"/>
          <w:caps w:val="0"/>
          <w:color w:val="auto"/>
          <w:spacing w:val="0"/>
          <w:sz w:val="32"/>
          <w:szCs w:val="32"/>
          <w:shd w:val="clear" w:color="auto" w:fill="FFFFFF"/>
          <w:lang w:val="en-US" w:eastAsia="zh-CN"/>
        </w:rPr>
        <w:t>3</w:t>
      </w:r>
      <w:r>
        <w:rPr>
          <w:rFonts w:hint="eastAsia" w:asciiTheme="minorEastAsia" w:hAnsiTheme="minorEastAsia" w:eastAsiaTheme="minorEastAsia" w:cstheme="minorEastAsia"/>
          <w:i w:val="0"/>
          <w:iCs w:val="0"/>
          <w:caps w:val="0"/>
          <w:color w:val="auto"/>
          <w:spacing w:val="0"/>
          <w:sz w:val="32"/>
          <w:szCs w:val="32"/>
          <w:shd w:val="clear" w:color="auto" w:fill="FFFFFF"/>
        </w:rPr>
        <w:t>人，编制外长期聘用人员</w:t>
      </w:r>
      <w:r>
        <w:rPr>
          <w:rFonts w:hint="eastAsia" w:asciiTheme="minorEastAsia" w:hAnsiTheme="minorEastAsia" w:cstheme="minorEastAsia"/>
          <w:i w:val="0"/>
          <w:iCs w:val="0"/>
          <w:caps w:val="0"/>
          <w:color w:val="auto"/>
          <w:spacing w:val="0"/>
          <w:sz w:val="32"/>
          <w:szCs w:val="32"/>
          <w:shd w:val="clear" w:color="auto" w:fill="FFFFFF"/>
          <w:lang w:val="en-US" w:eastAsia="zh-CN"/>
        </w:rPr>
        <w:t>3</w:t>
      </w:r>
      <w:r>
        <w:rPr>
          <w:rFonts w:hint="eastAsia" w:asciiTheme="minorEastAsia" w:hAnsiTheme="minorEastAsia" w:eastAsiaTheme="minorEastAsia" w:cstheme="minorEastAsia"/>
          <w:i w:val="0"/>
          <w:iCs w:val="0"/>
          <w:caps w:val="0"/>
          <w:color w:val="auto"/>
          <w:spacing w:val="0"/>
          <w:sz w:val="32"/>
          <w:szCs w:val="32"/>
          <w:shd w:val="clear" w:color="auto" w:fill="FFFFFF"/>
        </w:rPr>
        <w:t>名</w:t>
      </w:r>
      <w:r>
        <w:rPr>
          <w:rFonts w:hint="eastAsia" w:asciiTheme="minorEastAsia" w:hAnsiTheme="minorEastAsia" w:eastAsiaTheme="minorEastAsia" w:cstheme="minorEastAsia"/>
          <w:i w:val="0"/>
          <w:iCs w:val="0"/>
          <w:caps w:val="0"/>
          <w:color w:val="auto"/>
          <w:spacing w:val="0"/>
          <w:sz w:val="32"/>
          <w:szCs w:val="32"/>
          <w:shd w:val="clear" w:color="auto" w:fill="FFFFFF"/>
          <w:lang w:eastAsia="zh-CN"/>
        </w:rPr>
        <w:t>。</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资源县财政局</w:t>
      </w:r>
      <w:r>
        <w:rPr>
          <w:rFonts w:hint="eastAsia" w:asciiTheme="minorEastAsia" w:hAnsiTheme="minorEastAsia" w:cstheme="minorEastAsia"/>
          <w:i w:val="0"/>
          <w:iCs w:val="0"/>
          <w:caps w:val="0"/>
          <w:color w:val="auto"/>
          <w:spacing w:val="0"/>
          <w:sz w:val="32"/>
          <w:szCs w:val="32"/>
          <w:shd w:val="clear" w:color="auto" w:fill="FFFFFF"/>
          <w:lang w:val="en-US" w:eastAsia="zh-CN"/>
        </w:rPr>
        <w:t>两水</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财政所管辖行政村</w:t>
      </w:r>
      <w:r>
        <w:rPr>
          <w:rFonts w:hint="eastAsia" w:asciiTheme="minorEastAsia" w:hAnsiTheme="minorEastAsia" w:cstheme="minorEastAsia"/>
          <w:i w:val="0"/>
          <w:iCs w:val="0"/>
          <w:caps w:val="0"/>
          <w:color w:val="auto"/>
          <w:spacing w:val="0"/>
          <w:sz w:val="32"/>
          <w:szCs w:val="32"/>
          <w:shd w:val="clear" w:color="auto" w:fill="FFFFFF"/>
          <w:lang w:val="en-US" w:eastAsia="zh-CN"/>
        </w:rPr>
        <w:t>6个。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right="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（二）主要职责：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1、</w:t>
      </w:r>
      <w:r>
        <w:rPr>
          <w:rFonts w:hint="eastAsia" w:asciiTheme="minorEastAsia" w:hAnsiTheme="minorEastAsia" w:eastAsiaTheme="minorEastAsia" w:cstheme="minorEastAsia"/>
          <w:i w:val="0"/>
          <w:iCs w:val="0"/>
          <w:caps w:val="0"/>
          <w:color w:val="auto"/>
          <w:spacing w:val="0"/>
          <w:sz w:val="32"/>
          <w:szCs w:val="32"/>
          <w:shd w:val="clear" w:color="auto" w:fill="FFFFFF"/>
        </w:rPr>
        <w:t>贯彻执行国家有关财政税收等方面的法律法规和规章;管理财政票据。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2、</w:t>
      </w:r>
      <w:r>
        <w:rPr>
          <w:rFonts w:hint="eastAsia" w:asciiTheme="minorEastAsia" w:hAnsiTheme="minorEastAsia" w:eastAsiaTheme="minorEastAsia" w:cstheme="minorEastAsia"/>
          <w:i w:val="0"/>
          <w:iCs w:val="0"/>
          <w:caps w:val="0"/>
          <w:color w:val="auto"/>
          <w:spacing w:val="0"/>
          <w:sz w:val="32"/>
          <w:szCs w:val="32"/>
          <w:shd w:val="clear" w:color="auto" w:fill="FFFFFF"/>
        </w:rPr>
        <w:t>负责全乡财政收支管理工作，承担乡级财政收支管理的责任;负责编制年度乡级财政预决算草案和年度决算，受乡政府委托，向乡人民代表大会报告全乡和乡级预算执行情况。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3、</w:t>
      </w:r>
      <w:r>
        <w:rPr>
          <w:rFonts w:hint="eastAsia" w:asciiTheme="minorEastAsia" w:hAnsiTheme="minorEastAsia" w:eastAsiaTheme="minorEastAsia" w:cstheme="minorEastAsia"/>
          <w:i w:val="0"/>
          <w:iCs w:val="0"/>
          <w:caps w:val="0"/>
          <w:color w:val="auto"/>
          <w:spacing w:val="0"/>
          <w:sz w:val="32"/>
          <w:szCs w:val="32"/>
          <w:shd w:val="clear" w:color="auto" w:fill="FFFFFF"/>
        </w:rPr>
        <w:t>负责全乡财政惠农资金的管理和发放工作;负责全乡村级公益事业“一事一议”财政奖补项目的组织实施及资金的管理工作;代理村级财务;承办乡人民政府及县财政局交办的其他事项。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w:t>
      </w:r>
      <w:r>
        <w:rPr>
          <w:rFonts w:hint="eastAsia" w:ascii="宋体" w:hAnsi="宋体" w:eastAsia="宋体" w:cs="宋体"/>
          <w:i w:val="0"/>
          <w:iCs w:val="0"/>
          <w:caps w:val="0"/>
          <w:color w:val="333333"/>
          <w:spacing w:val="0"/>
          <w:sz w:val="32"/>
          <w:szCs w:val="32"/>
          <w:shd w:val="clear" w:fill="FFFFFF"/>
          <w:lang w:val="en-US" w:eastAsia="zh-CN"/>
        </w:rPr>
        <w:t>资金的监督管理</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645" w:right="0"/>
        <w:jc w:val="both"/>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、严格完成上级主管部门和政府交办的其他事项。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（三）部门工作完成情况。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color w:val="000000"/>
          <w:sz w:val="32"/>
          <w:szCs w:val="32"/>
        </w:rPr>
        <w:t>完成财政收入任务；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color w:val="000000"/>
          <w:sz w:val="32"/>
          <w:szCs w:val="32"/>
        </w:rPr>
        <w:t>完成工作职能范畴内工作；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color w:val="000000"/>
          <w:sz w:val="32"/>
          <w:szCs w:val="32"/>
        </w:rPr>
        <w:t>加强公共服务和资金、资产的管理；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4、有效监督财政支出。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（四）部门管理制度。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firstLine="640" w:firstLineChars="200"/>
        <w:jc w:val="both"/>
        <w:rPr>
          <w:rFonts w:hint="eastAsia" w:ascii="宋体" w:hAnsi="宋体" w:eastAsia="宋体" w:cs="宋体"/>
          <w:sz w:val="32"/>
          <w:szCs w:val="32"/>
        </w:rPr>
      </w:pPr>
      <w:r>
        <w:rPr>
          <w:rFonts w:hint="eastAsia" w:ascii="宋体" w:hAnsi="宋体" w:eastAsia="宋体" w:cs="宋体"/>
          <w:sz w:val="32"/>
          <w:szCs w:val="32"/>
        </w:rPr>
        <w:t>本单位预算编制严格按照“上下结合、分级编制、逐级汇总”的程序进行编制。坚持量入为出，根据收入和财力的可能安排预算，做到量力而行，收支平衡。虽然人员缺乏但是严格遵守会计制度遵循会计人员从业道德规范，做好预算支出绩效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（五）部门资金来源及使用情况。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rPr>
        <w:t>年，</w:t>
      </w:r>
      <w:r>
        <w:rPr>
          <w:rFonts w:hint="eastAsia" w:ascii="宋体" w:hAnsi="宋体" w:eastAsia="宋体" w:cs="宋体"/>
          <w:color w:val="auto"/>
          <w:sz w:val="32"/>
          <w:szCs w:val="32"/>
          <w:lang w:eastAsia="zh-CN"/>
        </w:rPr>
        <w:t>资源县财政局</w:t>
      </w:r>
      <w:r>
        <w:rPr>
          <w:rFonts w:hint="eastAsia" w:ascii="宋体" w:hAnsi="宋体" w:eastAsia="宋体" w:cs="宋体"/>
          <w:color w:val="auto"/>
          <w:sz w:val="32"/>
          <w:szCs w:val="32"/>
          <w:lang w:val="en-US" w:eastAsia="zh-CN"/>
        </w:rPr>
        <w:t>两水</w:t>
      </w:r>
      <w:r>
        <w:rPr>
          <w:rFonts w:hint="eastAsia" w:ascii="宋体" w:hAnsi="宋体" w:eastAsia="宋体" w:cs="宋体"/>
          <w:color w:val="auto"/>
          <w:sz w:val="32"/>
          <w:szCs w:val="32"/>
        </w:rPr>
        <w:t>财政所完成财政总收入</w:t>
      </w:r>
      <w:r>
        <w:rPr>
          <w:rFonts w:hint="eastAsia" w:ascii="宋体" w:hAnsi="宋体" w:eastAsia="宋体" w:cs="宋体"/>
          <w:color w:val="auto"/>
          <w:sz w:val="32"/>
          <w:szCs w:val="32"/>
          <w:lang w:val="en-US" w:eastAsia="zh-CN"/>
        </w:rPr>
        <w:t>215.5</w:t>
      </w:r>
      <w:r>
        <w:rPr>
          <w:rFonts w:hint="eastAsia" w:ascii="宋体" w:hAnsi="宋体" w:eastAsia="宋体" w:cs="宋体"/>
          <w:color w:val="auto"/>
          <w:sz w:val="32"/>
          <w:szCs w:val="32"/>
        </w:rPr>
        <w:t>万元，</w:t>
      </w:r>
      <w:r>
        <w:rPr>
          <w:rFonts w:hint="eastAsia" w:ascii="宋体" w:hAnsi="宋体" w:eastAsia="宋体" w:cs="宋体"/>
          <w:color w:val="auto"/>
          <w:sz w:val="32"/>
          <w:szCs w:val="32"/>
          <w:lang w:eastAsia="zh-CN"/>
        </w:rPr>
        <w:t>其中：一般公共预算财政拨款收入</w:t>
      </w:r>
      <w:r>
        <w:rPr>
          <w:rFonts w:hint="eastAsia" w:ascii="宋体" w:hAnsi="宋体" w:eastAsia="宋体" w:cs="宋体"/>
          <w:color w:val="auto"/>
          <w:sz w:val="32"/>
          <w:szCs w:val="32"/>
          <w:lang w:val="en-US" w:eastAsia="zh-CN"/>
        </w:rPr>
        <w:t>158.43万元，政府性基金预算财政拨款收入57.07，</w:t>
      </w:r>
      <w:r>
        <w:rPr>
          <w:rFonts w:hint="eastAsia" w:ascii="宋体" w:hAnsi="宋体" w:eastAsia="宋体" w:cs="宋体"/>
          <w:color w:val="auto"/>
          <w:sz w:val="32"/>
          <w:szCs w:val="32"/>
          <w:lang w:eastAsia="zh-CN"/>
        </w:rPr>
        <w:t>年初结转和</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万元，本年支出共计为</w:t>
      </w:r>
      <w:bookmarkStart w:id="0" w:name="_GoBack"/>
      <w:bookmarkEnd w:id="0"/>
      <w:r>
        <w:rPr>
          <w:rFonts w:hint="eastAsia" w:ascii="宋体" w:hAnsi="宋体" w:eastAsia="宋体" w:cs="宋体"/>
          <w:color w:val="auto"/>
          <w:sz w:val="32"/>
          <w:szCs w:val="32"/>
          <w:lang w:val="en-US" w:eastAsia="zh-CN"/>
        </w:rPr>
        <w:t>215.5</w:t>
      </w:r>
      <w:r>
        <w:rPr>
          <w:rFonts w:hint="eastAsia" w:ascii="宋体" w:hAnsi="宋体" w:eastAsia="宋体" w:cs="宋体"/>
          <w:color w:val="auto"/>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color w:val="auto"/>
          <w:sz w:val="32"/>
          <w:szCs w:val="32"/>
        </w:rPr>
      </w:pPr>
      <w:r>
        <w:rPr>
          <w:rFonts w:hint="eastAsia" w:ascii="宋体" w:hAnsi="宋体" w:eastAsia="宋体" w:cs="宋体"/>
          <w:color w:val="auto"/>
          <w:sz w:val="32"/>
          <w:szCs w:val="32"/>
        </w:rPr>
        <w:t>（六）</w:t>
      </w:r>
      <w:r>
        <w:rPr>
          <w:rFonts w:hint="eastAsia" w:ascii="宋体" w:hAnsi="宋体" w:eastAsia="宋体" w:cs="宋体"/>
          <w:color w:val="auto"/>
          <w:sz w:val="32"/>
          <w:szCs w:val="24"/>
        </w:rPr>
        <w:t>“三公”经费</w:t>
      </w:r>
      <w:r>
        <w:rPr>
          <w:rFonts w:hint="eastAsia" w:ascii="宋体" w:hAnsi="宋体" w:eastAsia="宋体" w:cs="宋体"/>
          <w:color w:val="auto"/>
          <w:sz w:val="32"/>
          <w:szCs w:val="32"/>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rPr>
        <w:t>年</w:t>
      </w:r>
      <w:r>
        <w:rPr>
          <w:rFonts w:hint="eastAsia" w:ascii="宋体" w:hAnsi="宋体" w:eastAsia="宋体" w:cs="宋体"/>
          <w:color w:val="auto"/>
          <w:sz w:val="32"/>
          <w:szCs w:val="24"/>
        </w:rPr>
        <w:t>“三公”经费</w:t>
      </w:r>
      <w:r>
        <w:rPr>
          <w:rFonts w:hint="eastAsia" w:ascii="宋体" w:hAnsi="宋体" w:eastAsia="宋体" w:cs="宋体"/>
          <w:color w:val="auto"/>
          <w:sz w:val="32"/>
          <w:szCs w:val="32"/>
        </w:rPr>
        <w:t>总计金额为</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万元，其中</w:t>
      </w:r>
      <w:r>
        <w:rPr>
          <w:rFonts w:hint="eastAsia" w:ascii="宋体" w:hAnsi="宋体" w:eastAsia="宋体" w:cs="宋体"/>
          <w:color w:val="auto"/>
          <w:sz w:val="32"/>
          <w:szCs w:val="32"/>
          <w:lang w:eastAsia="zh-CN"/>
        </w:rPr>
        <w:t>公务接待</w:t>
      </w:r>
      <w:r>
        <w:rPr>
          <w:rFonts w:hint="eastAsia" w:ascii="宋体" w:hAnsi="宋体" w:eastAsia="宋体" w:cs="宋体"/>
          <w:color w:val="auto"/>
          <w:sz w:val="32"/>
          <w:szCs w:val="32"/>
        </w:rPr>
        <w:t>金额为</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二、绩效目标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（一）部门总目标。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完成全年</w:t>
      </w:r>
      <w:r>
        <w:rPr>
          <w:rFonts w:hint="eastAsia" w:ascii="宋体" w:hAnsi="宋体" w:eastAsia="宋体" w:cs="宋体"/>
          <w:color w:val="000000"/>
          <w:sz w:val="32"/>
          <w:szCs w:val="32"/>
        </w:rPr>
        <w:t>工作职能范畴内</w:t>
      </w:r>
      <w:r>
        <w:rPr>
          <w:rFonts w:hint="eastAsia" w:ascii="宋体" w:hAnsi="宋体" w:eastAsia="宋体" w:cs="宋体"/>
          <w:sz w:val="32"/>
          <w:szCs w:val="32"/>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完成财政奖补“一事一议”工作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（二）部门项目具体计划目标。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绩效评价目的。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firstLine="640" w:firstLineChars="200"/>
        <w:jc w:val="both"/>
        <w:rPr>
          <w:rFonts w:hint="eastAsia" w:ascii="宋体" w:hAnsi="宋体" w:eastAsia="宋体" w:cs="宋体"/>
          <w:sz w:val="32"/>
          <w:szCs w:val="32"/>
        </w:rPr>
      </w:pPr>
      <w:r>
        <w:rPr>
          <w:rFonts w:hint="eastAsia" w:ascii="宋体" w:hAnsi="宋体" w:eastAsia="宋体" w:cs="宋体"/>
          <w:sz w:val="32"/>
          <w:szCs w:val="32"/>
        </w:rPr>
        <w:t>绩效评价工作中主要考察绩效目标的设定情况、资金到位和使用情况、项目和资金使用管理情况和绩效目标的实现和效果，综合评价资金的总体情况。通过绩效评价，总结发现好的经验和做法，找出存在的不足和问题，提出改进措施，不断加强资金管理，充分发挥专项资金的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项目单位绩效评价报告情况。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是信息全面推行公开、公告、公示制度，确保建设资金的使用公正透明，确保实施达到预期的社会效益；二是认真按照上级部门的统一部署，统一思想认识，强化资金使用绩效，狠抓责任落实，保证建设资金按时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lang w:eastAsia="zh-CN"/>
        </w:rPr>
        <w:t>、</w:t>
      </w:r>
      <w:r>
        <w:rPr>
          <w:rFonts w:hint="eastAsia" w:ascii="宋体" w:hAnsi="宋体" w:eastAsia="宋体" w:cs="宋体"/>
          <w:sz w:val="32"/>
          <w:szCs w:val="32"/>
        </w:rPr>
        <w:t>前期准备：拟定绩效评价方案、选取核实的绩效评价方式、设计绩效评价指标体系。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w:t>
      </w:r>
      <w:r>
        <w:rPr>
          <w:rFonts w:hint="eastAsia" w:ascii="宋体" w:hAnsi="宋体" w:eastAsia="宋体" w:cs="宋体"/>
          <w:sz w:val="32"/>
          <w:szCs w:val="32"/>
        </w:rPr>
        <w:t>组织实施：进行自查。根据资金管理使用情况进行自查，形成绩效自评报告，包括资金投入、使用情况、项目实施情况、取得的成果及存在问题，报送主管部门绩效评价工作小组。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三、评价结论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（一）主要绩效。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宋体" w:hAnsi="宋体" w:eastAsia="宋体" w:cs="宋体"/>
          <w:sz w:val="32"/>
          <w:szCs w:val="32"/>
        </w:rPr>
      </w:pPr>
      <w:r>
        <w:rPr>
          <w:rFonts w:hint="eastAsia" w:ascii="宋体" w:hAnsi="宋体" w:eastAsia="宋体" w:cs="宋体"/>
          <w:sz w:val="32"/>
          <w:szCs w:val="32"/>
        </w:rPr>
        <w:t>  为进一步加强预算绩效管理，强化支出责任，提高财政资金使用效益，进项绩效自评。</w:t>
      </w:r>
      <w:r>
        <w:rPr>
          <w:rFonts w:hint="eastAsia" w:ascii="宋体" w:hAnsi="宋体" w:eastAsia="宋体" w:cs="宋体"/>
          <w:color w:val="auto"/>
          <w:sz w:val="32"/>
          <w:szCs w:val="32"/>
        </w:rPr>
        <w:t>自评指标包括产出数</w:t>
      </w:r>
      <w:r>
        <w:rPr>
          <w:rFonts w:hint="eastAsia" w:ascii="宋体" w:hAnsi="宋体" w:eastAsia="宋体" w:cs="宋体"/>
          <w:sz w:val="32"/>
          <w:szCs w:val="32"/>
        </w:rPr>
        <w:t>量质量和时效成本、经济效益指标、社会效益指标、生态效益指标、可持续影响及服务对象满意度。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（二）评价结果。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本单位此次评价</w:t>
      </w:r>
      <w:r>
        <w:rPr>
          <w:rFonts w:hint="eastAsia" w:ascii="宋体" w:hAnsi="宋体" w:eastAsia="宋体" w:cs="宋体"/>
          <w:color w:val="auto"/>
          <w:sz w:val="32"/>
          <w:szCs w:val="32"/>
        </w:rPr>
        <w:t>未发现有文件规定的项目</w:t>
      </w:r>
      <w:r>
        <w:rPr>
          <w:rFonts w:hint="eastAsia" w:ascii="宋体" w:hAnsi="宋体" w:eastAsia="宋体" w:cs="宋体"/>
          <w:sz w:val="32"/>
          <w:szCs w:val="32"/>
        </w:rPr>
        <w:t>，在整体评价中获得</w:t>
      </w:r>
      <w:r>
        <w:rPr>
          <w:rFonts w:hint="eastAsia" w:ascii="宋体" w:hAnsi="宋体" w:eastAsia="宋体" w:cs="宋体"/>
          <w:sz w:val="32"/>
          <w:szCs w:val="32"/>
          <w:lang w:val="en-US" w:eastAsia="zh-CN"/>
        </w:rPr>
        <w:t>85</w:t>
      </w:r>
      <w:r>
        <w:rPr>
          <w:rFonts w:hint="eastAsia" w:ascii="宋体" w:hAnsi="宋体" w:eastAsia="宋体" w:cs="宋体"/>
          <w:sz w:val="32"/>
          <w:szCs w:val="32"/>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四、主要经验做法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按照“谁评价、谁报告、谁公开”的原则，相较上年工作有一定成效，工作效率取得显著进步。本单位在自评过程中发现：一是绩效监控工作滞后，工作机制有待进一步完善，二是政府和财政部门在部门整体支出的资金安排和使用上仍有不可预见性，</w:t>
      </w:r>
      <w:r>
        <w:rPr>
          <w:rFonts w:hint="eastAsia" w:ascii="宋体" w:hAnsi="宋体" w:eastAsia="宋体" w:cs="宋体"/>
          <w:color w:val="auto"/>
          <w:sz w:val="32"/>
          <w:szCs w:val="32"/>
        </w:rPr>
        <w:t>财政预算基本围绕人员经费，公务经费少，维持运转。下步工作中积极配合各项工作，制定合理有效的绩效目标监控机制，加强各部门衔接，及时争取上级补助资金，保证各预算绩效指标的顺利实施。严格执行</w:t>
      </w:r>
      <w:r>
        <w:rPr>
          <w:rFonts w:hint="eastAsia" w:ascii="宋体" w:hAnsi="宋体" w:eastAsia="宋体" w:cs="宋体"/>
          <w:color w:val="auto"/>
          <w:sz w:val="32"/>
          <w:szCs w:val="32"/>
          <w:lang w:eastAsia="zh-CN"/>
        </w:rPr>
        <w:t>上</w:t>
      </w:r>
      <w:r>
        <w:rPr>
          <w:rFonts w:hint="eastAsia" w:ascii="宋体" w:hAnsi="宋体" w:eastAsia="宋体" w:cs="宋体"/>
          <w:color w:val="auto"/>
          <w:sz w:val="32"/>
          <w:szCs w:val="32"/>
        </w:rPr>
        <w:t>级财政预算，资金使用中严格执行财经法规和</w:t>
      </w:r>
      <w:r>
        <w:rPr>
          <w:rFonts w:hint="eastAsia" w:ascii="宋体" w:hAnsi="宋体" w:eastAsia="宋体" w:cs="宋体"/>
          <w:color w:val="auto"/>
          <w:sz w:val="32"/>
          <w:szCs w:val="32"/>
          <w:lang w:val="en-US" w:eastAsia="zh-CN"/>
        </w:rPr>
        <w:t>财</w:t>
      </w:r>
      <w:r>
        <w:rPr>
          <w:rFonts w:hint="eastAsia" w:ascii="宋体" w:hAnsi="宋体" w:eastAsia="宋体" w:cs="宋体"/>
          <w:color w:val="auto"/>
          <w:sz w:val="32"/>
          <w:szCs w:val="32"/>
        </w:rPr>
        <w:t>务管理制度</w:t>
      </w:r>
      <w:r>
        <w:rPr>
          <w:rFonts w:hint="eastAsia" w:ascii="宋体" w:hAnsi="宋体" w:eastAsia="宋体" w:cs="宋体"/>
          <w:sz w:val="32"/>
          <w:szCs w:val="32"/>
        </w:rPr>
        <w:t>，做到账账相符、账实相符、账证相符,按先预算再支出的原则，严格执行审批程序，严格按资金下达的用途使用，对专项预算提前细化，分科目上报，做到收支平衡。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五、存在的问题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本单位在自评过程中发现由于人员缺乏，我单位内控制度不完善，在下一步工作中坚持完善内控相关制度。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both"/>
        <w:rPr>
          <w:rFonts w:hint="eastAsia" w:ascii="宋体" w:hAnsi="宋体" w:eastAsia="宋体" w:cs="宋体"/>
          <w:sz w:val="32"/>
          <w:szCs w:val="32"/>
        </w:rPr>
      </w:pPr>
      <w:r>
        <w:rPr>
          <w:rFonts w:hint="eastAsia" w:ascii="宋体" w:hAnsi="宋体" w:eastAsia="宋体" w:cs="宋体"/>
          <w:sz w:val="32"/>
          <w:szCs w:val="32"/>
        </w:rPr>
        <w:t>六、改进措施及建议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改进措施：</w:t>
      </w:r>
      <w:r>
        <w:rPr>
          <w:rFonts w:hint="eastAsia" w:ascii="宋体" w:hAnsi="宋体" w:eastAsia="宋体" w:cs="宋体"/>
          <w:sz w:val="32"/>
          <w:szCs w:val="32"/>
          <w:lang w:val="en-US" w:eastAsia="zh-CN"/>
        </w:rPr>
        <w:t>本单位</w:t>
      </w:r>
      <w:r>
        <w:rPr>
          <w:rFonts w:hint="eastAsia" w:ascii="宋体" w:hAnsi="宋体" w:eastAsia="宋体" w:cs="宋体"/>
          <w:sz w:val="32"/>
          <w:szCs w:val="32"/>
        </w:rPr>
        <w:t>对整体支出绩效工作开展自查，形成绩效自评报告。在工作中积极配合各项工作，制定合理有效的绩效目标监控机制，加强各部门衔接，及时争取上级补助资金，保证各预算绩效指标的顺利实施。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建议：财政部门在平时工作中进一步加强对绩效目标监控的重视，定期对预算执行情况进行监督，使绩效目标监控与部门工作、财务工作挂钩，做到及时监控，及时控制，避免疏忽。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七、其他需说明的情况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内部控制制度是单位内部建立的使各项经济业务活动互相联系、互相制约的措施、方法和规程。在预算支出绩效自评的工作中，是非常有效率的。也是在自评工作中发现内控制度的不完善，因此在未来工作中我们仍旧会结合内控制度自我监督相关工作，也会进一步完善内控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附表：</w:t>
      </w:r>
    </w:p>
    <w:p>
      <w:pPr>
        <w:ind w:firstLine="645"/>
        <w:jc w:val="center"/>
        <w:rPr>
          <w:rFonts w:hint="eastAsia" w:ascii="宋体" w:hAnsi="宋体" w:eastAsia="宋体" w:cs="宋体"/>
          <w:b/>
          <w:sz w:val="44"/>
          <w:szCs w:val="44"/>
        </w:rPr>
      </w:pPr>
    </w:p>
    <w:p>
      <w:pPr>
        <w:ind w:firstLine="645"/>
        <w:jc w:val="center"/>
        <w:rPr>
          <w:rFonts w:hint="eastAsia" w:ascii="宋体" w:hAnsi="宋体" w:eastAsia="宋体" w:cs="宋体"/>
          <w:b/>
          <w:sz w:val="32"/>
          <w:szCs w:val="32"/>
        </w:rPr>
      </w:pPr>
    </w:p>
    <w:p>
      <w:pPr>
        <w:ind w:firstLine="645"/>
        <w:jc w:val="center"/>
        <w:rPr>
          <w:rFonts w:hint="eastAsia" w:ascii="宋体" w:hAnsi="宋体" w:eastAsia="宋体" w:cs="宋体"/>
          <w:b/>
          <w:sz w:val="32"/>
          <w:szCs w:val="32"/>
        </w:rPr>
      </w:pPr>
    </w:p>
    <w:p>
      <w:pPr>
        <w:ind w:firstLine="645"/>
        <w:jc w:val="center"/>
        <w:rPr>
          <w:rFonts w:hint="eastAsia" w:ascii="宋体" w:hAnsi="宋体" w:eastAsia="宋体" w:cs="宋体"/>
          <w:b/>
          <w:sz w:val="32"/>
          <w:szCs w:val="32"/>
        </w:rPr>
      </w:pPr>
    </w:p>
    <w:p>
      <w:pPr>
        <w:ind w:firstLine="645"/>
        <w:jc w:val="center"/>
        <w:rPr>
          <w:rFonts w:hint="eastAsia" w:ascii="宋体" w:hAnsi="宋体" w:eastAsia="宋体" w:cs="宋体"/>
          <w:b/>
          <w:sz w:val="32"/>
          <w:szCs w:val="32"/>
        </w:rPr>
      </w:pPr>
      <w:r>
        <w:rPr>
          <w:rFonts w:hint="eastAsia" w:ascii="宋体" w:hAnsi="宋体" w:eastAsia="宋体" w:cs="宋体"/>
          <w:b/>
          <w:sz w:val="32"/>
          <w:szCs w:val="32"/>
        </w:rPr>
        <w:t>项目绩效自评表</w:t>
      </w:r>
    </w:p>
    <w:tbl>
      <w:tblPr>
        <w:tblStyle w:val="5"/>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861"/>
        <w:gridCol w:w="1533"/>
        <w:gridCol w:w="1054"/>
        <w:gridCol w:w="1078"/>
        <w:gridCol w:w="803"/>
        <w:gridCol w:w="629"/>
        <w:gridCol w:w="1145"/>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732" w:type="dxa"/>
            <w:gridSpan w:val="9"/>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绩效目标申报自我预测单位（20</w:t>
            </w:r>
            <w:r>
              <w:rPr>
                <w:rFonts w:hint="eastAsia" w:ascii="Calibri" w:hAnsi="Calibri" w:cs="Times New Roman"/>
                <w:kern w:val="0"/>
                <w:sz w:val="20"/>
                <w:szCs w:val="21"/>
                <w:lang w:val="en-US" w:eastAsia="zh-CN"/>
              </w:rPr>
              <w:t>22</w:t>
            </w:r>
            <w:r>
              <w:rPr>
                <w:rFonts w:hint="eastAsia" w:ascii="Calibri" w:hAnsi="Calibri" w:eastAsia="宋体" w:cs="Times New Roman"/>
                <w:kern w:val="0"/>
                <w:sz w:val="20"/>
                <w:szCs w:val="21"/>
                <w:lang w:eastAsia="zh-CN"/>
              </w:rPr>
              <w:t>年度）：资源县</w:t>
            </w:r>
            <w:r>
              <w:rPr>
                <w:rFonts w:hint="eastAsia" w:ascii="Calibri" w:hAnsi="Calibri" w:cs="Times New Roman"/>
                <w:kern w:val="0"/>
                <w:sz w:val="20"/>
                <w:szCs w:val="21"/>
                <w:lang w:val="en-US" w:eastAsia="zh-CN"/>
              </w:rPr>
              <w:t>财政局两水</w:t>
            </w:r>
            <w:r>
              <w:rPr>
                <w:rFonts w:hint="eastAsia" w:ascii="Calibri" w:hAnsi="Calibri" w:eastAsia="宋体" w:cs="Times New Roman"/>
                <w:kern w:val="0"/>
                <w:sz w:val="20"/>
                <w:szCs w:val="21"/>
                <w:lang w:eastAsia="zh-CN"/>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16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项目名称</w:t>
            </w:r>
          </w:p>
        </w:tc>
        <w:tc>
          <w:tcPr>
            <w:tcW w:w="258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val="en-US" w:eastAsia="zh-CN"/>
              </w:rPr>
              <w:t>两水</w:t>
            </w:r>
            <w:r>
              <w:rPr>
                <w:rFonts w:hint="eastAsia" w:ascii="Calibri" w:hAnsi="Calibri" w:eastAsia="宋体" w:cs="Times New Roman"/>
                <w:kern w:val="0"/>
                <w:sz w:val="20"/>
                <w:szCs w:val="21"/>
                <w:lang w:val="en-US" w:eastAsia="zh-CN"/>
              </w:rPr>
              <w:t>财政所整体支出</w:t>
            </w:r>
          </w:p>
        </w:tc>
        <w:tc>
          <w:tcPr>
            <w:tcW w:w="1881"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项目负责人及电话</w:t>
            </w:r>
          </w:p>
        </w:tc>
        <w:tc>
          <w:tcPr>
            <w:tcW w:w="2602" w:type="dxa"/>
            <w:gridSpan w:val="3"/>
            <w:noWrap w:val="0"/>
            <w:vAlign w:val="top"/>
          </w:tcPr>
          <w:p>
            <w:pPr>
              <w:rPr>
                <w:rFonts w:hint="default" w:ascii="Calibri" w:hAnsi="Calibri" w:eastAsia="宋体" w:cs="Times New Roman"/>
                <w:kern w:val="0"/>
                <w:sz w:val="20"/>
                <w:szCs w:val="21"/>
                <w:lang w:val="en-US" w:eastAsia="zh-CN"/>
              </w:rPr>
            </w:pPr>
            <w:r>
              <w:rPr>
                <w:rFonts w:hint="eastAsia"/>
                <w:sz w:val="21"/>
                <w:szCs w:val="21"/>
                <w:lang w:val="en-US" w:eastAsia="zh-CN"/>
              </w:rPr>
              <w:t>陈权 15295838999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6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主管部门</w:t>
            </w:r>
          </w:p>
        </w:tc>
        <w:tc>
          <w:tcPr>
            <w:tcW w:w="258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资源县财政局</w:t>
            </w:r>
          </w:p>
        </w:tc>
        <w:tc>
          <w:tcPr>
            <w:tcW w:w="1881"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实施单位</w:t>
            </w:r>
          </w:p>
        </w:tc>
        <w:tc>
          <w:tcPr>
            <w:tcW w:w="2602" w:type="dxa"/>
            <w:gridSpan w:val="3"/>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w:t>
            </w:r>
            <w:r>
              <w:rPr>
                <w:rFonts w:hint="eastAsia" w:ascii="Calibri" w:hAnsi="Calibri" w:cs="Times New Roman"/>
                <w:kern w:val="0"/>
                <w:sz w:val="20"/>
                <w:szCs w:val="21"/>
                <w:lang w:val="en-US" w:eastAsia="zh-CN"/>
              </w:rPr>
              <w:t>财政局两水</w:t>
            </w:r>
            <w:r>
              <w:rPr>
                <w:rFonts w:hint="eastAsia" w:ascii="Calibri" w:hAnsi="Calibri" w:cs="Times New Roman"/>
                <w:kern w:val="0"/>
                <w:sz w:val="20"/>
                <w:szCs w:val="21"/>
                <w:lang w:eastAsia="zh-CN"/>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1662" w:type="dxa"/>
            <w:gridSpan w:val="2"/>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资金情况（万元）</w:t>
            </w:r>
          </w:p>
        </w:tc>
        <w:tc>
          <w:tcPr>
            <w:tcW w:w="1533" w:type="dxa"/>
            <w:noWrap w:val="0"/>
            <w:vAlign w:val="top"/>
          </w:tcPr>
          <w:p>
            <w:pPr>
              <w:rPr>
                <w:rFonts w:ascii="Calibri" w:hAnsi="Calibri" w:eastAsia="宋体" w:cs="Times New Roman"/>
                <w:kern w:val="0"/>
                <w:sz w:val="20"/>
                <w:szCs w:val="21"/>
              </w:rPr>
            </w:pPr>
          </w:p>
        </w:tc>
        <w:tc>
          <w:tcPr>
            <w:tcW w:w="1054"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全年预算数（A）</w:t>
            </w:r>
          </w:p>
        </w:tc>
        <w:tc>
          <w:tcPr>
            <w:tcW w:w="1881"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全年执行数（B）</w:t>
            </w:r>
          </w:p>
        </w:tc>
        <w:tc>
          <w:tcPr>
            <w:tcW w:w="6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145"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执行率（B/A）</w:t>
            </w:r>
          </w:p>
        </w:tc>
        <w:tc>
          <w:tcPr>
            <w:tcW w:w="828"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1662" w:type="dxa"/>
            <w:gridSpan w:val="2"/>
            <w:vMerge w:val="continue"/>
            <w:noWrap w:val="0"/>
            <w:vAlign w:val="top"/>
          </w:tcPr>
          <w:p>
            <w:pPr>
              <w:rPr>
                <w:rFonts w:ascii="Calibri" w:hAnsi="Calibri" w:eastAsia="宋体" w:cs="Times New Roman"/>
                <w:kern w:val="0"/>
                <w:sz w:val="20"/>
                <w:szCs w:val="21"/>
              </w:rPr>
            </w:pPr>
          </w:p>
        </w:tc>
        <w:tc>
          <w:tcPr>
            <w:tcW w:w="153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年度资金总额：</w:t>
            </w:r>
          </w:p>
        </w:tc>
        <w:tc>
          <w:tcPr>
            <w:tcW w:w="1054" w:type="dxa"/>
            <w:noWrap w:val="0"/>
            <w:vAlign w:val="center"/>
          </w:tcPr>
          <w:p>
            <w:pPr>
              <w:jc w:val="cente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72.56</w:t>
            </w:r>
          </w:p>
        </w:tc>
        <w:tc>
          <w:tcPr>
            <w:tcW w:w="1078" w:type="dxa"/>
            <w:noWrap w:val="0"/>
            <w:vAlign w:val="center"/>
          </w:tcPr>
          <w:p>
            <w:pPr>
              <w:jc w:val="center"/>
              <w:rPr>
                <w:rFonts w:hint="default" w:ascii="Calibri" w:hAnsi="Calibri" w:cs="Times New Roman"/>
                <w:kern w:val="0"/>
                <w:sz w:val="20"/>
                <w:szCs w:val="21"/>
                <w:lang w:val="en-US" w:eastAsia="zh-CN"/>
              </w:rPr>
            </w:pPr>
            <w:r>
              <w:rPr>
                <w:rFonts w:hint="eastAsia" w:ascii="Calibri" w:hAnsi="Calibri" w:cs="Times New Roman"/>
                <w:kern w:val="0"/>
                <w:sz w:val="20"/>
                <w:szCs w:val="21"/>
                <w:lang w:val="en-US" w:eastAsia="zh-CN"/>
              </w:rPr>
              <w:t>215.5</w:t>
            </w:r>
          </w:p>
        </w:tc>
        <w:tc>
          <w:tcPr>
            <w:tcW w:w="803" w:type="dxa"/>
            <w:noWrap w:val="0"/>
            <w:vAlign w:val="top"/>
          </w:tcPr>
          <w:p>
            <w:pPr>
              <w:rPr>
                <w:rFonts w:ascii="Calibri" w:hAnsi="Calibri" w:eastAsia="宋体" w:cs="Times New Roman"/>
                <w:kern w:val="0"/>
                <w:sz w:val="20"/>
                <w:szCs w:val="21"/>
              </w:rPr>
            </w:pPr>
          </w:p>
        </w:tc>
        <w:tc>
          <w:tcPr>
            <w:tcW w:w="6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1145" w:type="dxa"/>
            <w:noWrap w:val="0"/>
            <w:vAlign w:val="top"/>
          </w:tcPr>
          <w:p>
            <w:pPr>
              <w:rPr>
                <w:rFonts w:hint="default" w:ascii="Calibri" w:hAnsi="Calibri" w:eastAsia="宋体" w:cs="Times New Roman"/>
                <w:kern w:val="0"/>
                <w:sz w:val="20"/>
                <w:szCs w:val="20"/>
                <w:lang w:val="en-US" w:eastAsia="zh-CN"/>
              </w:rPr>
            </w:pPr>
            <w:r>
              <w:rPr>
                <w:rFonts w:hint="eastAsia" w:asciiTheme="minorEastAsia" w:hAnsiTheme="minorEastAsia" w:cstheme="minorEastAsia"/>
                <w:color w:val="000000"/>
                <w:kern w:val="0"/>
                <w:sz w:val="20"/>
                <w:szCs w:val="20"/>
                <w:lang w:val="en-US" w:eastAsia="zh-CN"/>
              </w:rPr>
              <w:t xml:space="preserve"> 336.71%</w:t>
            </w:r>
          </w:p>
        </w:tc>
        <w:tc>
          <w:tcPr>
            <w:tcW w:w="828"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1662" w:type="dxa"/>
            <w:gridSpan w:val="2"/>
            <w:vMerge w:val="continue"/>
            <w:noWrap w:val="0"/>
            <w:vAlign w:val="top"/>
          </w:tcPr>
          <w:p>
            <w:pPr>
              <w:rPr>
                <w:rFonts w:ascii="Calibri" w:hAnsi="Calibri" w:eastAsia="宋体" w:cs="Times New Roman"/>
                <w:kern w:val="0"/>
                <w:sz w:val="20"/>
                <w:szCs w:val="21"/>
              </w:rPr>
            </w:pPr>
          </w:p>
        </w:tc>
        <w:tc>
          <w:tcPr>
            <w:tcW w:w="153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其中：本年财政拨款</w:t>
            </w:r>
          </w:p>
        </w:tc>
        <w:tc>
          <w:tcPr>
            <w:tcW w:w="1054" w:type="dxa"/>
            <w:noWrap w:val="0"/>
            <w:vAlign w:val="center"/>
          </w:tcPr>
          <w:p>
            <w:pPr>
              <w:jc w:val="center"/>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72.56</w:t>
            </w:r>
          </w:p>
        </w:tc>
        <w:tc>
          <w:tcPr>
            <w:tcW w:w="1078" w:type="dxa"/>
            <w:noWrap w:val="0"/>
            <w:vAlign w:val="center"/>
          </w:tcPr>
          <w:p>
            <w:pPr>
              <w:jc w:val="center"/>
              <w:rPr>
                <w:rFonts w:hint="default" w:ascii="Calibri" w:hAnsi="Calibri" w:eastAsia="宋体" w:cs="Times New Roman"/>
                <w:kern w:val="2"/>
                <w:sz w:val="21"/>
                <w:szCs w:val="24"/>
                <w:lang w:val="en-US" w:eastAsia="zh-CN" w:bidi="ar-SA"/>
              </w:rPr>
            </w:pPr>
            <w:r>
              <w:rPr>
                <w:rFonts w:hint="eastAsia" w:ascii="Calibri" w:hAnsi="Calibri" w:cs="Times New Roman"/>
                <w:kern w:val="0"/>
                <w:sz w:val="20"/>
                <w:szCs w:val="21"/>
                <w:lang w:val="en-US" w:eastAsia="zh-CN"/>
              </w:rPr>
              <w:t>215.5</w:t>
            </w:r>
          </w:p>
        </w:tc>
        <w:tc>
          <w:tcPr>
            <w:tcW w:w="803" w:type="dxa"/>
            <w:noWrap w:val="0"/>
            <w:vAlign w:val="top"/>
          </w:tcPr>
          <w:p>
            <w:pPr>
              <w:rPr>
                <w:rFonts w:ascii="Calibri" w:hAnsi="Calibri" w:eastAsia="宋体" w:cs="Times New Roman"/>
                <w:kern w:val="0"/>
                <w:sz w:val="20"/>
                <w:szCs w:val="21"/>
              </w:rPr>
            </w:pPr>
          </w:p>
        </w:tc>
        <w:tc>
          <w:tcPr>
            <w:tcW w:w="6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5" w:type="dxa"/>
            <w:noWrap w:val="0"/>
            <w:vAlign w:val="top"/>
          </w:tcPr>
          <w:p>
            <w:pPr>
              <w:rPr>
                <w:rFonts w:ascii="Calibri" w:hAnsi="Calibri" w:eastAsia="宋体" w:cs="Times New Roman"/>
                <w:kern w:val="0"/>
                <w:sz w:val="20"/>
                <w:szCs w:val="20"/>
              </w:rPr>
            </w:pPr>
            <w:r>
              <w:rPr>
                <w:rFonts w:hint="eastAsia" w:asciiTheme="minorEastAsia" w:hAnsiTheme="minorEastAsia" w:cstheme="minorEastAsia"/>
                <w:color w:val="000000"/>
                <w:kern w:val="0"/>
                <w:sz w:val="20"/>
                <w:szCs w:val="20"/>
                <w:lang w:val="en-US" w:eastAsia="zh-CN"/>
              </w:rPr>
              <w:t>336.71</w:t>
            </w:r>
            <w:r>
              <w:rPr>
                <w:rFonts w:hint="eastAsia" w:asciiTheme="minorEastAsia" w:hAnsiTheme="minorEastAsia" w:eastAsiaTheme="minorEastAsia" w:cstheme="minorEastAsia"/>
                <w:color w:val="000000"/>
                <w:kern w:val="0"/>
                <w:sz w:val="20"/>
                <w:szCs w:val="20"/>
                <w:lang w:val="en-US" w:eastAsia="zh-CN"/>
              </w:rPr>
              <w:t>%</w:t>
            </w:r>
          </w:p>
        </w:tc>
        <w:tc>
          <w:tcPr>
            <w:tcW w:w="828"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1662" w:type="dxa"/>
            <w:gridSpan w:val="2"/>
            <w:vMerge w:val="continue"/>
            <w:noWrap w:val="0"/>
            <w:vAlign w:val="top"/>
          </w:tcPr>
          <w:p>
            <w:pPr>
              <w:rPr>
                <w:rFonts w:ascii="Calibri" w:hAnsi="Calibri" w:eastAsia="宋体" w:cs="Times New Roman"/>
                <w:kern w:val="0"/>
                <w:sz w:val="20"/>
                <w:szCs w:val="21"/>
              </w:rPr>
            </w:pPr>
          </w:p>
        </w:tc>
        <w:tc>
          <w:tcPr>
            <w:tcW w:w="153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其他资金</w:t>
            </w:r>
          </w:p>
        </w:tc>
        <w:tc>
          <w:tcPr>
            <w:tcW w:w="1054" w:type="dxa"/>
            <w:noWrap w:val="0"/>
            <w:vAlign w:val="top"/>
          </w:tcPr>
          <w:p>
            <w:pPr>
              <w:rPr>
                <w:rFonts w:ascii="Calibri" w:hAnsi="Calibri" w:eastAsia="宋体" w:cs="Times New Roman"/>
                <w:kern w:val="0"/>
                <w:sz w:val="20"/>
                <w:szCs w:val="21"/>
              </w:rPr>
            </w:pPr>
          </w:p>
        </w:tc>
        <w:tc>
          <w:tcPr>
            <w:tcW w:w="1078" w:type="dxa"/>
            <w:noWrap w:val="0"/>
            <w:vAlign w:val="top"/>
          </w:tcPr>
          <w:p>
            <w:pPr>
              <w:rPr>
                <w:rFonts w:ascii="Calibri" w:hAnsi="Calibri" w:eastAsia="宋体" w:cs="Times New Roman"/>
                <w:kern w:val="0"/>
                <w:sz w:val="20"/>
                <w:szCs w:val="21"/>
              </w:rPr>
            </w:pPr>
          </w:p>
        </w:tc>
        <w:tc>
          <w:tcPr>
            <w:tcW w:w="803" w:type="dxa"/>
            <w:noWrap w:val="0"/>
            <w:vAlign w:val="top"/>
          </w:tcPr>
          <w:p>
            <w:pPr>
              <w:rPr>
                <w:rFonts w:ascii="Calibri" w:hAnsi="Calibri" w:eastAsia="宋体" w:cs="Times New Roman"/>
                <w:kern w:val="0"/>
                <w:sz w:val="20"/>
                <w:szCs w:val="21"/>
              </w:rPr>
            </w:pPr>
          </w:p>
        </w:tc>
        <w:tc>
          <w:tcPr>
            <w:tcW w:w="6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5" w:type="dxa"/>
            <w:noWrap w:val="0"/>
            <w:vAlign w:val="top"/>
          </w:tcPr>
          <w:p>
            <w:pPr>
              <w:rPr>
                <w:rFonts w:ascii="Calibri" w:hAnsi="Calibri" w:eastAsia="宋体" w:cs="Times New Roman"/>
                <w:kern w:val="0"/>
                <w:sz w:val="20"/>
                <w:szCs w:val="21"/>
              </w:rPr>
            </w:pPr>
          </w:p>
        </w:tc>
        <w:tc>
          <w:tcPr>
            <w:tcW w:w="828"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801"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w:t>
            </w:r>
          </w:p>
        </w:tc>
        <w:tc>
          <w:tcPr>
            <w:tcW w:w="3448" w:type="dxa"/>
            <w:gridSpan w:val="3"/>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年初设定目标</w:t>
            </w:r>
          </w:p>
        </w:tc>
        <w:tc>
          <w:tcPr>
            <w:tcW w:w="4483" w:type="dxa"/>
            <w:gridSpan w:val="5"/>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年度总体目标完成情况综述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801" w:type="dxa"/>
            <w:vMerge w:val="continue"/>
            <w:noWrap w:val="0"/>
            <w:vAlign w:val="top"/>
          </w:tcPr>
          <w:p>
            <w:pPr>
              <w:rPr>
                <w:rFonts w:ascii="Calibri" w:hAnsi="Calibri" w:eastAsia="宋体" w:cs="Times New Roman"/>
                <w:kern w:val="0"/>
                <w:sz w:val="20"/>
                <w:szCs w:val="21"/>
              </w:rPr>
            </w:pPr>
          </w:p>
        </w:tc>
        <w:tc>
          <w:tcPr>
            <w:tcW w:w="3448" w:type="dxa"/>
            <w:gridSpan w:val="3"/>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p>
          <w:p>
            <w:pPr>
              <w:rPr>
                <w:rFonts w:ascii="Calibri" w:hAnsi="Calibri" w:eastAsia="宋体" w:cs="Times New Roman"/>
                <w:kern w:val="0"/>
                <w:sz w:val="20"/>
                <w:szCs w:val="21"/>
              </w:rPr>
            </w:pPr>
          </w:p>
        </w:tc>
        <w:tc>
          <w:tcPr>
            <w:tcW w:w="4483" w:type="dxa"/>
            <w:gridSpan w:val="5"/>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r>
              <w:rPr>
                <w:rFonts w:hint="eastAsia" w:ascii="Calibri" w:hAnsi="Calibri"/>
                <w:sz w:val="18"/>
                <w:szCs w:val="18"/>
                <w:lang w:eastAsia="zh-CN"/>
              </w:rPr>
              <w:t>，完成年初设定目标</w:t>
            </w:r>
            <w:r>
              <w:rPr>
                <w:rFonts w:hint="eastAsia" w:ascii="Calibri" w:hAnsi="Calibri"/>
                <w:sz w:val="18"/>
                <w:szCs w:val="18"/>
              </w:rPr>
              <w:t>。</w:t>
            </w:r>
          </w:p>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01"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绩效指标</w:t>
            </w:r>
          </w:p>
        </w:tc>
        <w:tc>
          <w:tcPr>
            <w:tcW w:w="86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一级指标</w:t>
            </w:r>
          </w:p>
        </w:tc>
        <w:tc>
          <w:tcPr>
            <w:tcW w:w="153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二级指标</w:t>
            </w:r>
          </w:p>
        </w:tc>
        <w:tc>
          <w:tcPr>
            <w:tcW w:w="1054"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078"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年度指标值</w:t>
            </w:r>
          </w:p>
        </w:tc>
        <w:tc>
          <w:tcPr>
            <w:tcW w:w="80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全年实际值</w:t>
            </w:r>
          </w:p>
        </w:tc>
        <w:tc>
          <w:tcPr>
            <w:tcW w:w="6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c>
          <w:tcPr>
            <w:tcW w:w="1973"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未完成原因及拟采取的改进措施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801" w:type="dxa"/>
            <w:vMerge w:val="continue"/>
            <w:noWrap w:val="0"/>
            <w:vAlign w:val="top"/>
          </w:tcPr>
          <w:p>
            <w:pPr>
              <w:rPr>
                <w:rFonts w:ascii="Calibri" w:hAnsi="Calibri" w:eastAsia="宋体" w:cs="Times New Roman"/>
                <w:kern w:val="0"/>
                <w:sz w:val="20"/>
                <w:szCs w:val="21"/>
              </w:rPr>
            </w:pPr>
          </w:p>
        </w:tc>
        <w:tc>
          <w:tcPr>
            <w:tcW w:w="861"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产出指标（50分）</w:t>
            </w:r>
          </w:p>
        </w:tc>
        <w:tc>
          <w:tcPr>
            <w:tcW w:w="153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数量指标</w:t>
            </w:r>
          </w:p>
        </w:tc>
        <w:tc>
          <w:tcPr>
            <w:tcW w:w="1054"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1078"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803"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629"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1145" w:type="dxa"/>
            <w:noWrap w:val="0"/>
            <w:vAlign w:val="top"/>
          </w:tcPr>
          <w:p>
            <w:pPr>
              <w:rPr>
                <w:rFonts w:hint="eastAsia" w:ascii="Calibri" w:hAnsi="Calibri" w:eastAsia="宋体" w:cs="Times New Roman"/>
                <w:kern w:val="0"/>
                <w:sz w:val="20"/>
                <w:szCs w:val="21"/>
                <w:lang w:eastAsia="zh-CN"/>
              </w:rPr>
            </w:pPr>
          </w:p>
        </w:tc>
        <w:tc>
          <w:tcPr>
            <w:tcW w:w="828" w:type="dxa"/>
            <w:noWrap w:val="0"/>
            <w:vAlign w:val="top"/>
          </w:tcPr>
          <w:p>
            <w:pPr>
              <w:rPr>
                <w:rFonts w:hint="eastAsia" w:ascii="Calibri" w:hAnsi="Calibri" w:eastAsia="宋体" w:cs="Times New Roman"/>
                <w:kern w:val="0"/>
                <w:sz w:val="2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801" w:type="dxa"/>
            <w:vMerge w:val="continue"/>
            <w:noWrap w:val="0"/>
            <w:vAlign w:val="top"/>
          </w:tcPr>
          <w:p>
            <w:pPr>
              <w:rPr>
                <w:rFonts w:ascii="Calibri" w:hAnsi="Calibri" w:eastAsia="宋体" w:cs="Times New Roman"/>
                <w:kern w:val="0"/>
                <w:sz w:val="20"/>
                <w:szCs w:val="21"/>
              </w:rPr>
            </w:pPr>
          </w:p>
        </w:tc>
        <w:tc>
          <w:tcPr>
            <w:tcW w:w="861" w:type="dxa"/>
            <w:vMerge w:val="continue"/>
            <w:noWrap w:val="0"/>
            <w:vAlign w:val="top"/>
          </w:tcPr>
          <w:p>
            <w:pPr>
              <w:rPr>
                <w:rFonts w:ascii="Calibri" w:hAnsi="Calibri" w:eastAsia="宋体" w:cs="Times New Roman"/>
                <w:kern w:val="0"/>
                <w:sz w:val="20"/>
                <w:szCs w:val="21"/>
              </w:rPr>
            </w:pPr>
          </w:p>
        </w:tc>
        <w:tc>
          <w:tcPr>
            <w:tcW w:w="153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质量指标</w:t>
            </w:r>
          </w:p>
        </w:tc>
        <w:tc>
          <w:tcPr>
            <w:tcW w:w="1054"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78"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3"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29"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5" w:type="dxa"/>
            <w:noWrap w:val="0"/>
            <w:vAlign w:val="top"/>
          </w:tcPr>
          <w:p>
            <w:pPr>
              <w:rPr>
                <w:rFonts w:ascii="Calibri" w:hAnsi="Calibri" w:eastAsia="宋体" w:cs="Times New Roman"/>
                <w:kern w:val="0"/>
                <w:sz w:val="20"/>
                <w:szCs w:val="21"/>
              </w:rPr>
            </w:pPr>
          </w:p>
        </w:tc>
        <w:tc>
          <w:tcPr>
            <w:tcW w:w="828"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801" w:type="dxa"/>
            <w:vMerge w:val="continue"/>
            <w:noWrap w:val="0"/>
            <w:vAlign w:val="top"/>
          </w:tcPr>
          <w:p>
            <w:pPr>
              <w:rPr>
                <w:rFonts w:ascii="Calibri" w:hAnsi="Calibri" w:eastAsia="宋体" w:cs="Times New Roman"/>
                <w:kern w:val="0"/>
                <w:sz w:val="20"/>
                <w:szCs w:val="21"/>
              </w:rPr>
            </w:pPr>
          </w:p>
        </w:tc>
        <w:tc>
          <w:tcPr>
            <w:tcW w:w="861" w:type="dxa"/>
            <w:vMerge w:val="continue"/>
            <w:noWrap w:val="0"/>
            <w:vAlign w:val="top"/>
          </w:tcPr>
          <w:p>
            <w:pPr>
              <w:rPr>
                <w:rFonts w:ascii="Calibri" w:hAnsi="Calibri" w:eastAsia="宋体" w:cs="Times New Roman"/>
                <w:kern w:val="0"/>
                <w:sz w:val="20"/>
                <w:szCs w:val="21"/>
              </w:rPr>
            </w:pPr>
          </w:p>
        </w:tc>
        <w:tc>
          <w:tcPr>
            <w:tcW w:w="153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时效指标</w:t>
            </w:r>
          </w:p>
        </w:tc>
        <w:tc>
          <w:tcPr>
            <w:tcW w:w="1054"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78"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3"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29"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5" w:type="dxa"/>
            <w:noWrap w:val="0"/>
            <w:vAlign w:val="top"/>
          </w:tcPr>
          <w:p>
            <w:pPr>
              <w:rPr>
                <w:rFonts w:ascii="Calibri" w:hAnsi="Calibri" w:eastAsia="宋体" w:cs="Times New Roman"/>
                <w:kern w:val="0"/>
                <w:sz w:val="20"/>
                <w:szCs w:val="21"/>
              </w:rPr>
            </w:pPr>
          </w:p>
        </w:tc>
        <w:tc>
          <w:tcPr>
            <w:tcW w:w="828"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801" w:type="dxa"/>
            <w:vMerge w:val="continue"/>
            <w:noWrap w:val="0"/>
            <w:vAlign w:val="top"/>
          </w:tcPr>
          <w:p>
            <w:pPr>
              <w:rPr>
                <w:rFonts w:ascii="Calibri" w:hAnsi="Calibri" w:eastAsia="宋体" w:cs="Times New Roman"/>
                <w:kern w:val="0"/>
                <w:sz w:val="20"/>
                <w:szCs w:val="21"/>
              </w:rPr>
            </w:pPr>
          </w:p>
        </w:tc>
        <w:tc>
          <w:tcPr>
            <w:tcW w:w="861" w:type="dxa"/>
            <w:vMerge w:val="continue"/>
            <w:noWrap w:val="0"/>
            <w:vAlign w:val="top"/>
          </w:tcPr>
          <w:p>
            <w:pPr>
              <w:rPr>
                <w:rFonts w:ascii="Calibri" w:hAnsi="Calibri" w:eastAsia="宋体" w:cs="Times New Roman"/>
                <w:kern w:val="0"/>
                <w:sz w:val="20"/>
                <w:szCs w:val="21"/>
              </w:rPr>
            </w:pPr>
          </w:p>
        </w:tc>
        <w:tc>
          <w:tcPr>
            <w:tcW w:w="153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成本指标</w:t>
            </w:r>
          </w:p>
        </w:tc>
        <w:tc>
          <w:tcPr>
            <w:tcW w:w="1054"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78"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3"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29"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5" w:type="dxa"/>
            <w:noWrap w:val="0"/>
            <w:vAlign w:val="top"/>
          </w:tcPr>
          <w:p>
            <w:pPr>
              <w:rPr>
                <w:rFonts w:ascii="Calibri" w:hAnsi="Calibri" w:eastAsia="宋体" w:cs="Times New Roman"/>
                <w:kern w:val="0"/>
                <w:sz w:val="20"/>
                <w:szCs w:val="21"/>
              </w:rPr>
            </w:pPr>
          </w:p>
        </w:tc>
        <w:tc>
          <w:tcPr>
            <w:tcW w:w="828"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801" w:type="dxa"/>
            <w:vMerge w:val="continue"/>
            <w:noWrap w:val="0"/>
            <w:vAlign w:val="top"/>
          </w:tcPr>
          <w:p>
            <w:pPr>
              <w:rPr>
                <w:rFonts w:ascii="Calibri" w:hAnsi="Calibri" w:eastAsia="宋体" w:cs="Times New Roman"/>
                <w:kern w:val="0"/>
                <w:sz w:val="20"/>
                <w:szCs w:val="21"/>
              </w:rPr>
            </w:pPr>
          </w:p>
        </w:tc>
        <w:tc>
          <w:tcPr>
            <w:tcW w:w="861"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效益指标（30分）</w:t>
            </w:r>
          </w:p>
        </w:tc>
        <w:tc>
          <w:tcPr>
            <w:tcW w:w="153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经济效益指标</w:t>
            </w:r>
          </w:p>
        </w:tc>
        <w:tc>
          <w:tcPr>
            <w:tcW w:w="1054"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78"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3"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29"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5"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尚未压减支出成本</w:t>
            </w:r>
          </w:p>
        </w:tc>
        <w:tc>
          <w:tcPr>
            <w:tcW w:w="828" w:type="dxa"/>
            <w:noWrap w:val="0"/>
            <w:vAlign w:val="top"/>
          </w:tcPr>
          <w:p>
            <w:pPr>
              <w:rPr>
                <w:rFonts w:hint="eastAsia" w:ascii="Calibri" w:hAnsi="Calibri" w:cs="Times New Roman"/>
                <w:kern w:val="0"/>
                <w:sz w:val="15"/>
                <w:szCs w:val="15"/>
                <w:lang w:eastAsia="zh-CN"/>
              </w:rPr>
            </w:pPr>
            <w:r>
              <w:rPr>
                <w:rFonts w:hint="eastAsia" w:ascii="Calibri" w:hAnsi="Calibri" w:cs="Times New Roman"/>
                <w:kern w:val="0"/>
                <w:sz w:val="15"/>
                <w:szCs w:val="15"/>
                <w:lang w:val="en-US" w:eastAsia="zh-CN"/>
              </w:rPr>
              <w:t>不断降低各项支出成本，提高机关服务效能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801" w:type="dxa"/>
            <w:vMerge w:val="continue"/>
            <w:noWrap w:val="0"/>
            <w:vAlign w:val="top"/>
          </w:tcPr>
          <w:p>
            <w:pPr>
              <w:rPr>
                <w:rFonts w:ascii="Calibri" w:hAnsi="Calibri" w:eastAsia="宋体" w:cs="Times New Roman"/>
                <w:kern w:val="0"/>
                <w:sz w:val="20"/>
                <w:szCs w:val="21"/>
              </w:rPr>
            </w:pPr>
          </w:p>
        </w:tc>
        <w:tc>
          <w:tcPr>
            <w:tcW w:w="861" w:type="dxa"/>
            <w:vMerge w:val="continue"/>
            <w:noWrap w:val="0"/>
            <w:vAlign w:val="top"/>
          </w:tcPr>
          <w:p>
            <w:pPr>
              <w:rPr>
                <w:rFonts w:ascii="Calibri" w:hAnsi="Calibri" w:eastAsia="宋体" w:cs="Times New Roman"/>
                <w:kern w:val="0"/>
                <w:sz w:val="20"/>
                <w:szCs w:val="21"/>
              </w:rPr>
            </w:pPr>
          </w:p>
        </w:tc>
        <w:tc>
          <w:tcPr>
            <w:tcW w:w="153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社会效益指标</w:t>
            </w:r>
          </w:p>
        </w:tc>
        <w:tc>
          <w:tcPr>
            <w:tcW w:w="1054"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78"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3"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29"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5" w:type="dxa"/>
            <w:noWrap w:val="0"/>
            <w:vAlign w:val="top"/>
          </w:tcPr>
          <w:p>
            <w:pPr>
              <w:rPr>
                <w:rFonts w:ascii="Calibri" w:hAnsi="Calibri" w:eastAsia="宋体" w:cs="Times New Roman"/>
                <w:kern w:val="0"/>
                <w:sz w:val="20"/>
                <w:szCs w:val="21"/>
              </w:rPr>
            </w:pPr>
          </w:p>
        </w:tc>
        <w:tc>
          <w:tcPr>
            <w:tcW w:w="828"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801" w:type="dxa"/>
            <w:vMerge w:val="continue"/>
            <w:noWrap w:val="0"/>
            <w:vAlign w:val="top"/>
          </w:tcPr>
          <w:p>
            <w:pPr>
              <w:rPr>
                <w:rFonts w:ascii="Calibri" w:hAnsi="Calibri" w:eastAsia="宋体" w:cs="Times New Roman"/>
                <w:kern w:val="0"/>
                <w:sz w:val="20"/>
                <w:szCs w:val="21"/>
              </w:rPr>
            </w:pPr>
          </w:p>
        </w:tc>
        <w:tc>
          <w:tcPr>
            <w:tcW w:w="861" w:type="dxa"/>
            <w:vMerge w:val="continue"/>
            <w:noWrap w:val="0"/>
            <w:vAlign w:val="top"/>
          </w:tcPr>
          <w:p>
            <w:pPr>
              <w:rPr>
                <w:rFonts w:ascii="Calibri" w:hAnsi="Calibri" w:eastAsia="宋体" w:cs="Times New Roman"/>
                <w:kern w:val="0"/>
                <w:sz w:val="20"/>
                <w:szCs w:val="21"/>
              </w:rPr>
            </w:pPr>
          </w:p>
        </w:tc>
        <w:tc>
          <w:tcPr>
            <w:tcW w:w="153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生态效益指标</w:t>
            </w:r>
          </w:p>
        </w:tc>
        <w:tc>
          <w:tcPr>
            <w:tcW w:w="1054"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78"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3"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29"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5" w:type="dxa"/>
            <w:noWrap w:val="0"/>
            <w:vAlign w:val="top"/>
          </w:tcPr>
          <w:p>
            <w:pPr>
              <w:rPr>
                <w:rFonts w:ascii="Calibri" w:hAnsi="Calibri" w:eastAsia="宋体" w:cs="Times New Roman"/>
                <w:kern w:val="0"/>
                <w:sz w:val="20"/>
                <w:szCs w:val="21"/>
              </w:rPr>
            </w:pPr>
          </w:p>
        </w:tc>
        <w:tc>
          <w:tcPr>
            <w:tcW w:w="828"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801" w:type="dxa"/>
            <w:vMerge w:val="continue"/>
            <w:noWrap w:val="0"/>
            <w:vAlign w:val="top"/>
          </w:tcPr>
          <w:p>
            <w:pPr>
              <w:rPr>
                <w:rFonts w:ascii="Calibri" w:hAnsi="Calibri" w:eastAsia="宋体" w:cs="Times New Roman"/>
                <w:kern w:val="0"/>
                <w:sz w:val="20"/>
                <w:szCs w:val="21"/>
              </w:rPr>
            </w:pPr>
          </w:p>
        </w:tc>
        <w:tc>
          <w:tcPr>
            <w:tcW w:w="861" w:type="dxa"/>
            <w:vMerge w:val="continue"/>
            <w:noWrap w:val="0"/>
            <w:vAlign w:val="top"/>
          </w:tcPr>
          <w:p>
            <w:pPr>
              <w:rPr>
                <w:rFonts w:ascii="Calibri" w:hAnsi="Calibri" w:eastAsia="宋体" w:cs="Times New Roman"/>
                <w:kern w:val="0"/>
                <w:sz w:val="20"/>
                <w:szCs w:val="21"/>
              </w:rPr>
            </w:pPr>
          </w:p>
        </w:tc>
        <w:tc>
          <w:tcPr>
            <w:tcW w:w="153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可持续影响指标</w:t>
            </w:r>
          </w:p>
        </w:tc>
        <w:tc>
          <w:tcPr>
            <w:tcW w:w="1054"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78"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3"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29"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5"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项目使用年限需加强</w:t>
            </w:r>
          </w:p>
        </w:tc>
        <w:tc>
          <w:tcPr>
            <w:tcW w:w="828"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增加使用年限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trPr>
        <w:tc>
          <w:tcPr>
            <w:tcW w:w="801" w:type="dxa"/>
            <w:vMerge w:val="continue"/>
            <w:noWrap w:val="0"/>
            <w:vAlign w:val="top"/>
          </w:tcPr>
          <w:p>
            <w:pPr>
              <w:rPr>
                <w:rFonts w:ascii="Calibri" w:hAnsi="Calibri" w:eastAsia="宋体" w:cs="Times New Roman"/>
                <w:kern w:val="0"/>
                <w:sz w:val="20"/>
                <w:szCs w:val="21"/>
              </w:rPr>
            </w:pPr>
          </w:p>
        </w:tc>
        <w:tc>
          <w:tcPr>
            <w:tcW w:w="86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满意度指标（10分）</w:t>
            </w:r>
          </w:p>
        </w:tc>
        <w:tc>
          <w:tcPr>
            <w:tcW w:w="153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服务对象满意度指标</w:t>
            </w:r>
          </w:p>
        </w:tc>
        <w:tc>
          <w:tcPr>
            <w:tcW w:w="1054"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78"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3"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29"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5"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项目使用年限需提高</w:t>
            </w:r>
          </w:p>
        </w:tc>
        <w:tc>
          <w:tcPr>
            <w:tcW w:w="828"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提高项目使用年限，服务群众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4249" w:type="dxa"/>
            <w:gridSpan w:val="4"/>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总分</w:t>
            </w:r>
          </w:p>
        </w:tc>
        <w:tc>
          <w:tcPr>
            <w:tcW w:w="1078"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100</w:t>
            </w:r>
          </w:p>
        </w:tc>
        <w:tc>
          <w:tcPr>
            <w:tcW w:w="803"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629"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1145" w:type="dxa"/>
            <w:noWrap w:val="0"/>
            <w:vAlign w:val="top"/>
          </w:tcPr>
          <w:p>
            <w:pPr>
              <w:rPr>
                <w:rFonts w:ascii="Calibri" w:hAnsi="Calibri" w:eastAsia="宋体" w:cs="Times New Roman"/>
                <w:kern w:val="0"/>
                <w:sz w:val="20"/>
                <w:szCs w:val="21"/>
              </w:rPr>
            </w:pPr>
          </w:p>
        </w:tc>
        <w:tc>
          <w:tcPr>
            <w:tcW w:w="828" w:type="dxa"/>
            <w:noWrap w:val="0"/>
            <w:vAlign w:val="top"/>
          </w:tcPr>
          <w:p>
            <w:pPr>
              <w:rPr>
                <w:rFonts w:ascii="Calibri" w:hAnsi="Calibri"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YTY2YzNkY2ZhM2U0NmQ3OWYyMzYxY2NmYmNiYWIifQ=="/>
  </w:docVars>
  <w:rsids>
    <w:rsidRoot w:val="4E762EA2"/>
    <w:rsid w:val="01072128"/>
    <w:rsid w:val="029415CA"/>
    <w:rsid w:val="02B074AC"/>
    <w:rsid w:val="02D67718"/>
    <w:rsid w:val="04172B32"/>
    <w:rsid w:val="049E5F2D"/>
    <w:rsid w:val="04D234CC"/>
    <w:rsid w:val="068A115D"/>
    <w:rsid w:val="08EE6E9A"/>
    <w:rsid w:val="091575C1"/>
    <w:rsid w:val="0A38126A"/>
    <w:rsid w:val="0D212044"/>
    <w:rsid w:val="0D981B99"/>
    <w:rsid w:val="1DBC46B6"/>
    <w:rsid w:val="1E854FF8"/>
    <w:rsid w:val="1F451168"/>
    <w:rsid w:val="1FD61CDA"/>
    <w:rsid w:val="20EE7FD1"/>
    <w:rsid w:val="27174C5C"/>
    <w:rsid w:val="27C070A1"/>
    <w:rsid w:val="2A66642C"/>
    <w:rsid w:val="2D7619CB"/>
    <w:rsid w:val="301C5CFE"/>
    <w:rsid w:val="302D6EF5"/>
    <w:rsid w:val="34F23E7A"/>
    <w:rsid w:val="36EB0E1B"/>
    <w:rsid w:val="37270EEB"/>
    <w:rsid w:val="39B81D58"/>
    <w:rsid w:val="3A5B2563"/>
    <w:rsid w:val="3B7B47DC"/>
    <w:rsid w:val="3C102C2A"/>
    <w:rsid w:val="3D9A01AD"/>
    <w:rsid w:val="3DFB5B14"/>
    <w:rsid w:val="4066497A"/>
    <w:rsid w:val="4164290D"/>
    <w:rsid w:val="42044568"/>
    <w:rsid w:val="429F2B9E"/>
    <w:rsid w:val="45EB5DD1"/>
    <w:rsid w:val="46E90244"/>
    <w:rsid w:val="4C8A7A5D"/>
    <w:rsid w:val="4E6F22EF"/>
    <w:rsid w:val="4E762EA2"/>
    <w:rsid w:val="50A67D00"/>
    <w:rsid w:val="51AA31F0"/>
    <w:rsid w:val="56BF531E"/>
    <w:rsid w:val="56F00EA2"/>
    <w:rsid w:val="5AC83A0F"/>
    <w:rsid w:val="5B3D77C1"/>
    <w:rsid w:val="5D1470E9"/>
    <w:rsid w:val="5DFC276E"/>
    <w:rsid w:val="63344D83"/>
    <w:rsid w:val="63A31D84"/>
    <w:rsid w:val="64122457"/>
    <w:rsid w:val="64903E6E"/>
    <w:rsid w:val="64DB000A"/>
    <w:rsid w:val="65C1496A"/>
    <w:rsid w:val="667179CD"/>
    <w:rsid w:val="66FD2697"/>
    <w:rsid w:val="67D839B8"/>
    <w:rsid w:val="69346F3E"/>
    <w:rsid w:val="6A7949AA"/>
    <w:rsid w:val="6AC41FD2"/>
    <w:rsid w:val="6B8A6D77"/>
    <w:rsid w:val="6D94212F"/>
    <w:rsid w:val="6F676BBC"/>
    <w:rsid w:val="70AC59E2"/>
    <w:rsid w:val="71105D27"/>
    <w:rsid w:val="71416653"/>
    <w:rsid w:val="73004942"/>
    <w:rsid w:val="74FF1C03"/>
    <w:rsid w:val="755B2DC5"/>
    <w:rsid w:val="77197D0F"/>
    <w:rsid w:val="7803238B"/>
    <w:rsid w:val="79D87EDF"/>
    <w:rsid w:val="7E01111B"/>
    <w:rsid w:val="7EC65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网格型1"/>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2427</Words>
  <Characters>2566</Characters>
  <Lines>0</Lines>
  <Paragraphs>0</Paragraphs>
  <TotalTime>12</TotalTime>
  <ScaleCrop>false</ScaleCrop>
  <LinksUpToDate>false</LinksUpToDate>
  <CharactersWithSpaces>2580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2022-09-21T09:13:00Z</dcterms:created>
  <dc:creator>Administrator</dc:creator>
  <cp:lastModifiedBy>Administrator</cp:lastModifiedBy>
  <dcterms:modified xsi:type="dcterms:W3CDTF">2023-12-25T02:55:11Z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y fmtid="{D5CDD505-2E9C-101B-9397-08002B2CF9AE}" pid="3" name="ICV">
    <vt:lpwstr>E8004FF9B4DB499C93F39DF193F90103</vt:lpwstr>
  </property>
</Properties>
</file>