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财政局瓜里财政所整体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资源县财政局瓜里财政所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瓜里财政所整体支出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钟连生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 xml:space="preserve">  4489015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资源县财政局瓜里财政所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 w:eastAsiaTheme="minorEastAsia"/>
                <w:sz w:val="15"/>
                <w:szCs w:val="15"/>
              </w:rPr>
              <w:t>完成上级主管部门交代的事项，负责全乡收支管理工作，确保全乡收支平衡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保证财政资金使用到位，在制度范围内规范使用。</w:t>
            </w: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职工履行各自职能，认真做好本职工作，服务群众；认真负责地代理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11个村的村级财务、村集体经济。</w:t>
            </w:r>
            <w:r>
              <w:rPr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聘请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91.74万元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2.23万元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项目支出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both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tabs>
                <w:tab w:val="center" w:pos="1911"/>
              </w:tabs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15"/>
                <w:szCs w:val="15"/>
                <w:lang w:val="en-US" w:eastAsia="zh-CN" w:bidi="ar-SA"/>
              </w:rPr>
              <w:t>提高财政预算执行水平，满足经济需求，提升财政资金使用质量（≥**%）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15"/>
                <w:szCs w:val="15"/>
                <w:lang w:val="en-US" w:eastAsia="zh-CN" w:bidi="ar-SA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指标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服务对象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WE5NGQ0MmRlYjM1MWIyYmNlZTA1ODg1MjY1MTE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9B657B9"/>
    <w:rsid w:val="3C0E18CB"/>
    <w:rsid w:val="41E314F2"/>
    <w:rsid w:val="43A35D9D"/>
    <w:rsid w:val="44357BD3"/>
    <w:rsid w:val="45862102"/>
    <w:rsid w:val="5DA50AD8"/>
    <w:rsid w:val="6BE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740</Words>
  <Characters>811</Characters>
  <Lines>4</Lines>
  <Paragraphs>1</Paragraphs>
  <TotalTime>187</TotalTime>
  <ScaleCrop>false</ScaleCrop>
  <LinksUpToDate>false</LinksUpToDate>
  <CharactersWithSpaces>940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了了</cp:lastModifiedBy>
  <dcterms:modified xsi:type="dcterms:W3CDTF">2023-01-29T13:13:00Z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D839BE67E13349598F550656F48DF993</vt:lpwstr>
  </property>
</Properties>
</file>