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项目绩效目标申报批复表</w:t>
      </w:r>
    </w:p>
    <w:tbl>
      <w:tblPr>
        <w:tblStyle w:val="4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绩效目标申报单位（20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</w:rPr>
              <w:t>年度）：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资源县财政局河口财政所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河口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1700" w:type="dxa"/>
          </w:tcPr>
          <w:p>
            <w:pPr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莫孝虎</w:t>
            </w:r>
          </w:p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7" w:type="dxa"/>
            <w:vAlign w:val="top"/>
          </w:tcPr>
          <w:p>
            <w:pPr>
              <w:spacing w:after="0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河口财政所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资金情况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目标1：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目标4：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完成乡党委政府交办的事项。</w:t>
            </w:r>
          </w:p>
          <w:p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目标5：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Theme="minorEastAsia"/>
                <w:sz w:val="20"/>
                <w:szCs w:val="20"/>
              </w:rPr>
              <w:t>完成综改项目绩效申报及工程质量监督。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单位职工总人数</w:t>
            </w:r>
            <w:r>
              <w:rPr>
                <w:rFonts w:hint="eastAsia" w:eastAsiaTheme="minorEastAsia"/>
                <w:sz w:val="18"/>
                <w:szCs w:val="18"/>
              </w:rPr>
              <w:t>（≥**人）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Theme="minorEastAsia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Theme="minorEastAsia"/>
                <w:sz w:val="18"/>
                <w:szCs w:val="18"/>
              </w:rPr>
              <w:t>骋请</w:t>
            </w:r>
            <w:r>
              <w:rPr>
                <w:rFonts w:eastAsiaTheme="minorEastAsia"/>
                <w:sz w:val="18"/>
                <w:szCs w:val="18"/>
              </w:rPr>
              <w:t>人数</w:t>
            </w:r>
            <w:r>
              <w:rPr>
                <w:rFonts w:hint="eastAsia" w:eastAsiaTheme="minorEastAsia"/>
                <w:sz w:val="18"/>
                <w:szCs w:val="18"/>
              </w:rPr>
              <w:t>（≥**人）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保障职工工资（≥**%）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指标2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工资福利支出（≥**%）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指标3：</w:t>
            </w:r>
            <w:r>
              <w:rPr>
                <w:rFonts w:hint="eastAsia" w:eastAsiaTheme="minorEastAsia"/>
                <w:sz w:val="18"/>
                <w:szCs w:val="18"/>
              </w:rPr>
              <w:t>资金及时拨付率（≥**%）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指标1：</w:t>
            </w:r>
            <w:r>
              <w:rPr>
                <w:rFonts w:eastAsiaTheme="minorEastAsia"/>
                <w:sz w:val="18"/>
                <w:szCs w:val="18"/>
              </w:rPr>
              <w:t>上级专项转移支付资金使用年限</w:t>
            </w:r>
            <w:r>
              <w:rPr>
                <w:rFonts w:hint="eastAsia" w:eastAsiaTheme="minorEastAsia"/>
                <w:sz w:val="18"/>
                <w:szCs w:val="18"/>
              </w:rPr>
              <w:t>（≥**年）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指标2：</w:t>
            </w:r>
            <w:r>
              <w:rPr>
                <w:rFonts w:eastAsiaTheme="minorEastAsia"/>
                <w:sz w:val="18"/>
                <w:szCs w:val="18"/>
              </w:rPr>
              <w:t>县本级资金使用年限</w:t>
            </w:r>
            <w:r>
              <w:rPr>
                <w:rFonts w:hint="eastAsia" w:eastAsiaTheme="minorEastAsia"/>
                <w:sz w:val="18"/>
                <w:szCs w:val="18"/>
              </w:rPr>
              <w:t>（≥**年）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≤</w:t>
            </w:r>
            <w:r>
              <w:rPr>
                <w:rFonts w:hint="eastAsia" w:eastAsiaTheme="minorEastAsia"/>
                <w:sz w:val="18"/>
                <w:szCs w:val="18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指标3：</w:t>
            </w:r>
            <w:r>
              <w:rPr>
                <w:rFonts w:hint="eastAsia" w:eastAsiaTheme="minorEastAsia"/>
                <w:sz w:val="18"/>
                <w:szCs w:val="18"/>
              </w:rPr>
              <w:t>按年度完成率（≥**%）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 xml:space="preserve">工资福利支出 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指标2：</w:t>
            </w:r>
            <w:r>
              <w:rPr>
                <w:rFonts w:hint="eastAsia" w:eastAsiaTheme="minorEastAsia"/>
                <w:sz w:val="18"/>
                <w:szCs w:val="18"/>
              </w:rPr>
              <w:t>商品和服务支出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top"/>
          </w:tcPr>
          <w:p>
            <w:pPr>
              <w:spacing w:after="0"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指:3：</w:t>
            </w:r>
            <w:r>
              <w:rPr>
                <w:rFonts w:hint="eastAsia" w:eastAsiaTheme="minorEastAsia"/>
                <w:sz w:val="18"/>
                <w:szCs w:val="18"/>
              </w:rPr>
              <w:t>对个人和家庭的补助</w:t>
            </w:r>
          </w:p>
        </w:tc>
        <w:tc>
          <w:tcPr>
            <w:tcW w:w="1700" w:type="dxa"/>
            <w:vAlign w:val="top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收支平衡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保障职工经济来源及更好为社会服务</w:t>
            </w:r>
          </w:p>
        </w:tc>
        <w:tc>
          <w:tcPr>
            <w:tcW w:w="1700" w:type="dxa"/>
            <w:vAlign w:val="top"/>
          </w:tcPr>
          <w:p>
            <w:pPr>
              <w:widowControl w:val="0"/>
              <w:spacing w:after="0" w:line="280" w:lineRule="exact"/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单位运营可持续发展能力</w:t>
            </w:r>
            <w:r>
              <w:rPr>
                <w:rFonts w:hint="eastAsia" w:eastAsiaTheme="minorEastAsia"/>
                <w:sz w:val="18"/>
                <w:szCs w:val="18"/>
              </w:rPr>
              <w:t>（≥**%）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Theme="minorEastAsia"/>
                <w:sz w:val="18"/>
                <w:szCs w:val="18"/>
              </w:rPr>
              <w:t>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Theme="minorEastAsia"/>
                <w:sz w:val="18"/>
                <w:szCs w:val="18"/>
              </w:rPr>
              <w:t>职工</w:t>
            </w:r>
            <w:r>
              <w:rPr>
                <w:rFonts w:eastAsiaTheme="minorEastAsia"/>
                <w:sz w:val="18"/>
                <w:szCs w:val="18"/>
              </w:rPr>
              <w:t>满意度</w:t>
            </w:r>
            <w:r>
              <w:rPr>
                <w:rFonts w:hint="eastAsia" w:eastAsiaTheme="minorEastAsia"/>
                <w:sz w:val="18"/>
                <w:szCs w:val="18"/>
              </w:rPr>
              <w:t>（≥**%）</w:t>
            </w:r>
          </w:p>
        </w:tc>
        <w:tc>
          <w:tcPr>
            <w:tcW w:w="1700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财  （  ）号</w:t>
            </w: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   月  日</w:t>
            </w:r>
          </w:p>
        </w:tc>
      </w:tr>
    </w:tbl>
    <w:p/>
    <w:sectPr>
      <w:pgSz w:w="11906" w:h="16838"/>
      <w:pgMar w:top="607" w:right="607" w:bottom="720" w:left="15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47991"/>
    <w:rsid w:val="56E46B8C"/>
    <w:rsid w:val="756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2021-05-16T10:35:00Z</dcterms:created>
  <dc:creator>Administrator</dc:creator>
  <cp:lastModifiedBy>Administrator</cp:lastModifiedBy>
  <dcterms:modified xsi:type="dcterms:W3CDTF">2021-05-16T11:19:07Z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28EBBA9FD7E84EA3802D186B2C9E9F51</vt:lpwstr>
  </property>
</Properties>
</file>