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资源县发展和改革局</w:t>
      </w:r>
      <w:r>
        <w:rPr>
          <w:rFonts w:hint="eastAsia"/>
          <w:b/>
          <w:sz w:val="28"/>
          <w:szCs w:val="28"/>
        </w:rPr>
        <w:t>整体支出绩效目标申报表</w:t>
      </w:r>
    </w:p>
    <w:tbl>
      <w:tblPr>
        <w:tblStyle w:val="7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年度）：资源县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2021年</w:t>
            </w:r>
            <w:r>
              <w:rPr>
                <w:rFonts w:hint="eastAsia"/>
                <w:kern w:val="0"/>
                <w:sz w:val="15"/>
                <w:szCs w:val="15"/>
              </w:rPr>
              <w:t>部门整体支出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康忠友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4311040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jc w:val="both"/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58.42万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58.42万元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331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目标1：合理使用办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公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经费，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严格控制三公两费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目标2：狠抓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发展和改革局各项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管理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扎实推进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国民经济规划、固定资产投资，“十四五”规划、营商环境等各项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工作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的开展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单位职工总人数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35个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聘请人数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下属机构总数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职工按时按量完成工作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办公环境安全性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上级专项转移支付资金使用年限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县本级资金使用年限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≤1年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资金及时拨付率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营商环境工作经费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default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9.05万元/年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生态办工作经费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12.57万元/年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节能减排工作经费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7万元/年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服务业工作经费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default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6万元/年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价格认证、涉案价格认定工作经费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default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5.4万元/年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以工代赈工作经费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default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default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...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做好国民经济综合和发展规划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服务率</w:t>
            </w: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做好价格监测及收费管理工作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服务率</w:t>
            </w: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优化营商环境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服务率</w:t>
            </w: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...</w:t>
            </w:r>
          </w:p>
        </w:tc>
        <w:tc>
          <w:tcPr>
            <w:tcW w:w="1459" w:type="dxa"/>
            <w:vAlign w:val="top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职工对工作环境满意度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职工对资金分配满意度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-SA"/>
              </w:rPr>
              <w:t>群众对职工工作满意度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财政业务股室审核意见批复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/>
                <w:b/>
                <w:kern w:val="0"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  <w:docVar w:name="KSO_WPS_MARK_KEY" w:val="350d06eb-fcc0-4954-a940-bd422a058824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B55697D"/>
    <w:rsid w:val="23D84232"/>
    <w:rsid w:val="294A1D03"/>
    <w:rsid w:val="31996A33"/>
    <w:rsid w:val="6D3C2A5C"/>
    <w:rsid w:val="6E2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663</Words>
  <Characters>743</Characters>
  <Lines>8</Lines>
  <Paragraphs>2</Paragraphs>
  <TotalTime>0</TotalTime>
  <ScaleCrop>false</ScaleCrop>
  <LinksUpToDate>false</LinksUpToDate>
  <CharactersWithSpaces>866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2024-04-29T09:30:31Z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EDC2E720F1AB4FA7BD24EC5005FD2A6F</vt:lpwstr>
  </property>
</Properties>
</file>