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Cs w:val="21"/>
        </w:rPr>
      </w:pPr>
      <w:r>
        <w:rPr>
          <w:rFonts w:hint="eastAsia" w:asciiTheme="minorHAnsi" w:hAnsiTheme="minorHAnsi" w:eastAsiaTheme="minorEastAsia" w:cstheme="minorBidi"/>
          <w:b/>
          <w:sz w:val="24"/>
          <w:szCs w:val="24"/>
        </w:rPr>
        <w:t>绩效目标申报表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75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绩效目标申报单位（20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年度）：</w:t>
            </w: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戏曲进校园、进乡村经费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eastAsia="zh-CN"/>
              </w:rPr>
              <w:t>刘宗秋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139 7733 7199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  <w:tc>
          <w:tcPr>
            <w:tcW w:w="3511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8"/>
                <w:lang w:val="en-US" w:eastAsia="zh-CN"/>
              </w:rPr>
              <w:t>中共资源县委宣传部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/>
              </w:rPr>
              <w:t>成功开展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戏曲进校园、进乡村等系列活动</w:t>
            </w: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</w:rPr>
              <w:t>目标2：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bookmarkStart w:id="0" w:name="_GoBack" w:colFirst="2" w:colLast="2"/>
          </w:p>
        </w:tc>
        <w:tc>
          <w:tcPr>
            <w:tcW w:w="1755" w:type="dxa"/>
            <w:vMerge w:val="restart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戏曲进乡村、进校园覆盖率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戏曲进校园和乡村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各项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工作正常开展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完成戏曲进乡村、进校园任务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戏曲进校园、进乡村各项工作经费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丰富群众的精神文化生活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传播戏曲文化，丰富群众的生活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75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1"/>
                <w:szCs w:val="21"/>
                <w:lang w:val="en-US" w:eastAsia="zh-CN"/>
              </w:rPr>
              <w:t>广大群众、师生</w:t>
            </w:r>
          </w:p>
        </w:tc>
        <w:tc>
          <w:tcPr>
            <w:tcW w:w="1758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注：1、“其他资金”是指与财政拨款共同用于同一脱贫攻坚项目的单位自有资金、社会资金等。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rFonts w:asciiTheme="minorHAnsi" w:hAnsiTheme="minorHAnsi" w:eastAsiaTheme="minorEastAsia" w:cstheme="minorBidi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DAE546F"/>
    <w:rsid w:val="3E6F0508"/>
    <w:rsid w:val="761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C6C264-4CE2-4327-BDDA-7333DC814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1348</Words>
  <Characters>7685</Characters>
  <Lines>64</Lines>
  <Paragraphs>18</Paragraphs>
  <TotalTime>0</TotalTime>
  <ScaleCrop>false</ScaleCrop>
  <LinksUpToDate>false</LinksUpToDate>
  <CharactersWithSpaces>9015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pc</cp:lastModifiedBy>
  <cp:lastPrinted>2020-04-23T01:40:00Z</cp:lastPrinted>
  <dcterms:modified xsi:type="dcterms:W3CDTF">2021-05-13T09:51:15Z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2CC1EFE67D8C4432ABDBD0612D88F017</vt:lpwstr>
  </property>
</Properties>
</file>