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资源县发展和改革局整体支出绩效目标申报表</w:t>
      </w:r>
    </w:p>
    <w:tbl>
      <w:tblPr>
        <w:tblStyle w:val="7"/>
        <w:tblW w:w="9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043"/>
        <w:gridCol w:w="1310"/>
        <w:gridCol w:w="438"/>
        <w:gridCol w:w="1365"/>
        <w:gridCol w:w="676"/>
        <w:gridCol w:w="204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9586" w:type="dxa"/>
            <w:gridSpan w:val="8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绩效目标申报单位（2020年度）：资源县发展和改革局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255" w:type="dxa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2353" w:type="dxa"/>
            <w:gridSpan w:val="2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2020年部门整体支出</w:t>
            </w:r>
          </w:p>
        </w:tc>
        <w:tc>
          <w:tcPr>
            <w:tcW w:w="2479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单位负责人及联系电话</w:t>
            </w:r>
          </w:p>
        </w:tc>
        <w:tc>
          <w:tcPr>
            <w:tcW w:w="3499" w:type="dxa"/>
            <w:gridSpan w:val="2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康忠友4311040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255" w:type="dxa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2353" w:type="dxa"/>
            <w:gridSpan w:val="2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资源县财政局</w:t>
            </w:r>
          </w:p>
        </w:tc>
        <w:tc>
          <w:tcPr>
            <w:tcW w:w="2479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3499" w:type="dxa"/>
            <w:gridSpan w:val="2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资源县发展和改革局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255" w:type="dxa"/>
            <w:vMerge w:val="restart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资金情况</w:t>
            </w:r>
          </w:p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4156" w:type="dxa"/>
            <w:gridSpan w:val="4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年度资金总额：</w:t>
            </w:r>
          </w:p>
        </w:tc>
        <w:tc>
          <w:tcPr>
            <w:tcW w:w="4175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83万元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4156" w:type="dxa"/>
            <w:gridSpan w:val="4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其中：财政拨款</w:t>
            </w:r>
          </w:p>
        </w:tc>
        <w:tc>
          <w:tcPr>
            <w:tcW w:w="4175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83万元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4156" w:type="dxa"/>
            <w:gridSpan w:val="4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      其他资金</w:t>
            </w:r>
          </w:p>
        </w:tc>
        <w:tc>
          <w:tcPr>
            <w:tcW w:w="4175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255" w:type="dxa"/>
            <w:vMerge w:val="restart"/>
            <w:vAlign w:val="center"/>
          </w:tcPr>
          <w:p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总体目标</w:t>
            </w:r>
          </w:p>
        </w:tc>
        <w:tc>
          <w:tcPr>
            <w:tcW w:w="8331" w:type="dxa"/>
            <w:gridSpan w:val="7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8331" w:type="dxa"/>
            <w:gridSpan w:val="7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目标1：合理使用办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公</w:t>
            </w: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经费，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严格控制三公两费</w:t>
            </w:r>
          </w:p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目标2：狠抓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发展和改革局各项</w:t>
            </w: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管理、扎实推进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国民经济规划、固定资产投资，“十四五”规划、营商环境等各项</w:t>
            </w: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工作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的开展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25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绩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效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标</w:t>
            </w:r>
          </w:p>
        </w:tc>
        <w:tc>
          <w:tcPr>
            <w:tcW w:w="10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748" w:type="dxa"/>
            <w:gridSpan w:val="2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4081" w:type="dxa"/>
            <w:gridSpan w:val="3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459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4081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单位职工总人数</w:t>
            </w:r>
          </w:p>
        </w:tc>
        <w:tc>
          <w:tcPr>
            <w:tcW w:w="1459" w:type="dxa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ascii="Calibri" w:hAnsi="Calibri" w:cs="Times New Roman"/>
                <w:kern w:val="0"/>
                <w:sz w:val="18"/>
                <w:szCs w:val="18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65个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  <w:lang w:val="en-US" w:eastAsia="zh-CN"/>
              </w:rPr>
              <w:t>聘请</w:t>
            </w:r>
            <w:bookmarkStart w:id="0" w:name="_GoBack"/>
            <w:bookmarkEnd w:id="0"/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人数</w:t>
            </w:r>
          </w:p>
        </w:tc>
        <w:tc>
          <w:tcPr>
            <w:tcW w:w="1459" w:type="dxa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ascii="Calibri" w:hAnsi="Calibri" w:cs="Times New Roman"/>
                <w:kern w:val="0"/>
                <w:sz w:val="18"/>
                <w:szCs w:val="18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8个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下属机构总数</w:t>
            </w:r>
          </w:p>
        </w:tc>
        <w:tc>
          <w:tcPr>
            <w:tcW w:w="1459" w:type="dxa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ascii="Calibri" w:hAnsi="Calibri" w:cs="Times New Roman"/>
                <w:kern w:val="0"/>
                <w:sz w:val="18"/>
                <w:szCs w:val="18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8个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4081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职工按时按量完成工作</w:t>
            </w:r>
          </w:p>
        </w:tc>
        <w:tc>
          <w:tcPr>
            <w:tcW w:w="1459" w:type="dxa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ascii="Calibri" w:hAnsi="Calibri" w:cs="Times New Roman"/>
                <w:kern w:val="0"/>
                <w:sz w:val="18"/>
                <w:szCs w:val="18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办公环境安全性</w:t>
            </w:r>
          </w:p>
        </w:tc>
        <w:tc>
          <w:tcPr>
            <w:tcW w:w="1459" w:type="dxa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ascii="Calibri" w:hAnsi="Calibri" w:cs="Times New Roman"/>
                <w:kern w:val="0"/>
                <w:sz w:val="18"/>
                <w:szCs w:val="18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4081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上级专项转移支付资金使用年限</w:t>
            </w:r>
          </w:p>
        </w:tc>
        <w:tc>
          <w:tcPr>
            <w:tcW w:w="1459" w:type="dxa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县本级资金使用年限</w:t>
            </w:r>
          </w:p>
        </w:tc>
        <w:tc>
          <w:tcPr>
            <w:tcW w:w="1459" w:type="dxa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≤1年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资金及时拨付率</w:t>
            </w:r>
          </w:p>
        </w:tc>
        <w:tc>
          <w:tcPr>
            <w:tcW w:w="1459" w:type="dxa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100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4081" w:type="dxa"/>
            <w:gridSpan w:val="3"/>
          </w:tcPr>
          <w:p>
            <w:pPr>
              <w:rPr>
                <w:rFonts w:ascii="Calibri" w:hAnsi="Calibri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价格服务工作经费</w:t>
            </w:r>
          </w:p>
        </w:tc>
        <w:tc>
          <w:tcPr>
            <w:tcW w:w="1459" w:type="dxa"/>
          </w:tcPr>
          <w:p>
            <w:pPr>
              <w:rPr>
                <w:rFonts w:ascii="Calibri" w:hAnsi="Calibri" w:cs="Times New Roman"/>
                <w:kern w:val="0"/>
                <w:sz w:val="18"/>
                <w:szCs w:val="18"/>
              </w:rPr>
            </w:pPr>
            <w:r>
              <w:rPr>
                <w:rFonts w:ascii="Calibri" w:hAnsi="Calibri" w:cs="Times New Roman"/>
                <w:kern w:val="0"/>
                <w:sz w:val="18"/>
                <w:szCs w:val="18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10万元/年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rPr>
                <w:rFonts w:ascii="Calibri" w:hAnsi="Calibri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国动办工作经费</w:t>
            </w:r>
          </w:p>
        </w:tc>
        <w:tc>
          <w:tcPr>
            <w:tcW w:w="1459" w:type="dxa"/>
          </w:tcPr>
          <w:p>
            <w:pPr>
              <w:rPr>
                <w:rFonts w:ascii="Calibri" w:hAnsi="Calibri" w:cs="Times New Roman"/>
                <w:kern w:val="0"/>
                <w:sz w:val="18"/>
                <w:szCs w:val="18"/>
              </w:rPr>
            </w:pPr>
            <w:r>
              <w:rPr>
                <w:rFonts w:ascii="Calibri" w:hAnsi="Calibri" w:cs="Times New Roman"/>
                <w:kern w:val="0"/>
                <w:sz w:val="18"/>
                <w:szCs w:val="18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2.7万元/年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rPr>
                <w:rFonts w:ascii="Calibri" w:hAnsi="Calibri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党建工作经费</w:t>
            </w:r>
          </w:p>
        </w:tc>
        <w:tc>
          <w:tcPr>
            <w:tcW w:w="1459" w:type="dxa"/>
          </w:tcPr>
          <w:p>
            <w:pPr>
              <w:rPr>
                <w:rFonts w:ascii="Calibri" w:hAnsi="Calibri" w:cs="Times New Roman"/>
                <w:kern w:val="0"/>
                <w:sz w:val="18"/>
                <w:szCs w:val="18"/>
              </w:rPr>
            </w:pPr>
            <w:r>
              <w:rPr>
                <w:rFonts w:ascii="Calibri" w:hAnsi="Calibri" w:cs="Times New Roman"/>
                <w:kern w:val="0"/>
                <w:sz w:val="18"/>
                <w:szCs w:val="18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10万元/年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rPr>
                <w:rFonts w:ascii="Calibri" w:hAnsi="Calibri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脱贫攻坚战工作经费</w:t>
            </w:r>
          </w:p>
        </w:tc>
        <w:tc>
          <w:tcPr>
            <w:tcW w:w="1459" w:type="dxa"/>
          </w:tcPr>
          <w:p>
            <w:pPr>
              <w:rPr>
                <w:rFonts w:ascii="Calibri" w:hAnsi="Calibri" w:cs="Times New Roman"/>
                <w:kern w:val="0"/>
                <w:sz w:val="18"/>
                <w:szCs w:val="18"/>
              </w:rPr>
            </w:pPr>
            <w:r>
              <w:rPr>
                <w:rFonts w:ascii="Calibri" w:hAnsi="Calibri" w:cs="Times New Roman"/>
                <w:kern w:val="0"/>
                <w:sz w:val="18"/>
                <w:szCs w:val="18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1.8万元/年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rPr>
                <w:rFonts w:ascii="Calibri" w:hAnsi="Calibri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节能减排工作经费</w:t>
            </w:r>
          </w:p>
        </w:tc>
        <w:tc>
          <w:tcPr>
            <w:tcW w:w="1459" w:type="dxa"/>
          </w:tcPr>
          <w:p>
            <w:pPr>
              <w:rPr>
                <w:rFonts w:ascii="Calibri" w:hAnsi="Calibri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rPr>
                <w:rFonts w:ascii="Calibri" w:hAnsi="Calibri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服务业工作经费采购</w:t>
            </w:r>
          </w:p>
        </w:tc>
        <w:tc>
          <w:tcPr>
            <w:tcW w:w="1459" w:type="dxa"/>
          </w:tcPr>
          <w:p>
            <w:pPr>
              <w:rPr>
                <w:rFonts w:ascii="Calibri" w:hAnsi="Calibri" w:cs="Times New Roman"/>
                <w:kern w:val="0"/>
                <w:sz w:val="18"/>
                <w:szCs w:val="18"/>
              </w:rPr>
            </w:pPr>
            <w:r>
              <w:rPr>
                <w:rFonts w:ascii="Calibri" w:hAnsi="Calibri" w:cs="Times New Roman"/>
                <w:kern w:val="0"/>
                <w:sz w:val="18"/>
                <w:szCs w:val="18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3.6万元/年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rPr>
                <w:rFonts w:hint="eastAsia" w:ascii="Calibri" w:hAnsi="Calibri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服务业工作经费</w:t>
            </w:r>
          </w:p>
        </w:tc>
        <w:tc>
          <w:tcPr>
            <w:tcW w:w="1459" w:type="dxa"/>
          </w:tcPr>
          <w:p>
            <w:pPr>
              <w:rPr>
                <w:rFonts w:ascii="Calibri" w:hAnsi="Calibri" w:cs="Times New Roman"/>
                <w:kern w:val="0"/>
                <w:sz w:val="18"/>
                <w:szCs w:val="18"/>
              </w:rPr>
            </w:pPr>
            <w:r>
              <w:rPr>
                <w:rFonts w:ascii="Calibri" w:hAnsi="Calibri" w:cs="Times New Roman"/>
                <w:kern w:val="0"/>
                <w:sz w:val="18"/>
                <w:szCs w:val="18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9万元/年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rPr>
                <w:rFonts w:hint="eastAsia" w:ascii="Calibri" w:hAnsi="Calibri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生态版工作经费采购</w:t>
            </w:r>
          </w:p>
        </w:tc>
        <w:tc>
          <w:tcPr>
            <w:tcW w:w="1459" w:type="dxa"/>
          </w:tcPr>
          <w:p>
            <w:pPr>
              <w:rPr>
                <w:rFonts w:ascii="Calibri" w:hAnsi="Calibri" w:cs="Times New Roman"/>
                <w:kern w:val="0"/>
                <w:sz w:val="18"/>
                <w:szCs w:val="18"/>
              </w:rPr>
            </w:pPr>
            <w:r>
              <w:rPr>
                <w:rFonts w:ascii="Calibri" w:hAnsi="Calibri" w:cs="Times New Roman"/>
                <w:kern w:val="0"/>
                <w:sz w:val="18"/>
                <w:szCs w:val="18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3.6万元/年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rPr>
                <w:rFonts w:hint="eastAsia" w:ascii="Calibri" w:hAnsi="Calibri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营商环境工作经费</w:t>
            </w:r>
          </w:p>
        </w:tc>
        <w:tc>
          <w:tcPr>
            <w:tcW w:w="1459" w:type="dxa"/>
          </w:tcPr>
          <w:p>
            <w:pPr>
              <w:rPr>
                <w:rFonts w:ascii="Calibri" w:hAnsi="Calibri" w:cs="Times New Roman"/>
                <w:kern w:val="0"/>
                <w:sz w:val="18"/>
                <w:szCs w:val="18"/>
              </w:rPr>
            </w:pPr>
            <w:r>
              <w:rPr>
                <w:rFonts w:ascii="Calibri" w:hAnsi="Calibri" w:cs="Times New Roman"/>
                <w:kern w:val="0"/>
                <w:sz w:val="18"/>
                <w:szCs w:val="18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7万元/年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rPr>
                <w:rFonts w:hint="eastAsia" w:ascii="Calibri" w:hAnsi="Calibri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成本监审工作经费</w:t>
            </w:r>
          </w:p>
        </w:tc>
        <w:tc>
          <w:tcPr>
            <w:tcW w:w="1459" w:type="dxa"/>
          </w:tcPr>
          <w:p>
            <w:pPr>
              <w:rPr>
                <w:rFonts w:ascii="Calibri" w:hAnsi="Calibri" w:cs="Times New Roman"/>
                <w:kern w:val="0"/>
                <w:sz w:val="18"/>
                <w:szCs w:val="18"/>
              </w:rPr>
            </w:pPr>
            <w:r>
              <w:rPr>
                <w:rFonts w:ascii="Calibri" w:hAnsi="Calibri" w:cs="Times New Roman"/>
                <w:kern w:val="0"/>
                <w:sz w:val="18"/>
                <w:szCs w:val="18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2万元/年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rPr>
                <w:rFonts w:hint="eastAsia" w:ascii="Calibri" w:hAnsi="Calibri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生态办工作经费</w:t>
            </w:r>
          </w:p>
        </w:tc>
        <w:tc>
          <w:tcPr>
            <w:tcW w:w="1459" w:type="dxa"/>
          </w:tcPr>
          <w:p>
            <w:pPr>
              <w:rPr>
                <w:rFonts w:ascii="Calibri" w:hAnsi="Calibri" w:cs="Times New Roman"/>
                <w:kern w:val="0"/>
                <w:sz w:val="18"/>
                <w:szCs w:val="18"/>
              </w:rPr>
            </w:pPr>
            <w:r>
              <w:rPr>
                <w:rFonts w:ascii="Calibri" w:hAnsi="Calibri" w:cs="Times New Roman"/>
                <w:kern w:val="0"/>
                <w:sz w:val="18"/>
                <w:szCs w:val="18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14.4万元/年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rPr>
                <w:rFonts w:hint="eastAsia" w:ascii="Calibri" w:hAnsi="Calibri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收费管理工作经费</w:t>
            </w:r>
          </w:p>
        </w:tc>
        <w:tc>
          <w:tcPr>
            <w:tcW w:w="1459" w:type="dxa"/>
          </w:tcPr>
          <w:p>
            <w:pPr>
              <w:rPr>
                <w:rFonts w:ascii="Calibri" w:hAnsi="Calibri" w:cs="Times New Roman"/>
                <w:kern w:val="0"/>
                <w:sz w:val="18"/>
                <w:szCs w:val="18"/>
              </w:rPr>
            </w:pPr>
            <w:r>
              <w:rPr>
                <w:rFonts w:ascii="Calibri" w:hAnsi="Calibri" w:cs="Times New Roman"/>
                <w:kern w:val="0"/>
                <w:sz w:val="18"/>
                <w:szCs w:val="18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5.4万元/年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rPr>
                <w:rFonts w:ascii="Calibri" w:hAnsi="Calibri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以工代赈工作经费</w:t>
            </w:r>
          </w:p>
        </w:tc>
        <w:tc>
          <w:tcPr>
            <w:tcW w:w="1459" w:type="dxa"/>
          </w:tcPr>
          <w:p>
            <w:pPr>
              <w:rPr>
                <w:rFonts w:ascii="Calibri" w:hAnsi="Calibri" w:cs="Times New Roman"/>
                <w:kern w:val="0"/>
                <w:sz w:val="18"/>
                <w:szCs w:val="18"/>
              </w:rPr>
            </w:pPr>
            <w:r>
              <w:rPr>
                <w:rFonts w:ascii="Calibri" w:hAnsi="Calibri" w:cs="Times New Roman"/>
                <w:kern w:val="0"/>
                <w:sz w:val="18"/>
                <w:szCs w:val="18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6.3万元/年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效益指标</w:t>
            </w: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4081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做好国民经济综合和发展规划</w:t>
            </w:r>
          </w:p>
        </w:tc>
        <w:tc>
          <w:tcPr>
            <w:tcW w:w="1459" w:type="dxa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服务率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做好价格监测及收费管理工作</w:t>
            </w:r>
          </w:p>
        </w:tc>
        <w:tc>
          <w:tcPr>
            <w:tcW w:w="1459" w:type="dxa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服务率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优化营商环境</w:t>
            </w:r>
          </w:p>
        </w:tc>
        <w:tc>
          <w:tcPr>
            <w:tcW w:w="1459" w:type="dxa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服务率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满意度指表</w:t>
            </w: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服务对象满意度指标</w:t>
            </w:r>
          </w:p>
        </w:tc>
        <w:tc>
          <w:tcPr>
            <w:tcW w:w="4081" w:type="dxa"/>
            <w:gridSpan w:val="3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职工对工作环境满意度</w:t>
            </w:r>
          </w:p>
        </w:tc>
        <w:tc>
          <w:tcPr>
            <w:tcW w:w="1459" w:type="dxa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95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职工对资金分配满意度</w:t>
            </w:r>
          </w:p>
        </w:tc>
        <w:tc>
          <w:tcPr>
            <w:tcW w:w="1459" w:type="dxa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95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kern w:val="0"/>
                <w:sz w:val="18"/>
                <w:szCs w:val="18"/>
              </w:rPr>
              <w:t>群众对职工工作满意度</w:t>
            </w:r>
          </w:p>
        </w:tc>
        <w:tc>
          <w:tcPr>
            <w:tcW w:w="1459" w:type="dxa"/>
          </w:tcPr>
          <w:p>
            <w:pPr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95</w:t>
            </w:r>
            <w:r>
              <w:rPr>
                <w:rFonts w:hint="eastAsia" w:ascii="Calibri" w:hAnsi="Calibri" w:cs="Times New Roman"/>
                <w:kern w:val="0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255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财政业务股室审核意见批复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资财  （  ）号</w:t>
            </w:r>
          </w:p>
        </w:tc>
        <w:tc>
          <w:tcPr>
            <w:tcW w:w="8331" w:type="dxa"/>
            <w:gridSpan w:val="7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                                    （财政公章）审核人：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586" w:type="dxa"/>
            <w:gridSpan w:val="8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注：1.“其他资金”是指与财政拨款共同用于本单位的自有资金、社会资金等。2.各单位请根据实际情况，选择适合的二级指标进行填报，并细化为三级指标和指标值。3.“财政拨款”，包括涉及的全部财政资金投入。4.</w:t>
            </w:r>
            <w:r>
              <w:rPr>
                <w:rFonts w:hint="eastAsia"/>
                <w:b/>
                <w:kern w:val="0"/>
                <w:sz w:val="15"/>
                <w:szCs w:val="15"/>
              </w:rPr>
              <w:t>本表一式三份，单位财务、财政业务股室、监督评价股各一份</w:t>
            </w:r>
          </w:p>
        </w:tc>
      </w:tr>
    </w:tbl>
    <w:p/>
    <w:sectPr>
      <w:footerReference r:id="rId3" w:type="even"/>
      <w:pgSz w:w="11906" w:h="16838"/>
      <w:pgMar w:top="1134" w:right="130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MWJkNDBkNmRlYmUxMTdlZDg5MWJjNTQ1YTI2M2EifQ=="/>
  </w:docVars>
  <w:rsids>
    <w:rsidRoot w:val="001219AC"/>
    <w:rsid w:val="001219AC"/>
    <w:rsid w:val="00123345"/>
    <w:rsid w:val="00171389"/>
    <w:rsid w:val="00232F77"/>
    <w:rsid w:val="0024763D"/>
    <w:rsid w:val="00274974"/>
    <w:rsid w:val="002D53AB"/>
    <w:rsid w:val="003A38AA"/>
    <w:rsid w:val="00430A3B"/>
    <w:rsid w:val="0043671E"/>
    <w:rsid w:val="004D6CC9"/>
    <w:rsid w:val="0063480F"/>
    <w:rsid w:val="0064497C"/>
    <w:rsid w:val="0097558A"/>
    <w:rsid w:val="00980555"/>
    <w:rsid w:val="009E34BD"/>
    <w:rsid w:val="00A35A52"/>
    <w:rsid w:val="00AF1182"/>
    <w:rsid w:val="00C4550B"/>
    <w:rsid w:val="00C762A0"/>
    <w:rsid w:val="00CA7595"/>
    <w:rsid w:val="00D233AF"/>
    <w:rsid w:val="00DC5BD1"/>
    <w:rsid w:val="00DE2A2A"/>
    <w:rsid w:val="00DF72EA"/>
    <w:rsid w:val="00E111A4"/>
    <w:rsid w:val="00E47EA1"/>
    <w:rsid w:val="00F324CB"/>
    <w:rsid w:val="00F36D31"/>
    <w:rsid w:val="00F5744A"/>
    <w:rsid w:val="00FC715C"/>
    <w:rsid w:val="0B55697D"/>
    <w:rsid w:val="23D84232"/>
    <w:rsid w:val="294A1D03"/>
    <w:rsid w:val="2EE951ED"/>
    <w:rsid w:val="4C794047"/>
    <w:rsid w:val="6D3C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7">
    <w:name w:val="网格型1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E992-14BC-4420-B8EE-537AE9FFE5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743</Words>
  <Characters>829</Characters>
  <Lines>8</Lines>
  <Paragraphs>2</Paragraphs>
  <TotalTime>61</TotalTime>
  <ScaleCrop>false</ScaleCrop>
  <LinksUpToDate>false</LinksUpToDate>
  <CharactersWithSpaces>952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2021-01-12T07:11:00Z</dcterms:created>
  <dc:creator>l</dc:creator>
  <cp:lastModifiedBy>呱太</cp:lastModifiedBy>
  <dcterms:modified xsi:type="dcterms:W3CDTF">2023-05-23T01:45:17Z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19A8548DA9A7434484AC00F7AB340EDB_13</vt:lpwstr>
  </property>
</Properties>
</file>