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tbl>
      <w:tblPr>
        <w:tblStyle w:val="4"/>
        <w:tblpPr w:leftFromText="180" w:rightFromText="180" w:vertAnchor="text" w:tblpX="93" w:tblpY="1"/>
        <w:tblOverlap w:val="never"/>
        <w:tblW w:w="94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283"/>
        <w:gridCol w:w="1060"/>
        <w:gridCol w:w="754"/>
        <w:gridCol w:w="1899"/>
        <w:gridCol w:w="795"/>
        <w:gridCol w:w="454"/>
        <w:gridCol w:w="1534"/>
        <w:gridCol w:w="1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8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6559"/>
              </w:tabs>
              <w:spacing w:line="560" w:lineRule="exact"/>
              <w:ind w:firstLine="964" w:firstLineChars="300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严重精神障碍管理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转移支付整体绩效目标自评表</w:t>
            </w:r>
          </w:p>
          <w:p>
            <w:pPr>
              <w:tabs>
                <w:tab w:val="center" w:pos="6559"/>
              </w:tabs>
              <w:spacing w:line="560" w:lineRule="exact"/>
              <w:ind w:firstLine="2860" w:firstLineChars="13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转移支付（项目）名称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资源县卫健局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预算执行率（B/A）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其中：中央补助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严重精神障碍规范管理率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，报告患病率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严重精神障碍规范管理率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83.1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，报告患病率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firstLine="900" w:firstLineChars="4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开展严重精神障碍管理工作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严重精神障碍管理规范管理率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80%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83.1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报告患病率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督导费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、培训费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、宣传费、办公费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加强严重精神障碍患者管理，维护社会稳定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加强严重精神障碍患者管理，维护社会稳定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加强严重精神障碍患者管理，维护社会稳定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巩回基层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精防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人员工作队伍。增加人员。充实队伍。提高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了严重精神障碍管理业务水平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严重精神障碍患者对基层精防人员满意度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严重精神障碍患者对基层精防人员满意度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基本满意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8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注：1.其他资金包括和中央补助、地方财政资金共同投入到同一项目的自有资金、社会资金，以及以前年度的结转结余资金等。</w:t>
            </w:r>
          </w:p>
          <w:p>
            <w:pPr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2.定量指标，资金使用单位填写本地区实际完成数。财政和主管部门汇总时，对绝对值直接累加计算，相对值按照资金额度加权平均计算。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3.定性指标根据指标完成情况分为：全部或基本达成预期指标、部分达成预期指标并具有一定效果、未达成预期指标且效果较差三档，分别按照100%—80%（含）、80%—60%（含）、60—0%合理填写完成比例。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84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4.资金使用单位按项目填报，主管部门和财政部门汇总时按区域绩效目标填报。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983" w:type="dxa"/>
        <w:tblInd w:w="-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8"/>
        <w:gridCol w:w="796"/>
        <w:gridCol w:w="1825"/>
        <w:gridCol w:w="1138"/>
        <w:gridCol w:w="1000"/>
        <w:gridCol w:w="1310"/>
        <w:gridCol w:w="420"/>
        <w:gridCol w:w="99"/>
        <w:gridCol w:w="998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83" w:type="dxa"/>
            <w:gridSpan w:val="11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附件4</w:t>
            </w:r>
          </w:p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严重精神障碍管理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转移支付整体绩效目标自评表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8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转移支付名称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执行率（B/A)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其中：中央补助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严重精神障碍规范管理率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，报告患病率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严重精神障碍规范管理率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83.1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，报告患病率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开展严重精神障碍管理工作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按要求达到各项指标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严重精神障碍规范管理率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83.1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报告患病率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督导费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、培训费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、宣传费、办公费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5.12万元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加强严重精神障碍患者管理，维护社会稳定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加强严重精神障碍患者管理，维护社会稳定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加强严重精神障碍患者管理，维护社会稳定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巩回基层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精防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人员工作队伍。增加人员。充实队伍。提高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了严重精神障碍管理业务水平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严重精神障碍患者对基层精防人员满意度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严重精神障碍患者对基层精防人员满意度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基本满意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98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注：1.其他资金包括和中央补助、地方财政资金共同投入的自有资金、社会资金，以及以前年度的结转结余资金等。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绩效自评采取打分评价形式，满分为100分，各部门可根据指标的重要程度自主确定各项三级指标的权重分值，各项指标得分加总得出该项目绩效自评的总分（中央巡视、各级审计和财政监督中发现问题的酌情扣分），各项指标得分最高不能超过该指标分值上限。原则上一级指标分值统一设置为：产出指标50分、效益指标30分、满意度指标10分、预算资金执行率10分。如有特殊情况，除预算资金执行率外，其他指标权重可作适当调整，但总分应为100分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汇总区域绩效目标时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60-0%合理填写完成比例。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29"/>
    <w:rsid w:val="001262AF"/>
    <w:rsid w:val="00432E0A"/>
    <w:rsid w:val="00514603"/>
    <w:rsid w:val="006F0197"/>
    <w:rsid w:val="008C4529"/>
    <w:rsid w:val="00964478"/>
    <w:rsid w:val="00A70D30"/>
    <w:rsid w:val="00DA252F"/>
    <w:rsid w:val="00F01540"/>
    <w:rsid w:val="00F37FD6"/>
    <w:rsid w:val="00F51588"/>
    <w:rsid w:val="04017B2A"/>
    <w:rsid w:val="12420311"/>
    <w:rsid w:val="186E2000"/>
    <w:rsid w:val="2C44576C"/>
    <w:rsid w:val="541618AE"/>
    <w:rsid w:val="58AD6A49"/>
    <w:rsid w:val="72F5050E"/>
    <w:rsid w:val="77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396</Words>
  <Characters>2259</Characters>
  <Lines>18</Lines>
  <Paragraphs>5</Paragraphs>
  <TotalTime>2</TotalTime>
  <ScaleCrop>false</ScaleCrop>
  <LinksUpToDate>false</LinksUpToDate>
  <CharactersWithSpaces>2650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2020-04-14T08:22:00Z</dcterms:created>
  <dc:creator>df</dc:creator>
  <cp:lastModifiedBy>快乐每天</cp:lastModifiedBy>
  <dcterms:modified xsi:type="dcterms:W3CDTF">2020-04-15T10:23:22Z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