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绩效目标申报表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94"/>
        <w:gridCol w:w="1695"/>
        <w:gridCol w:w="1734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0" w:name="_GoBack" w:colFirst="0" w:colLast="4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绩效目标申报单位（20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年度）：资源县工商质监局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整顿规范市场经济秩序经费</w:t>
            </w:r>
          </w:p>
        </w:tc>
        <w:tc>
          <w:tcPr>
            <w:tcW w:w="3429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项目负责人及联系电话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王建平  0773-4311216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资源县财政局</w:t>
            </w:r>
          </w:p>
        </w:tc>
        <w:tc>
          <w:tcPr>
            <w:tcW w:w="3429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实施单位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资源县工商质监局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1" w:type="dxa"/>
            <w:vMerge w:val="restart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资金情况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389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343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432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    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3432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1701" w:type="dxa"/>
            <w:vMerge w:val="restart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总体目标</w:t>
            </w:r>
          </w:p>
        </w:tc>
        <w:tc>
          <w:tcPr>
            <w:tcW w:w="6821" w:type="dxa"/>
            <w:gridSpan w:val="4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年度目标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：开展食品安全专项整治、抓好粮食市场管理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821" w:type="dxa"/>
            <w:gridSpan w:val="4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目标1：开展食品安全专项整治、保护驰名商标、惩治虚假违法广告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目标2：抓好粮食市场管理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1" w:type="dxa"/>
            <w:vMerge w:val="restart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指标1：食品安全和粮食市场整顿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全县的市场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指标1：市场经济秩序良好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抽查商品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指标1：完成时间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到2018年12月完成全部任务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指标1：经费开支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指标1：不以赢利为目的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指标1：本项目的受益群体覆盖率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指标1：本项目没有直接环境效益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指标1：全县人民有个良好的购物市场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1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指标1：全县范围内的消费者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“财政拨款”，项目涉及的全部财政资金投入。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F0685"/>
    <w:rsid w:val="13530216"/>
    <w:rsid w:val="166416D3"/>
    <w:rsid w:val="1F8F1362"/>
    <w:rsid w:val="279F0685"/>
    <w:rsid w:val="34C01B62"/>
    <w:rsid w:val="5D8335AD"/>
    <w:rsid w:val="6E2E25BD"/>
    <w:rsid w:val="7828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2021-05-12T08:11:00Z</dcterms:created>
  <dc:creator>微笑向前</dc:creator>
  <cp:lastModifiedBy>微笑向前</cp:lastModifiedBy>
  <dcterms:modified xsi:type="dcterms:W3CDTF">2021-05-14T02:02:35Z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145F861E3C79488A92631274773D5122</vt:lpwstr>
  </property>
</Properties>
</file>